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Open Sans" w:cs="Open Sans" w:eastAsia="Open Sans" w:hAnsi="Open Sans"/>
          <w:b/>
          <w:bCs/>
          <w:i w:val="false"/>
          <w:iCs w:val="false"/>
          <w:color w:val="333333"/>
          <w:sz w:val="26"/>
          <w:szCs w:val="26"/>
        </w:rPr>
        <w:t xml:space="preserve">National Institute of Business Management</w:t>
      </w:r>
    </w:p>
    <w:p>
      <w:pPr>
        <w:spacing w:after="260" w:before="0"/>
      </w:pPr>
      <w:r>
        <w:rPr>
          <w:rFonts w:ascii="Open Sans" w:cs="Open Sans" w:eastAsia="Open Sans" w:hAnsi="Open Sans"/>
          <w:b w:val="false"/>
          <w:bCs w:val="false"/>
          <w:i w:val="false"/>
          <w:iCs w:val="false"/>
          <w:color w:val="767676"/>
          <w:sz w:val="20"/>
          <w:szCs w:val="20"/>
        </w:rPr>
        <w:t xml:space="preserve">School of Computing and Engineering</w:t>
      </w:r>
    </w:p>
    <w:p>
      <w:pPr>
        <w:spacing w:after="60" w:before="0"/>
      </w:pPr>
      <w:r>
        <w:rPr>
          <w:rFonts w:ascii="Open Sans" w:cs="Open Sans" w:eastAsia="Open Sans" w:hAnsi="Open Sans"/>
          <w:b/>
          <w:bCs/>
          <w:i w:val="false"/>
          <w:iCs w:val="false"/>
          <w:color w:val="333333"/>
          <w:sz w:val="32"/>
          <w:szCs w:val="32"/>
        </w:rPr>
        <w:t xml:space="preserve">Module Descriptor - Digital Electronics and Logic Design</w:t>
      </w:r>
    </w:p>
    <w:p>
      <w:pPr>
        <w:spacing w:after="220" w:before="0"/>
      </w:pPr>
      <w:r>
        <w:rPr>
          <w:rFonts w:ascii="Open Sans" w:cs="Open Sans" w:eastAsia="Open Sans" w:hAnsi="Open Sans"/>
          <w:b w:val="false"/>
          <w:bCs w:val="false"/>
          <w:i w:val="false"/>
          <w:iCs w:val="false"/>
          <w:color w:val="767676"/>
          <w:sz w:val="19"/>
          <w:szCs w:val="19"/>
        </w:rPr>
        <w:t xml:space="preserve">NB-SOCE-L3-CM-TT-04  ·  undefined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Document status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Draft for Review - v1.2</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Purpose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Specification-stage module descriptor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Prepared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SOCE Curriculum Committee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Date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August 2026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Authoritative sources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School curriculum decision records; the Sri Lanka Qualifications Framework (University Grants Commission, 2015)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Applies to</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pathway named above</w:t>
            </w:r>
          </w:p>
        </w:tc>
      </w:tr>
    </w:tbl>
    <w:p>
      <w:pPr>
        <w:spacing w:after="120" w:before="12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Identity and Architecture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code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NB-SOCE-L3-CM-TT-04</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title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Digital Electronics and Logic Design</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Scope / type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Institution-wide common (Tier 1) · Common / Taught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SLQF level / credits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Level 3 (Year 1) · 3 credits · 150 notional hours (1 credit = 50 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Carried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All four SOCE pathways - unchanged-identical wherever carried</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Prerequisites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None beyond the Tier 1 base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Delivery mode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Session-based: 3-hour blocks; 16 lecture sessions plus tutorials, practicals and demonstration per the hours profile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Hours profile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Taught 3-credit (A-3), the School's hours model; laboratory-weighted adjustment permitted at specification within the invariants</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Purpose and Aims</w:t>
      </w:r>
    </w:p>
    <w:p>
      <w:pPr>
        <w:spacing w:after="100" w:before="100"/>
      </w:pPr>
      <w:r>
        <w:rPr>
          <w:rFonts w:ascii="Open Sans" w:cs="Open Sans" w:eastAsia="Open Sans" w:hAnsi="Open Sans"/>
          <w:b w:val="false"/>
          <w:bCs w:val="false"/>
          <w:i w:val="false"/>
          <w:iCs w:val="false"/>
          <w:color w:val="595959"/>
          <w:sz w:val="20"/>
          <w:szCs w:val="20"/>
        </w:rPr>
        <w:t xml:space="preserve">To give every SOCE student a genuine hardware foundation: designing and verifying digital logic, understanding the electronic components that realise it, and seeing the bridge from gates to processor operation. This module is the the current cycle hardware shift in curricular form - the full answer to the stakeholder issues that the previous cycle's software-only strand deferred - and it is deliberately laboratory-based: students build and test what they design.</w:t>
      </w:r>
    </w:p>
    <w:p>
      <w:pPr>
        <w:spacing w:after="90" w:before="220"/>
      </w:pPr>
      <w:r>
        <w:rPr>
          <w:rFonts w:ascii="Open Sans" w:cs="Open Sans" w:eastAsia="Open Sans" w:hAnsi="Open Sans"/>
          <w:b/>
          <w:bCs/>
          <w:i w:val="false"/>
          <w:iCs w:val="false"/>
          <w:color w:val="333333"/>
          <w:sz w:val="21"/>
          <w:szCs w:val="21"/>
        </w:rPr>
        <w:t xml:space="preserve">Specification Boundary</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Covers:</w:t>
      </w:r>
      <w:r>
        <w:rPr>
          <w:rFonts w:ascii="Open Sans" w:cs="Open Sans" w:eastAsia="Open Sans" w:hAnsi="Open Sans"/>
          <w:b w:val="false"/>
          <w:bCs w:val="false"/>
          <w:i w:val="false"/>
          <w:iCs w:val="false"/>
          <w:color w:val="595959"/>
          <w:sz w:val="19"/>
          <w:szCs w:val="19"/>
        </w:rPr>
        <w:t xml:space="preserve"> combinational and sequential logic design; digital electronics fundamentals at introductory laboratory level (components, gates, simple circuits); the bridge from logic to computer organisation and processor operation; number systems applied in hardware; laboratory practice throughout.</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Does NOT cover:</w:t>
      </w:r>
      <w:r>
        <w:rPr>
          <w:rFonts w:ascii="Open Sans" w:cs="Open Sans" w:eastAsia="Open Sans" w:hAnsi="Open Sans"/>
          <w:b w:val="false"/>
          <w:bCs w:val="false"/>
          <w:i w:val="false"/>
          <w:iCs w:val="false"/>
          <w:color w:val="595959"/>
          <w:sz w:val="19"/>
          <w:szCs w:val="19"/>
        </w:rPr>
        <w:t xml:space="preserve"> embedded systems programming; electronics engineering depth; pathway infrastructure content (the boundary with NEC's Operating Systems and Infrastructure is policed at specification stage - OS&amp;I keeps its systems-administration substrate, DELD owns logic and electronics).</w:t>
      </w:r>
    </w:p>
    <w:p>
      <w:pPr>
        <w:pBdr>
          <w:left w:val="single" w:color="BFBFBF" w:sz="12"/>
        </w:pBdr>
        <w:spacing w:after="60" w:before="60"/>
        <w:ind w:left="300"/>
      </w:pPr>
      <w:r>
        <w:rPr>
          <w:rFonts w:ascii="Open Sans" w:cs="Open Sans" w:eastAsia="Open Sans" w:hAnsi="Open Sans"/>
          <w:b w:val="false"/>
          <w:bCs w:val="false"/>
          <w:i w:val="false"/>
          <w:iCs w:val="false"/>
          <w:color w:val="595959"/>
          <w:sz w:val="19"/>
          <w:szCs w:val="19"/>
        </w:rPr>
        <w:t xml:space="preserve">Changes to this boundary are made only through the School's formal change-control process.</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Learning Outcomes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Intended Learning Outcome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Register</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Design and verify combinational and sequential logic circuits.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 introductory Create (defended below) (Bloom); K-SAM 2, 5</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Explain the operation of common digital electronic components within simple circuits.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Understand (Bloom); K-SAM 1</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Relate logic-level design to computer organisation and processor operation.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Understand / Apply (Bloom); K-SAM 1</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Build and test digital circuits using laboratory instruments and simulation tools.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2, 7</w:t>
            </w:r>
          </w:p>
        </w:tc>
      </w:tr>
    </w:tbl>
    <w:p>
      <w:pPr>
        <w:spacing w:after="80" w:before="0"/>
      </w:pPr>
      <w:r>
        <w:rPr>
          <w:rFonts w:ascii="Open Sans" w:cs="Open Sans" w:eastAsia="Open Sans" w:hAnsi="Open Sans"/>
          <w:sz w:val="20"/>
          <w:szCs w:val="20"/>
        </w:rPr>
        <w:t xml:space="preserve"/>
      </w:r>
    </w:p>
    <w:p>
      <w:pPr>
        <w:spacing w:after="90" w:before="220"/>
      </w:pPr>
      <w:r>
        <w:rPr>
          <w:rFonts w:ascii="Open Sans" w:cs="Open Sans" w:eastAsia="Open Sans" w:hAnsi="Open Sans"/>
          <w:b/>
          <w:bCs/>
          <w:i w:val="false"/>
          <w:iCs w:val="false"/>
          <w:color w:val="333333"/>
          <w:sz w:val="21"/>
          <w:szCs w:val="21"/>
        </w:rPr>
        <w:t xml:space="preserve">Integrative Points and Seams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Pathway</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Integrative point / seam</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CS(SE)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concrete hardware referent behind software abstractions and the a registered curriculum issue admissions selling point; memory and execution grounding referenced when Algorithmic Thinking teaches complexity.</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CS(AI&amp;DS)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Hardware literacy toward edge and accelerator awareness; the physical substrate beneath the computational stack.</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NEC</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Boundary policed against Operating Systems and Infrastructure: DELD owns logic and electronics, OS&amp;I keeps systems administration; jointly they carry the hardware and forensics substrate.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ITB</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concrete hardware referent under the Business Information Systems socio-technical view; reinforces the NB6029 bootstrapped pipeline alongside FoC's raised network awareness; combinational-logic reasoning as cohort-wide analytical formation (ITB DELD declaration).</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Curriculum and Delivery</w:t>
      </w:r>
    </w:p>
    <w:p>
      <w:pPr>
        <w:spacing w:after="90" w:before="220"/>
      </w:pPr>
      <w:r>
        <w:rPr>
          <w:rFonts w:ascii="Open Sans" w:cs="Open Sans" w:eastAsia="Open Sans" w:hAnsi="Open Sans"/>
          <w:b/>
          <w:bCs/>
          <w:i w:val="false"/>
          <w:iCs w:val="false"/>
          <w:color w:val="333333"/>
          <w:sz w:val="21"/>
          <w:szCs w:val="21"/>
        </w:rPr>
        <w:t xml:space="preserve">Indicative Syllabus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Unit</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Content</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Lecture hours</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Number systems in hardware and switching fundamentals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Logic gates and Boolean algebra</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Combinational logic design (laboratory)</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12</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Sequential logic design: latches, flip-flops, registers, counters (laboratory)</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12</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U5</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From logic to computer organisation: ALU, memory and the processor bridge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U6</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Digital electronics fundamentals: components and simple circuits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 lecture hours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48</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48 lecture hours are delivered as 16 three-hour sessions, with U3 and U4 run as integrated design-and-build laboratory sessions. The A-3 practicals and demonstration components carry the hands-on build time; a laboratory-weighted shift among timetabled components is expected at specification stage within the the School's curriculum decisions invariants.</w:t>
      </w:r>
    </w:p>
    <w:p>
      <w:pPr>
        <w:spacing w:after="90" w:before="220"/>
      </w:pPr>
      <w:r>
        <w:rPr>
          <w:rFonts w:ascii="Open Sans" w:cs="Open Sans" w:eastAsia="Open Sans" w:hAnsi="Open Sans"/>
          <w:b/>
          <w:bCs/>
          <w:i w:val="false"/>
          <w:iCs w:val="false"/>
          <w:color w:val="333333"/>
          <w:sz w:val="21"/>
          <w:szCs w:val="21"/>
        </w:rPr>
        <w:t xml:space="preserve">K-SAM Verb Defence (per NEC finding N8a, stated not assumed)</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Defence:</w:t>
      </w:r>
      <w:r>
        <w:rPr>
          <w:rFonts w:ascii="Open Sans" w:cs="Open Sans" w:eastAsia="Open Sans" w:hAnsi="Open Sans"/>
          <w:b w:val="false"/>
          <w:bCs w:val="false"/>
          <w:i w:val="false"/>
          <w:iCs w:val="false"/>
          <w:color w:val="595959"/>
          <w:sz w:val="19"/>
          <w:szCs w:val="19"/>
        </w:rPr>
        <w:t xml:space="preserve"> LO1 ("Design and verify") and LO4 ("Build and test") sit above the typical Level 3 cognitive ladder but are defended under K-SAM category 2 (Practical Knowledge and Application), with the laboratory-instrument and simulation-tool strand additionally engaging category 7 (Information Usage and Management): introductory circuit design from a truth-table specification, and laboratory construction and testing against it, are genuine skill performances at this level, standard in first-year digital-logic provision internationally. The cognitive-domain outcomes (LO2, LO3) sit at the conventional Level 3 register. This defence travels into the compliance narrative of the validation submission.</w:t>
      </w:r>
    </w:p>
    <w:p>
      <w:pPr>
        <w:spacing w:after="90" w:before="220"/>
      </w:pPr>
      <w:r>
        <w:rPr>
          <w:rFonts w:ascii="Open Sans" w:cs="Open Sans" w:eastAsia="Open Sans" w:hAnsi="Open Sans"/>
          <w:b/>
          <w:bCs/>
          <w:i w:val="false"/>
          <w:iCs w:val="false"/>
          <w:color w:val="333333"/>
          <w:sz w:val="21"/>
          <w:szCs w:val="21"/>
        </w:rPr>
        <w:t xml:space="preserve">Lineage and Resourcing</w:t>
      </w:r>
    </w:p>
    <w:p>
      <w:pPr>
        <w:spacing w:after="100" w:before="100"/>
      </w:pPr>
      <w:r>
        <w:rPr>
          <w:rFonts w:ascii="Open Sans" w:cs="Open Sans" w:eastAsia="Open Sans" w:hAnsi="Open Sans"/>
          <w:b w:val="false"/>
          <w:bCs w:val="false"/>
          <w:i w:val="false"/>
          <w:iCs w:val="false"/>
          <w:color w:val="595959"/>
          <w:sz w:val="20"/>
          <w:szCs w:val="20"/>
        </w:rPr>
        <w:t xml:space="preserve">This module answers issues a registered curriculum issue, a registered curriculum issue and a registered curriculum issue and a registered curriculum issue, a registered curriculum issue and a registered curriculum issue in full, reversing the the previous cycle software-only posture. Its two named institutional costs stand from the School's curriculum decisions: laboratory kit provision and electronics-capable staffing under the staffing requirement.</w:t>
      </w:r>
    </w:p>
    <w:p>
      <w:pPr>
        <w:spacing w:after="90" w:before="220"/>
      </w:pPr>
      <w:r>
        <w:rPr>
          <w:rFonts w:ascii="Open Sans" w:cs="Open Sans" w:eastAsia="Open Sans" w:hAnsi="Open Sans"/>
          <w:b/>
          <w:bCs/>
          <w:i w:val="false"/>
          <w:iCs w:val="false"/>
          <w:color w:val="333333"/>
          <w:sz w:val="21"/>
          <w:szCs w:val="21"/>
        </w:rPr>
        <w:t xml:space="preserve">Teaching and Learning Hours (SLQF)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Lectures (fixed)</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48</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Tutorials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12</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Practicals / Laboratory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24</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In-class assignments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Demonstration</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Self-guided study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54</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150</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Assessment</w:t>
      </w:r>
    </w:p>
    <w:p>
      <w:pPr>
        <w:spacing w:after="100" w:before="100"/>
      </w:pPr>
      <w:r>
        <w:rPr>
          <w:rFonts w:ascii="Open Sans" w:cs="Open Sans" w:eastAsia="Open Sans" w:hAnsi="Open Sans"/>
          <w:b w:val="false"/>
          <w:bCs w:val="false"/>
          <w:i w:val="false"/>
          <w:iCs w:val="false"/>
          <w:color w:val="595959"/>
          <w:sz w:val="20"/>
          <w:szCs w:val="20"/>
        </w:rPr>
        <w:t xml:space="preserve">Components per the Assessment Component Taxonomy (the School's assessment component taxonomy); weightings confirmed at specification sign-off. No formal examination is carried where none is listed.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3249"/>
        <w:gridCol w:w="1444"/>
        <w:gridCol w:w="1444"/>
        <w:gridCol w:w="1445"/>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 code</w:t>
            </w:r>
          </w:p>
        </w:tc>
        <w:tc>
          <w:tcPr>
            <w:tcW w:type="dxa" w:w="3249"/>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Task</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Attributes</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ILOs</w:t>
            </w:r>
          </w:p>
        </w:tc>
        <w:tc>
          <w:tcPr>
            <w:tcW w:type="dxa" w:w="1445"/>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Weight</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PR-G-Class</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Laboratory design-build-verify tasks: specified combinational and sequential circuits designed, built and tested at paired benches, with an individually maintained evidence log per student</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Group (n = 2) at the bench; individually logged and graded; in-class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 LO4</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50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Written examination: Boolean algebra, circuit analysis and the logic-to-organisation bridge; 2 hours, closed resources, invigilated</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in-class; graded</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 LO3</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50</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Reassessment: by the failed component only, with an equivalent task, per School regulations. All assessment under the academic integrity policy including its generative-AI provisions; module-level AI stance at teaching-plan stage.</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Resources, Staff and Governance</w:t>
      </w:r>
    </w:p>
    <w:p>
      <w:pPr>
        <w:spacing w:after="90" w:before="220"/>
      </w:pPr>
      <w:r>
        <w:rPr>
          <w:rFonts w:ascii="Open Sans" w:cs="Open Sans" w:eastAsia="Open Sans" w:hAnsi="Open Sans"/>
          <w:b/>
          <w:bCs/>
          <w:i w:val="false"/>
          <w:iCs w:val="false"/>
          <w:color w:val="333333"/>
          <w:sz w:val="21"/>
          <w:szCs w:val="21"/>
        </w:rPr>
        <w:t xml:space="preserve">Indicative Reading</w:t>
      </w:r>
    </w:p>
    <w:p>
      <w:pPr>
        <w:spacing w:after="40" w:before="40"/>
        <w:ind w:left="300" w:hanging="160"/>
      </w:pPr>
      <w:r>
        <w:rPr>
          <w:rFonts w:ascii="Open Sans" w:cs="Open Sans" w:eastAsia="Open Sans" w:hAnsi="Open Sans"/>
          <w:b w:val="false"/>
          <w:bCs w:val="false"/>
          <w:i w:val="false"/>
          <w:iCs w:val="false"/>
          <w:color w:val="595959"/>
          <w:sz w:val="20"/>
          <w:szCs w:val="20"/>
        </w:rPr>
        <w:t xml:space="preserve">•  Mano, M. M. and Ciletti, M. D., Digital Design (Pearson) - primary text for logic design.</w:t>
      </w:r>
    </w:p>
    <w:p>
      <w:pPr>
        <w:spacing w:after="40" w:before="40"/>
        <w:ind w:left="300" w:hanging="160"/>
      </w:pPr>
      <w:r>
        <w:rPr>
          <w:rFonts w:ascii="Open Sans" w:cs="Open Sans" w:eastAsia="Open Sans" w:hAnsi="Open Sans"/>
          <w:b w:val="false"/>
          <w:bCs w:val="false"/>
          <w:i w:val="false"/>
          <w:iCs w:val="false"/>
          <w:color w:val="595959"/>
          <w:sz w:val="20"/>
          <w:szCs w:val="20"/>
        </w:rPr>
        <w:t xml:space="preserve">•  Floyd, T. L., Digital Fundamentals (Pearson) - electronics-side support and laboratory grounding.</w:t>
      </w:r>
    </w:p>
    <w:p>
      <w:pPr>
        <w:spacing w:after="40" w:before="40"/>
        <w:ind w:left="300" w:hanging="160"/>
      </w:pPr>
      <w:r>
        <w:rPr>
          <w:rFonts w:ascii="Open Sans" w:cs="Open Sans" w:eastAsia="Open Sans" w:hAnsi="Open Sans"/>
          <w:b w:val="false"/>
          <w:bCs w:val="false"/>
          <w:i w:val="false"/>
          <w:iCs w:val="false"/>
          <w:color w:val="595959"/>
          <w:sz w:val="20"/>
          <w:szCs w:val="20"/>
        </w:rPr>
        <w:t xml:space="preserve">•  Harris, D. and Harris, S., Digital Design and Computer Architecture (Morgan Kaufmann) - selected chapters for the U5 bridge.</w:t>
      </w:r>
    </w:p>
    <w:p>
      <w:pPr>
        <w:spacing w:after="40" w:before="40"/>
        <w:ind w:left="300" w:hanging="160"/>
      </w:pPr>
      <w:r>
        <w:rPr>
          <w:rFonts w:ascii="Open Sans" w:cs="Open Sans" w:eastAsia="Open Sans" w:hAnsi="Open Sans"/>
          <w:b w:val="false"/>
          <w:bCs w:val="false"/>
          <w:i w:val="false"/>
          <w:iCs w:val="false"/>
          <w:color w:val="595959"/>
          <w:sz w:val="20"/>
          <w:szCs w:val="20"/>
        </w:rPr>
        <w:t xml:space="preserve">•  School-produced laboratory manuals and simulation-tool guides (kit-specific), confirmed at teaching-plan stage.</w:t>
      </w:r>
    </w:p>
    <w:p>
      <w:pPr>
        <w:spacing w:after="90" w:before="220"/>
      </w:pPr>
      <w:r>
        <w:rPr>
          <w:rFonts w:ascii="Open Sans" w:cs="Open Sans" w:eastAsia="Open Sans" w:hAnsi="Open Sans"/>
          <w:b/>
          <w:bCs/>
          <w:i w:val="false"/>
          <w:iCs w:val="false"/>
          <w:color w:val="333333"/>
          <w:sz w:val="21"/>
          <w:szCs w:val="21"/>
        </w:rPr>
        <w:t xml:space="preserve">Staffing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Role</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Name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Domain credential</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1</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2</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External module auditor</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bCs/>
          <w:i w:val="false"/>
          <w:iCs w:val="false"/>
          <w:color w:val="595959"/>
          <w:sz w:val="20"/>
          <w:szCs w:val="20"/>
        </w:rPr>
        <w:t xml:space="preserve">Domain-expertise statement:</w:t>
      </w:r>
      <w:r>
        <w:rPr>
          <w:rFonts w:ascii="Open Sans" w:cs="Open Sans" w:eastAsia="Open Sans" w:hAnsi="Open Sans"/>
          <w:b w:val="false"/>
          <w:bCs w:val="false"/>
          <w:i w:val="false"/>
          <w:iCs w:val="false"/>
          <w:color w:val="595959"/>
          <w:sz w:val="20"/>
          <w:szCs w:val="20"/>
        </w:rPr>
        <w:t xml:space="preserve"> Taught from digital-electronics and logic-design expertise with laboratory instruction capability; generic delivery is non-compliant. Electronics-capable staffing and laboratory kit are named the School's curriculum decisions resourcing commitments.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pen Sans" w:cs="Open Sans" w:eastAsia="Open Sans" w:hAnsi="Open Sans"/>
        <w:color w:val="767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spacing w:after="0" w:before="0"/>
    </w:pPr>
    <w:r>
      <w:rPr>
        <w:rFonts w:ascii="Open Sans" w:cs="Open Sans" w:eastAsia="Open Sans" w:hAnsi="Open Sans"/>
        <w:b w:val="false"/>
        <w:bCs w:val="false"/>
        <w:i w:val="false"/>
        <w:iCs w:val="false"/>
        <w:color w:val="767676"/>
        <w:sz w:val="16"/>
        <w:szCs w:val="16"/>
      </w:rPr>
      <w:t xml:space="preserve">NB-SOCE-L3-CM-TT-04  ·  Digital Electronics and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Descriptor - Digital Electronics and Logic Design</dc:title>
  <dc:creator>NIBM School of Computing and Engineering</dc:creator>
  <cp:lastModifiedBy>Un-named</cp:lastModifiedBy>
  <cp:revision>1</cp:revision>
  <dcterms:created xsi:type="dcterms:W3CDTF">2026-08-13T06:30:22.666Z</dcterms:created>
  <dcterms:modified xsi:type="dcterms:W3CDTF">2026-08-13T06:30:22.666Z</dcterms:modified>
</cp:coreProperties>
</file>

<file path=docProps/custom.xml><?xml version="1.0" encoding="utf-8"?>
<Properties xmlns="http://schemas.openxmlformats.org/officeDocument/2006/custom-properties" xmlns:vt="http://schemas.openxmlformats.org/officeDocument/2006/docPropsVTypes"/>
</file>