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Open Sans" w:cs="Open Sans" w:eastAsia="Open Sans" w:hAnsi="Open Sans"/>
          <w:b/>
          <w:bCs/>
          <w:i w:val="false"/>
          <w:iCs w:val="false"/>
          <w:color w:val="333333"/>
          <w:sz w:val="26"/>
          <w:szCs w:val="26"/>
        </w:rPr>
        <w:t xml:space="preserve">National Institute of Business Management</w:t>
      </w:r>
    </w:p>
    <w:p>
      <w:pPr>
        <w:spacing w:after="260" w:before="0"/>
      </w:pPr>
      <w:r>
        <w:rPr>
          <w:rFonts w:ascii="Open Sans" w:cs="Open Sans" w:eastAsia="Open Sans" w:hAnsi="Open Sans"/>
          <w:b w:val="false"/>
          <w:bCs w:val="false"/>
          <w:i w:val="false"/>
          <w:iCs w:val="false"/>
          <w:color w:val="767676"/>
          <w:sz w:val="20"/>
          <w:szCs w:val="20"/>
        </w:rPr>
        <w:t xml:space="preserve">School of Computing and Engineering</w:t>
      </w:r>
    </w:p>
    <w:p>
      <w:pPr>
        <w:spacing w:after="60" w:before="0"/>
      </w:pPr>
      <w:r>
        <w:rPr>
          <w:rFonts w:ascii="Open Sans" w:cs="Open Sans" w:eastAsia="Open Sans" w:hAnsi="Open Sans"/>
          <w:b/>
          <w:bCs/>
          <w:i w:val="false"/>
          <w:iCs w:val="false"/>
          <w:color w:val="333333"/>
          <w:sz w:val="32"/>
          <w:szCs w:val="32"/>
        </w:rPr>
        <w:t xml:space="preserve">Module Descriptor - Entrepreneurship, Creativity and Innovation (CREST)</w:t>
      </w:r>
    </w:p>
    <w:p>
      <w:pPr>
        <w:spacing w:after="220" w:before="0"/>
      </w:pPr>
      <w:r>
        <w:rPr>
          <w:rFonts w:ascii="Open Sans" w:cs="Open Sans" w:eastAsia="Open Sans" w:hAnsi="Open Sans"/>
          <w:b w:val="false"/>
          <w:bCs w:val="false"/>
          <w:i w:val="false"/>
          <w:iCs w:val="false"/>
          <w:color w:val="767676"/>
          <w:sz w:val="19"/>
          <w:szCs w:val="19"/>
        </w:rPr>
        <w:t xml:space="preserve">NB-SOCE-L4-CM-IS-01  ·  Institution-Wide Common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Document status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Draft for Review - v1.1</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Purpose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Specification-stage module descriptor</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Prepared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SOCE Curriculum Committee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Date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August 2026</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Authoritative sources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School curriculum decision records; the Sri Lanka Qualifications Framework (University Grants Commission, 2015)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Applies to</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All carrying SOCE pathways - held in common</w:t>
            </w:r>
          </w:p>
        </w:tc>
      </w:tr>
    </w:tbl>
    <w:p>
      <w:pPr>
        <w:spacing w:after="120" w:before="12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Identity and Architecture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code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NB-SOCE-L4-CM-IS-01</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title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Entrepreneurship, Creativity and Innovation (CREST)</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Scope / type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Institution-wide common · Common / Integrative Skills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SLQF level / credits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Level 4 (Year 2) · 0 credits - mandatory NON-credit component; pass/fail; condition of award</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Carried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CS(SE), CS(AI&amp;DS), ITB, NEC</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Exit-award relevance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Higher Diploma exit: condition of award. Carries no credit toward award notional totals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Prerequisites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None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Delivery mode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Workshop-based skills delivery: 24 workshop hours = 8 three-hour blocks, plus facilitated activities, coaching and independent work per the B-3 pattern</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Hours profile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B-3 delivery pattern, the School's hours model; 150 engagement hours, not counted toward award notional totals by curriculum decision</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Purpose and Aims</w:t>
      </w:r>
    </w:p>
    <w:p>
      <w:pPr>
        <w:spacing w:after="100" w:before="100"/>
      </w:pPr>
      <w:r>
        <w:rPr>
          <w:rFonts w:ascii="Open Sans" w:cs="Open Sans" w:eastAsia="Open Sans" w:hAnsi="Open Sans"/>
          <w:b w:val="false"/>
          <w:bCs w:val="false"/>
          <w:i w:val="false"/>
          <w:iCs w:val="false"/>
          <w:color w:val="595959"/>
          <w:sz w:val="20"/>
          <w:szCs w:val="20"/>
        </w:rPr>
        <w:t xml:space="preserve">To give every Year 2 student the practice of recognising an opportunity, shaping it into something worth pursuing, and arguing for it in front of people who can say no.</w:t>
      </w:r>
    </w:p>
    <w:p>
      <w:pPr>
        <w:spacing w:after="100" w:before="100"/>
      </w:pPr>
      <w:r>
        <w:rPr>
          <w:rFonts w:ascii="Open Sans" w:cs="Open Sans" w:eastAsia="Open Sans" w:hAnsi="Open Sans"/>
          <w:b w:val="false"/>
          <w:bCs w:val="false"/>
          <w:i w:val="false"/>
          <w:iCs w:val="false"/>
          <w:color w:val="595959"/>
          <w:sz w:val="20"/>
          <w:szCs w:val="20"/>
        </w:rPr>
        <w:t xml:space="preserve">The module is deliberately about the front of the process. Students learn to see where value might be, to test whether they are right, and to state the case. It stops there. What happens after someone says yes belongs to project management and business practice, and that seam is policed in both directions.</w:t>
      </w:r>
    </w:p>
    <w:p>
      <w:pPr>
        <w:spacing w:after="100" w:before="100"/>
      </w:pPr>
      <w:r>
        <w:rPr>
          <w:rFonts w:ascii="Open Sans" w:cs="Open Sans" w:eastAsia="Open Sans" w:hAnsi="Open Sans"/>
          <w:b/>
          <w:bCs/>
          <w:i w:val="false"/>
          <w:iCs w:val="false"/>
          <w:color w:val="595959"/>
          <w:sz w:val="20"/>
          <w:szCs w:val="20"/>
        </w:rPr>
        <w:t xml:space="preserve">Workload and credit position, stated plainly.</w:t>
      </w:r>
      <w:r>
        <w:rPr>
          <w:rFonts w:ascii="Open Sans" w:cs="Open Sans" w:eastAsia="Open Sans" w:hAnsi="Open Sans"/>
          <w:b w:val="false"/>
          <w:bCs w:val="false"/>
          <w:i w:val="false"/>
          <w:iCs w:val="false"/>
          <w:color w:val="595959"/>
          <w:sz w:val="20"/>
          <w:szCs w:val="20"/>
        </w:rPr>
        <w:t xml:space="preserve"> The module is mandatory, is graded pass/fail, is a condition of award, and carries 150 engagement hours that contribute no credit. The Curriculum Committee reviewed this position on 13 August 2026 and confirmed it unchanged. The specification below is therefore held to what the module needs to work, and the scope was reduced at that review rather than extended: three strands appearing in the previous descriptor had no source in any pathway record and were withdrawn.</w:t>
      </w:r>
    </w:p>
    <w:p>
      <w:pPr>
        <w:spacing w:after="90" w:before="220"/>
      </w:pPr>
      <w:r>
        <w:rPr>
          <w:rFonts w:ascii="Open Sans" w:cs="Open Sans" w:eastAsia="Open Sans" w:hAnsi="Open Sans"/>
          <w:b/>
          <w:bCs/>
          <w:i w:val="false"/>
          <w:iCs w:val="false"/>
          <w:color w:val="333333"/>
          <w:sz w:val="21"/>
          <w:szCs w:val="21"/>
        </w:rPr>
        <w:t xml:space="preserve">Specification Boundary</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Covers:</w:t>
      </w:r>
      <w:r>
        <w:rPr>
          <w:rFonts w:ascii="Open Sans" w:cs="Open Sans" w:eastAsia="Open Sans" w:hAnsi="Open Sans"/>
          <w:b w:val="false"/>
          <w:bCs w:val="false"/>
          <w:i w:val="false"/>
          <w:iCs w:val="false"/>
          <w:color w:val="595959"/>
          <w:sz w:val="19"/>
          <w:szCs w:val="19"/>
        </w:rPr>
        <w:t xml:space="preserve"> entrepreneurship foundations and enterprise thinking; creativity and ideation practice; innovation processes and methods; opportunity identification and evaluation; taking an idea to a stated value proposition and pitching it.</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Does NOT cover:</w:t>
      </w:r>
      <w:r>
        <w:rPr>
          <w:rFonts w:ascii="Open Sans" w:cs="Open Sans" w:eastAsia="Open Sans" w:hAnsi="Open Sans"/>
          <w:b w:val="false"/>
          <w:bCs w:val="false"/>
          <w:i w:val="false"/>
          <w:iCs w:val="false"/>
          <w:color w:val="595959"/>
          <w:sz w:val="19"/>
          <w:szCs w:val="19"/>
        </w:rPr>
        <w:t xml:space="preserve"> degree-level leadership and entrepreneurial theory (NB6002CEM); project-management and business practice (Business and Project Management Practice on the SE pathway; the boundary is policed both ways); professional communication (Effective Communication Skills II).</w:t>
      </w:r>
    </w:p>
    <w:p>
      <w:pPr>
        <w:pBdr>
          <w:left w:val="single" w:color="BFBFBF" w:sz="12"/>
        </w:pBdr>
        <w:spacing w:after="60" w:before="60"/>
        <w:ind w:left="300"/>
      </w:pPr>
      <w:r>
        <w:rPr>
          <w:rFonts w:ascii="Open Sans" w:cs="Open Sans" w:eastAsia="Open Sans" w:hAnsi="Open Sans"/>
          <w:b w:val="false"/>
          <w:bCs w:val="false"/>
          <w:i w:val="false"/>
          <w:iCs w:val="false"/>
          <w:color w:val="595959"/>
          <w:sz w:val="19"/>
          <w:szCs w:val="19"/>
        </w:rPr>
        <w:t xml:space="preserve">Changes to this boundary are made only through the School's formal change-control process.</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Learning Outcomes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Ref</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Intended Learning Outcome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Register</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creativity and ideation methods to generate and shape opportunities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5</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Identify and evaluate an opportunity against a stated need</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 introductory Analyse (Bloom); K-SAM 5, 6</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Express an idea as a value proposition and pitch it to an audience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3, 6</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Reflect on innovation practice and personal contribution to it</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Understand / introductory Evaluate (Bloom); K-SAM 10, 12</w:t>
            </w:r>
          </w:p>
        </w:tc>
      </w:tr>
    </w:tbl>
    <w:p>
      <w:pPr>
        <w:spacing w:after="80" w:before="0"/>
      </w:pPr>
      <w:r>
        <w:rPr>
          <w:rFonts w:ascii="Open Sans" w:cs="Open Sans" w:eastAsia="Open Sans" w:hAnsi="Open Sans"/>
          <w:sz w:val="20"/>
          <w:szCs w:val="20"/>
        </w:rPr>
        <w:t xml:space="preserve"/>
      </w:r>
    </w:p>
    <w:p>
      <w:pPr>
        <w:spacing w:after="90" w:before="220"/>
      </w:pPr>
      <w:r>
        <w:rPr>
          <w:rFonts w:ascii="Open Sans" w:cs="Open Sans" w:eastAsia="Open Sans" w:hAnsi="Open Sans"/>
          <w:b/>
          <w:bCs/>
          <w:i w:val="false"/>
          <w:iCs w:val="false"/>
          <w:color w:val="333333"/>
          <w:sz w:val="21"/>
          <w:szCs w:val="21"/>
        </w:rPr>
        <w:t xml:space="preserve">Integrative Points and Seams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Counterpart</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Seam</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Business and Project Management Practice (CS(SE), Year 2)</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Owns project-management and business practice. This module stops at the pitch; delivery, planning and governance of what is pitched are owned there. The boundary is policed both ways.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Effective Communication Skills II (Year 2)</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Owns persuasive proposals as a communication competence. Here the pitch is assessed on the quality of the opportunity and its argument, not on communication craft.</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Creative Project (Year 1)</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Establishes team project conduct at small scale, which the venture concept work assumes.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NB6002CEM (Level 6)</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Degree-level leadership and entrepreneurial theory is the destination's. No theoretical framework is taught here.</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Skills Programme and Delivery</w:t>
      </w:r>
    </w:p>
    <w:p>
      <w:pPr>
        <w:spacing w:after="90" w:before="220"/>
      </w:pPr>
      <w:r>
        <w:rPr>
          <w:rFonts w:ascii="Open Sans" w:cs="Open Sans" w:eastAsia="Open Sans" w:hAnsi="Open Sans"/>
          <w:b/>
          <w:bCs/>
          <w:i w:val="false"/>
          <w:iCs w:val="false"/>
          <w:color w:val="333333"/>
          <w:sz w:val="21"/>
          <w:szCs w:val="21"/>
        </w:rPr>
        <w:t xml:space="preserve">Workshop Programme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Ref</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Theme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Hours</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Enterprise thinking: what entrepreneurship is, and what it is not</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Creativity and ideation practice I: generating options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Creativity and ideation practice II: shaping and selecting</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Innovation processes and methods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W5</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Opportunity identification: where value might be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W6</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Opportunity evaluation: testing whether the opportunity is real</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W7</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From opportunity to value proposition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W8</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Pitching: making the case and answering the challenge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 workshop hours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24</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Workshops run as eight three-hour blocks (the School's curriculum decisions session pattern). Facilitated activities (30 hours) develop the team opportunity concept; coaching (12 hours) is per-team mentoring; independent work (84 hours) completes the concept pack and individual reflection. Engagement hours follow the B-3 pattern in full; by curriculum decision they are not counted toward award notional totals.</w:t>
      </w:r>
    </w:p>
    <w:p>
      <w:pPr>
        <w:spacing w:after="90" w:before="220"/>
      </w:pPr>
      <w:r>
        <w:rPr>
          <w:rFonts w:ascii="Open Sans" w:cs="Open Sans" w:eastAsia="Open Sans" w:hAnsi="Open Sans"/>
          <w:b/>
          <w:bCs/>
          <w:i w:val="false"/>
          <w:iCs w:val="false"/>
          <w:color w:val="333333"/>
          <w:sz w:val="21"/>
          <w:szCs w:val="21"/>
        </w:rPr>
        <w:t xml:space="preserve">Engagement Hours (SLQF)</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Taught workshops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24</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Facilitated activities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30</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Coaching / feedback sessions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12</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Independent work</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84</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150</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Assessment</w:t>
      </w:r>
    </w:p>
    <w:p>
      <w:pPr>
        <w:spacing w:after="100" w:before="100"/>
      </w:pPr>
      <w:r>
        <w:rPr>
          <w:rFonts w:ascii="Open Sans" w:cs="Open Sans" w:eastAsia="Open Sans" w:hAnsi="Open Sans"/>
          <w:b w:val="false"/>
          <w:bCs w:val="false"/>
          <w:i w:val="false"/>
          <w:iCs w:val="false"/>
          <w:color w:val="595959"/>
          <w:sz w:val="20"/>
          <w:szCs w:val="20"/>
        </w:rPr>
        <w:t xml:space="preserve">Components per the Assessment Component Taxonomy (the School's assessment component taxonomy). Grading is pass/fail on every component.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3249"/>
        <w:gridCol w:w="1444"/>
        <w:gridCol w:w="1444"/>
        <w:gridCol w:w="1445"/>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 code</w:t>
            </w:r>
          </w:p>
        </w:tc>
        <w:tc>
          <w:tcPr>
            <w:tcW w:type="dxa" w:w="3249"/>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Task</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Attributes</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ILOs</w:t>
            </w:r>
          </w:p>
        </w:tc>
        <w:tc>
          <w:tcPr>
            <w:tcW w:type="dxa" w:w="1445"/>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Weight</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CW-G-Home</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Opportunity concept pack: a framed opportunity, the evidence that it is real, a stated value proposition, closed by a team pitch with question handling; individually maintained contribution log per student</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Group (n = 4 indicative); take-home with facilitated sessions; pass/fail; oral vehicle: Presentation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 LO2, LO3</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Pass/fail</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CW-I-Home</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reflective statement on innovation practice and personal contribution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take-home; pass/fail; oral vehicle: None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LO4</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Pass/fail</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Both components must be passed; there is no percentage weighting (the School's decision on non-credit components; taxonomy Grading = pass/fail). Reassessment is by resubmission of the failed component with an equivalent task. All assessment under the academic integrity policy including its generative-AI provisions; module-level stance set at teaching-plan stage.</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Resources, Staff and Governance</w:t>
      </w:r>
    </w:p>
    <w:p>
      <w:pPr>
        <w:spacing w:after="90" w:before="220"/>
      </w:pPr>
      <w:r>
        <w:rPr>
          <w:rFonts w:ascii="Open Sans" w:cs="Open Sans" w:eastAsia="Open Sans" w:hAnsi="Open Sans"/>
          <w:b/>
          <w:bCs/>
          <w:i w:val="false"/>
          <w:iCs w:val="false"/>
          <w:color w:val="333333"/>
          <w:sz w:val="21"/>
          <w:szCs w:val="21"/>
        </w:rPr>
        <w:t xml:space="preserve">Indicative Reading</w:t>
      </w:r>
    </w:p>
    <w:p>
      <w:pPr>
        <w:spacing w:after="40" w:before="40"/>
        <w:ind w:left="300" w:hanging="160"/>
      </w:pPr>
      <w:r>
        <w:rPr>
          <w:rFonts w:ascii="Open Sans" w:cs="Open Sans" w:eastAsia="Open Sans" w:hAnsi="Open Sans"/>
          <w:b w:val="false"/>
          <w:bCs w:val="false"/>
          <w:i w:val="false"/>
          <w:iCs w:val="false"/>
          <w:color w:val="595959"/>
          <w:sz w:val="20"/>
          <w:szCs w:val="20"/>
        </w:rPr>
        <w:t xml:space="preserve">•  Osterwalder, A. and Pigneur, Y., *Business Model Generation* (Wiley) - selected use for the value-proposition strand only; business-model construction is outside the boundary.</w:t>
      </w:r>
    </w:p>
    <w:p>
      <w:pPr>
        <w:spacing w:after="40" w:before="40"/>
        <w:ind w:left="300" w:hanging="160"/>
      </w:pPr>
      <w:r>
        <w:rPr>
          <w:rFonts w:ascii="Open Sans" w:cs="Open Sans" w:eastAsia="Open Sans" w:hAnsi="Open Sans"/>
          <w:b w:val="false"/>
          <w:bCs w:val="false"/>
          <w:i w:val="false"/>
          <w:iCs w:val="false"/>
          <w:color w:val="595959"/>
          <w:sz w:val="20"/>
          <w:szCs w:val="20"/>
        </w:rPr>
        <w:t xml:space="preserve">•  Ries, E., *The Lean Startup* (Portfolio Penguin) - selected chapters on testing whether an opportunity is real.</w:t>
      </w:r>
    </w:p>
    <w:p>
      <w:pPr>
        <w:spacing w:after="40" w:before="40"/>
        <w:ind w:left="300" w:hanging="160"/>
      </w:pPr>
      <w:r>
        <w:rPr>
          <w:rFonts w:ascii="Open Sans" w:cs="Open Sans" w:eastAsia="Open Sans" w:hAnsi="Open Sans"/>
          <w:b w:val="false"/>
          <w:bCs w:val="false"/>
          <w:i w:val="false"/>
          <w:iCs w:val="false"/>
          <w:color w:val="595959"/>
          <w:sz w:val="20"/>
          <w:szCs w:val="20"/>
        </w:rPr>
        <w:t xml:space="preserve">•  School-produced concept-pack brief, contribution-log template and pitch rubric, confirmed at teaching-plan stage.</w:t>
      </w:r>
    </w:p>
    <w:p>
      <w:pPr>
        <w:spacing w:after="90" w:before="220"/>
      </w:pPr>
      <w:r>
        <w:rPr>
          <w:rFonts w:ascii="Open Sans" w:cs="Open Sans" w:eastAsia="Open Sans" w:hAnsi="Open Sans"/>
          <w:b/>
          <w:bCs/>
          <w:i w:val="false"/>
          <w:iCs w:val="false"/>
          <w:color w:val="333333"/>
          <w:sz w:val="21"/>
          <w:szCs w:val="21"/>
        </w:rPr>
        <w:t xml:space="preserve">Staffing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Role</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Name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Domain credential</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leader 1</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leader 2</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External module auditor</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bCs/>
          <w:i w:val="false"/>
          <w:iCs w:val="false"/>
          <w:color w:val="595959"/>
          <w:sz w:val="20"/>
          <w:szCs w:val="20"/>
        </w:rPr>
        <w:t xml:space="preserve">Domain-expertise statement:</w:t>
      </w:r>
      <w:r>
        <w:rPr>
          <w:rFonts w:ascii="Open Sans" w:cs="Open Sans" w:eastAsia="Open Sans" w:hAnsi="Open Sans"/>
          <w:b w:val="false"/>
          <w:bCs w:val="false"/>
          <w:i w:val="false"/>
          <w:iCs w:val="false"/>
          <w:color w:val="595959"/>
          <w:sz w:val="20"/>
          <w:szCs w:val="20"/>
        </w:rPr>
        <w:t xml:space="preserve"> Facilitated by staff with entrepreneurship, innovation or venture-mentoring practice; generic delivery is non-compliant.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Open Sans" w:cs="Open Sans" w:eastAsia="Open Sans" w:hAnsi="Open Sans"/>
        <w:color w:val="76767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spacing w:after="0" w:before="0"/>
    </w:pPr>
    <w:r>
      <w:rPr>
        <w:rFonts w:ascii="Open Sans" w:cs="Open Sans" w:eastAsia="Open Sans" w:hAnsi="Open Sans"/>
        <w:b w:val="false"/>
        <w:bCs w:val="false"/>
        <w:i w:val="false"/>
        <w:iCs w:val="false"/>
        <w:color w:val="767676"/>
        <w:sz w:val="16"/>
        <w:szCs w:val="16"/>
      </w:rPr>
      <w:t xml:space="preserve">NB-SOCE-L4-CM-IS-01  ·  Entrepreneurship, Creativity and Innovation (CREST)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Descriptor - Entrepreneurship, Creativity and Innovation (CREST)</dc:title>
  <dc:creator>NIBM School of Computing and Engineering</dc:creator>
  <cp:lastModifiedBy>Un-named</cp:lastModifiedBy>
  <cp:revision>1</cp:revision>
  <dcterms:created xsi:type="dcterms:W3CDTF">2026-08-13T06:30:25.244Z</dcterms:created>
  <dcterms:modified xsi:type="dcterms:W3CDTF">2026-08-13T06:30:25.245Z</dcterms:modified>
</cp:coreProperties>
</file>

<file path=docProps/custom.xml><?xml version="1.0" encoding="utf-8"?>
<Properties xmlns="http://schemas.openxmlformats.org/officeDocument/2006/custom-properties" xmlns:vt="http://schemas.openxmlformats.org/officeDocument/2006/docPropsVTypes"/>
</file>