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Open Sans" w:cs="Open Sans" w:eastAsia="Open Sans" w:hAnsi="Open Sans"/>
          <w:b/>
          <w:bCs/>
          <w:i w:val="false"/>
          <w:iCs w:val="false"/>
          <w:color w:val="333333"/>
          <w:sz w:val="26"/>
          <w:szCs w:val="26"/>
        </w:rPr>
        <w:t xml:space="preserve">National Institute of Business Management</w:t>
      </w:r>
    </w:p>
    <w:p>
      <w:pPr>
        <w:spacing w:after="260" w:before="0"/>
      </w:pPr>
      <w:r>
        <w:rPr>
          <w:rFonts w:ascii="Open Sans" w:cs="Open Sans" w:eastAsia="Open Sans" w:hAnsi="Open Sans"/>
          <w:b w:val="false"/>
          <w:bCs w:val="false"/>
          <w:i w:val="false"/>
          <w:iCs w:val="false"/>
          <w:color w:val="767676"/>
          <w:sz w:val="20"/>
          <w:szCs w:val="20"/>
        </w:rPr>
        <w:t xml:space="preserve">School of Computing and Engineering</w:t>
      </w:r>
    </w:p>
    <w:p>
      <w:pPr>
        <w:spacing w:after="60" w:before="0"/>
      </w:pPr>
      <w:r>
        <w:rPr>
          <w:rFonts w:ascii="Open Sans" w:cs="Open Sans" w:eastAsia="Open Sans" w:hAnsi="Open Sans"/>
          <w:b/>
          <w:bCs/>
          <w:i w:val="false"/>
          <w:iCs w:val="false"/>
          <w:color w:val="333333"/>
          <w:sz w:val="32"/>
          <w:szCs w:val="32"/>
        </w:rPr>
        <w:t xml:space="preserve">Module Descriptor - Effective Communication Skills II</w:t>
      </w:r>
    </w:p>
    <w:p>
      <w:pPr>
        <w:spacing w:after="220" w:before="0"/>
      </w:pPr>
      <w:r>
        <w:rPr>
          <w:rFonts w:ascii="Open Sans" w:cs="Open Sans" w:eastAsia="Open Sans" w:hAnsi="Open Sans"/>
          <w:b w:val="false"/>
          <w:bCs w:val="false"/>
          <w:i w:val="false"/>
          <w:iCs w:val="false"/>
          <w:color w:val="767676"/>
          <w:sz w:val="19"/>
          <w:szCs w:val="19"/>
        </w:rPr>
        <w:t xml:space="preserve">NB-SOCE-L4-CM-IS-02  ·  Institution-Wide Common</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708"/>
        <w:gridCol w:w="6318"/>
      </w:tblGrid>
      <w:tr>
        <w:trPr>
          <w:tblHeader/>
        </w:trPr>
        <w:tc>
          <w:tcPr>
            <w:tcW w:type="dxa" w:w="2708"/>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Field</w:t>
            </w:r>
          </w:p>
        </w:tc>
        <w:tc>
          <w:tcPr>
            <w:tcW w:type="dxa" w:w="6318"/>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Value</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Document status</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Draft for Review - v1.1</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Purpose</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Specification-stage module descriptor</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Prepared by</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SOCE Curriculum Committee</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Date</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August 2026</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Authoritative sources</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School curriculum decision records; the Sri Lanka Qualifications Framework (University Grants Commission, 2015)</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Applies to</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All carrying SOCE pathways - held in common</w:t>
            </w:r>
          </w:p>
        </w:tc>
      </w:tr>
    </w:tbl>
    <w:p>
      <w:pPr>
        <w:spacing w:after="120" w:before="120"/>
      </w:pPr>
      <w:r>
        <w:rPr>
          <w:rFonts w:ascii="Open Sans" w:cs="Open Sans" w:eastAsia="Open Sans" w:hAnsi="Open Sans"/>
          <w:sz w:val="20"/>
          <w:szCs w:val="20"/>
        </w:rPr>
        <w:t xml:space="preserve"/>
      </w:r>
    </w:p>
    <w:p>
      <w:pPr>
        <w:pBdr>
          <w:bottom w:val="single" w:color="BFBFBF" w:sz="6"/>
        </w:pBdr>
        <w:spacing w:after="120" w:before="300"/>
      </w:pPr>
      <w:r>
        <w:rPr>
          <w:rFonts w:ascii="Open Sans" w:cs="Open Sans" w:eastAsia="Open Sans" w:hAnsi="Open Sans"/>
          <w:b/>
          <w:bCs/>
          <w:i w:val="false"/>
          <w:iCs w:val="false"/>
          <w:color w:val="333333"/>
          <w:sz w:val="24"/>
          <w:szCs w:val="24"/>
        </w:rPr>
        <w:t xml:space="preserve">Module Identity and Architecture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708"/>
        <w:gridCol w:w="6318"/>
      </w:tblGrid>
      <w:tr>
        <w:trPr>
          <w:tblHeader/>
        </w:trPr>
        <w:tc>
          <w:tcPr>
            <w:tcW w:type="dxa" w:w="2708"/>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Field</w:t>
            </w:r>
          </w:p>
        </w:tc>
        <w:tc>
          <w:tcPr>
            <w:tcW w:type="dxa" w:w="6318"/>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Value</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Module code</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NB-SOCE-L4-CM-IS-02</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Module title</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Effective Communication Skills II</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Scope / type</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Institution-wide common · Common / Integrative Skills</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SLQF level / credits</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Level 4 (Year 2) · 2 credits · 100 notional hours (1 credit = 50 hours)</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Carried by</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CS(SE), CS(AI&amp;DS), ITB, NEC</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Exit-award relevance</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Higher Diploma exit: professional communication competency evidence</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Feeder targets (named)</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NB5006CEM Effective Communication Skills, at Level 5</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Prerequisites</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Effective Communication Skills I (Year 1)</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Delivery mode</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Workshop-based skills delivery: 15 workshop hours = 5 three-hour blocks, plus facilitated activities, coaching and independent work per the B profile</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Hours profile</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Skills 2-credit (B-2), the School's hours model</w:t>
            </w:r>
          </w:p>
        </w:tc>
      </w:tr>
    </w:tbl>
    <w:p>
      <w:pPr>
        <w:spacing w:after="80" w:before="0"/>
      </w:pPr>
      <w:r>
        <w:rPr>
          <w:rFonts w:ascii="Open Sans" w:cs="Open Sans" w:eastAsia="Open Sans" w:hAnsi="Open Sans"/>
          <w:sz w:val="20"/>
          <w:szCs w:val="20"/>
        </w:rPr>
        <w:t xml:space="preserve"/>
      </w:r>
    </w:p>
    <w:p>
      <w:pPr>
        <w:pBdr>
          <w:bottom w:val="single" w:color="BFBFBF" w:sz="6"/>
        </w:pBdr>
        <w:spacing w:after="120" w:before="300"/>
      </w:pPr>
      <w:r>
        <w:rPr>
          <w:rFonts w:ascii="Open Sans" w:cs="Open Sans" w:eastAsia="Open Sans" w:hAnsi="Open Sans"/>
          <w:b/>
          <w:bCs/>
          <w:i w:val="false"/>
          <w:iCs w:val="false"/>
          <w:color w:val="333333"/>
          <w:sz w:val="24"/>
          <w:szCs w:val="24"/>
        </w:rPr>
        <w:t xml:space="preserve">Module Purpose and Aims</w:t>
      </w:r>
    </w:p>
    <w:p>
      <w:pPr>
        <w:spacing w:after="100" w:before="100"/>
      </w:pPr>
      <w:r>
        <w:rPr>
          <w:rFonts w:ascii="Open Sans" w:cs="Open Sans" w:eastAsia="Open Sans" w:hAnsi="Open Sans"/>
          <w:b w:val="false"/>
          <w:bCs w:val="false"/>
          <w:i w:val="false"/>
          <w:iCs w:val="false"/>
          <w:color w:val="595959"/>
          <w:sz w:val="20"/>
          <w:szCs w:val="20"/>
        </w:rPr>
        <w:t xml:space="preserve">To take a student who can communicate competently and make them effective inside an organisation. The module works on four fronts: the written forms that professional work actually produces, the performance settings that decide careers, the interpersonal conduct that makes someone workable with, and the habit of looking honestly at one's own practice.</w:t>
      </w:r>
    </w:p>
    <w:p>
      <w:pPr>
        <w:spacing w:after="100" w:before="100"/>
      </w:pPr>
      <w:r>
        <w:rPr>
          <w:rFonts w:ascii="Open Sans" w:cs="Open Sans" w:eastAsia="Open Sans" w:hAnsi="Open Sans"/>
          <w:b w:val="false"/>
          <w:bCs w:val="false"/>
          <w:i w:val="false"/>
          <w:iCs w:val="false"/>
          <w:color w:val="595959"/>
          <w:sz w:val="20"/>
          <w:szCs w:val="20"/>
        </w:rPr>
        <w:t xml:space="preserve">Its scheduling is deliberate. The module sits before the Industrial Training placement block, so the interview strand is preparation rather than retrospect, and the reporting strand is rehearsed before it is required in the workplace.</w:t>
      </w:r>
    </w:p>
    <w:p>
      <w:pPr>
        <w:spacing w:after="100" w:before="100"/>
      </w:pPr>
      <w:r>
        <w:rPr>
          <w:rFonts w:ascii="Open Sans" w:cs="Open Sans" w:eastAsia="Open Sans" w:hAnsi="Open Sans"/>
          <w:b w:val="false"/>
          <w:bCs w:val="false"/>
          <w:i w:val="false"/>
          <w:iCs w:val="false"/>
          <w:color w:val="595959"/>
          <w:sz w:val="20"/>
          <w:szCs w:val="20"/>
        </w:rPr>
        <w:t xml:space="preserve">The reflective strand is not decoration. Assertiveness without reflection produces the wrong graduate, and the two pathway records that named these strands were right to hold them together.</w:t>
      </w:r>
    </w:p>
    <w:p>
      <w:pPr>
        <w:spacing w:after="90" w:before="220"/>
      </w:pPr>
      <w:r>
        <w:rPr>
          <w:rFonts w:ascii="Open Sans" w:cs="Open Sans" w:eastAsia="Open Sans" w:hAnsi="Open Sans"/>
          <w:b/>
          <w:bCs/>
          <w:i w:val="false"/>
          <w:iCs w:val="false"/>
          <w:color w:val="333333"/>
          <w:sz w:val="21"/>
          <w:szCs w:val="21"/>
        </w:rPr>
        <w:t xml:space="preserve">Specification Boundary</w:t>
      </w:r>
    </w:p>
    <w:p>
      <w:pPr>
        <w:pBdr>
          <w:left w:val="single" w:color="BFBFBF" w:sz="12"/>
        </w:pBdr>
        <w:spacing w:after="60" w:before="60"/>
        <w:ind w:left="300"/>
      </w:pPr>
      <w:r>
        <w:rPr>
          <w:rFonts w:ascii="Open Sans" w:cs="Open Sans" w:eastAsia="Open Sans" w:hAnsi="Open Sans"/>
          <w:b/>
          <w:bCs/>
          <w:i w:val="false"/>
          <w:iCs w:val="false"/>
          <w:color w:val="595959"/>
          <w:sz w:val="19"/>
          <w:szCs w:val="19"/>
        </w:rPr>
        <w:t xml:space="preserve">Covers:</w:t>
      </w:r>
      <w:r>
        <w:rPr>
          <w:rFonts w:ascii="Open Sans" w:cs="Open Sans" w:eastAsia="Open Sans" w:hAnsi="Open Sans"/>
          <w:b w:val="false"/>
          <w:bCs w:val="false"/>
          <w:i w:val="false"/>
          <w:iCs w:val="false"/>
          <w:color w:val="595959"/>
          <w:sz w:val="19"/>
          <w:szCs w:val="19"/>
        </w:rPr>
        <w:t xml:space="preserve"> advanced professional communication in workplace and organisational settings; technical and business reporting and documentation; interview and professional-dialogue performance; interpersonal communication, assertiveness and reflective practice.</w:t>
      </w:r>
    </w:p>
    <w:p>
      <w:pPr>
        <w:pBdr>
          <w:left w:val="single" w:color="BFBFBF" w:sz="12"/>
        </w:pBdr>
        <w:spacing w:after="60" w:before="60"/>
        <w:ind w:left="300"/>
      </w:pPr>
      <w:r>
        <w:rPr>
          <w:rFonts w:ascii="Open Sans" w:cs="Open Sans" w:eastAsia="Open Sans" w:hAnsi="Open Sans"/>
          <w:b/>
          <w:bCs/>
          <w:i w:val="false"/>
          <w:iCs w:val="false"/>
          <w:color w:val="595959"/>
          <w:sz w:val="19"/>
          <w:szCs w:val="19"/>
        </w:rPr>
        <w:t xml:space="preserve">Does NOT cover:</w:t>
      </w:r>
      <w:r>
        <w:rPr>
          <w:rFonts w:ascii="Open Sans" w:cs="Open Sans" w:eastAsia="Open Sans" w:hAnsi="Open Sans"/>
          <w:b w:val="false"/>
          <w:bCs w:val="false"/>
          <w:i w:val="false"/>
          <w:iCs w:val="false"/>
          <w:color w:val="595959"/>
          <w:sz w:val="19"/>
          <w:szCs w:val="19"/>
        </w:rPr>
        <w:t xml:space="preserve"> academic-writing and research-readiness preparation (Capstone Project, on every pathway); the interpersonal-theory and emotional-intelligence depth of NB5006CEM; entrepreneurship content (CREST); pathway technical content.</w:t>
      </w:r>
    </w:p>
    <w:p>
      <w:pPr>
        <w:pBdr>
          <w:left w:val="single" w:color="BFBFBF" w:sz="12"/>
        </w:pBdr>
        <w:spacing w:after="60" w:before="60"/>
        <w:ind w:left="300"/>
      </w:pPr>
      <w:r>
        <w:rPr>
          <w:rFonts w:ascii="Open Sans" w:cs="Open Sans" w:eastAsia="Open Sans" w:hAnsi="Open Sans"/>
          <w:b w:val="false"/>
          <w:bCs w:val="false"/>
          <w:i w:val="false"/>
          <w:iCs w:val="false"/>
          <w:color w:val="595959"/>
          <w:sz w:val="19"/>
          <w:szCs w:val="19"/>
        </w:rPr>
        <w:t xml:space="preserve">Changes to this boundary are made only through the School's formal change-control process.</w:t>
      </w:r>
    </w:p>
    <w:p>
      <w:pPr>
        <w:pBdr>
          <w:bottom w:val="single" w:color="BFBFBF" w:sz="6"/>
        </w:pBdr>
        <w:spacing w:after="120" w:before="300"/>
      </w:pPr>
      <w:r>
        <w:rPr>
          <w:rFonts w:ascii="Open Sans" w:cs="Open Sans" w:eastAsia="Open Sans" w:hAnsi="Open Sans"/>
          <w:b/>
          <w:bCs/>
          <w:i w:val="false"/>
          <w:iCs w:val="false"/>
          <w:color w:val="333333"/>
          <w:sz w:val="24"/>
          <w:szCs w:val="24"/>
        </w:rPr>
        <w:t xml:space="preserve">Learning Outcomes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444"/>
        <w:gridCol w:w="6138"/>
        <w:gridCol w:w="1444"/>
      </w:tblGrid>
      <w:tr>
        <w:trPr>
          <w:tblHeader/>
        </w:trPr>
        <w:tc>
          <w:tcPr>
            <w:tcW w:type="dxa" w:w="1444"/>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Ref</w:t>
            </w:r>
          </w:p>
        </w:tc>
        <w:tc>
          <w:tcPr>
            <w:tcW w:type="dxa" w:w="6138"/>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Intended Learning Outcome</w:t>
            </w:r>
          </w:p>
        </w:tc>
        <w:tc>
          <w:tcPr>
            <w:tcW w:type="dxa" w:w="1444"/>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Register</w:t>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LO1</w:t>
            </w:r>
          </w:p>
        </w:tc>
        <w:tc>
          <w:tcPr>
            <w:tcW w:type="dxa" w:w="613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Produce workplace-standard technical and business reports and documentation</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Apply (Bloom); K-SAM 3</w:t>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LO2</w:t>
            </w:r>
          </w:p>
        </w:tc>
        <w:tc>
          <w:tcPr>
            <w:tcW w:type="dxa" w:w="613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Construct and defend a persuasive proposal for a professional audience</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Apply / Analyse (Bloom); K-SAM 3, 5</w:t>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LO3</w:t>
            </w:r>
          </w:p>
        </w:tc>
        <w:tc>
          <w:tcPr>
            <w:tcW w:type="dxa" w:w="613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Perform effectively in interview and professional-dialogue settings</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Apply (Bloom); K-SAM 3, 9</w:t>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LO4</w:t>
            </w:r>
          </w:p>
        </w:tc>
        <w:tc>
          <w:tcPr>
            <w:tcW w:type="dxa" w:w="613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Communicate assertively and appropriately within organisational structures and interpersonal settings</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Apply (Bloom); K-SAM 4, 8</w:t>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LO5</w:t>
            </w:r>
          </w:p>
        </w:tc>
        <w:tc>
          <w:tcPr>
            <w:tcW w:type="dxa" w:w="613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Reflect on personal communication practice to identify and act on development needs</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Understand / introductory Evaluate (Bloom); K-SAM 10, 12</w:t>
            </w:r>
          </w:p>
        </w:tc>
      </w:tr>
    </w:tbl>
    <w:p>
      <w:pPr>
        <w:spacing w:after="80" w:before="0"/>
      </w:pPr>
      <w:r>
        <w:rPr>
          <w:rFonts w:ascii="Open Sans" w:cs="Open Sans" w:eastAsia="Open Sans" w:hAnsi="Open Sans"/>
          <w:sz w:val="20"/>
          <w:szCs w:val="20"/>
        </w:rPr>
        <w:t xml:space="preserve"/>
      </w:r>
    </w:p>
    <w:p>
      <w:pPr>
        <w:spacing w:after="90" w:before="220"/>
      </w:pPr>
      <w:r>
        <w:rPr>
          <w:rFonts w:ascii="Open Sans" w:cs="Open Sans" w:eastAsia="Open Sans" w:hAnsi="Open Sans"/>
          <w:b/>
          <w:bCs/>
          <w:i w:val="false"/>
          <w:iCs w:val="false"/>
          <w:color w:val="333333"/>
          <w:sz w:val="21"/>
          <w:szCs w:val="21"/>
        </w:rPr>
        <w:t xml:space="preserve">Integrative Points and Seams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708"/>
        <w:gridCol w:w="6318"/>
      </w:tblGrid>
      <w:tr>
        <w:trPr>
          <w:tblHeader/>
        </w:trPr>
        <w:tc>
          <w:tcPr>
            <w:tcW w:type="dxa" w:w="2708"/>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Counterpart</w:t>
            </w:r>
          </w:p>
        </w:tc>
        <w:tc>
          <w:tcPr>
            <w:tcW w:type="dxa" w:w="6318"/>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Seam</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Effective Communication Skills I (Year 1)</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The foundational seat: written and spoken competence, audience judgment and team communication are assumed whole and not re-taught. This module begins at organisational scale.</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Capstone Project (Year 2, all pathways)</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Owns academic-writing and research-readiness development, and carries it forward to the Level 6 research chain on every pathway. This module supplies the professional register; it does not prepare research.</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Industrial Training (Year 2)</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Scheduled before the placement block. The placement report and viva assume this module's reporting and dialogue competence; nothing communicative is taught during placement.</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NB5006CEM (Level 5)</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Named feeder. Interpersonal theory and emotional-intelligence depth are the destination's; the practised behaviours are ours.</w:t>
            </w:r>
          </w:p>
        </w:tc>
      </w:tr>
    </w:tbl>
    <w:p>
      <w:pPr>
        <w:spacing w:after="80" w:before="0"/>
      </w:pPr>
      <w:r>
        <w:rPr>
          <w:rFonts w:ascii="Open Sans" w:cs="Open Sans" w:eastAsia="Open Sans" w:hAnsi="Open Sans"/>
          <w:sz w:val="20"/>
          <w:szCs w:val="20"/>
        </w:rPr>
        <w:t xml:space="preserve"/>
      </w:r>
    </w:p>
    <w:p>
      <w:pPr>
        <w:pBdr>
          <w:bottom w:val="single" w:color="BFBFBF" w:sz="6"/>
        </w:pBdr>
        <w:spacing w:after="120" w:before="300"/>
      </w:pPr>
      <w:r>
        <w:rPr>
          <w:rFonts w:ascii="Open Sans" w:cs="Open Sans" w:eastAsia="Open Sans" w:hAnsi="Open Sans"/>
          <w:b/>
          <w:bCs/>
          <w:i w:val="false"/>
          <w:iCs w:val="false"/>
          <w:color w:val="333333"/>
          <w:sz w:val="24"/>
          <w:szCs w:val="24"/>
        </w:rPr>
        <w:t xml:space="preserve">Skills Programme and Delivery</w:t>
      </w:r>
    </w:p>
    <w:p>
      <w:pPr>
        <w:spacing w:after="90" w:before="220"/>
      </w:pPr>
      <w:r>
        <w:rPr>
          <w:rFonts w:ascii="Open Sans" w:cs="Open Sans" w:eastAsia="Open Sans" w:hAnsi="Open Sans"/>
          <w:b/>
          <w:bCs/>
          <w:i w:val="false"/>
          <w:iCs w:val="false"/>
          <w:color w:val="333333"/>
          <w:sz w:val="21"/>
          <w:szCs w:val="21"/>
        </w:rPr>
        <w:t xml:space="preserve">Workshop Programme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444"/>
        <w:gridCol w:w="6138"/>
        <w:gridCol w:w="1444"/>
      </w:tblGrid>
      <w:tr>
        <w:trPr>
          <w:tblHeader/>
        </w:trPr>
        <w:tc>
          <w:tcPr>
            <w:tcW w:type="dxa" w:w="1444"/>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Ref</w:t>
            </w:r>
          </w:p>
        </w:tc>
        <w:tc>
          <w:tcPr>
            <w:tcW w:type="dxa" w:w="6138"/>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Theme</w:t>
            </w:r>
          </w:p>
        </w:tc>
        <w:tc>
          <w:tcPr>
            <w:tcW w:type="dxa" w:w="1444"/>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Hours</w:t>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W1</w:t>
            </w:r>
          </w:p>
        </w:tc>
        <w:tc>
          <w:tcPr>
            <w:tcW w:type="dxa" w:w="613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Workplace communication: organisational structures, meetings and written channels</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3</w:t>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W2</w:t>
            </w:r>
          </w:p>
        </w:tc>
        <w:tc>
          <w:tcPr>
            <w:tcW w:type="dxa" w:w="613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Technical and business reporting and documentation</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3</w:t>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W3</w:t>
            </w:r>
          </w:p>
        </w:tc>
        <w:tc>
          <w:tcPr>
            <w:tcW w:type="dxa" w:w="613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Persuasive communication: proposals and pitches</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3</w:t>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W4</w:t>
            </w:r>
          </w:p>
        </w:tc>
        <w:tc>
          <w:tcPr>
            <w:tcW w:type="dxa" w:w="613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Interview and professional-dialogue performance</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3</w:t>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W5</w:t>
            </w:r>
          </w:p>
        </w:tc>
        <w:tc>
          <w:tcPr>
            <w:tcW w:type="dxa" w:w="613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Interpersonal communication and assertiveness, with structured reflection on personal practice</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3</w:t>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sz w:val="18"/>
                <w:szCs w:val="18"/>
              </w:rPr>
              <w:t xml:space="preserve"/>
            </w:r>
          </w:p>
        </w:tc>
        <w:tc>
          <w:tcPr>
            <w:tcW w:type="dxa" w:w="613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Total workshop hours</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15</w:t>
            </w:r>
          </w:p>
        </w:tc>
      </w:tr>
    </w:tbl>
    <w:p>
      <w:pPr>
        <w:spacing w:after="80" w:before="0"/>
      </w:pPr>
      <w:r>
        <w:rPr>
          <w:rFonts w:ascii="Open Sans" w:cs="Open Sans" w:eastAsia="Open Sans" w:hAnsi="Open Sans"/>
          <w:sz w:val="20"/>
          <w:szCs w:val="20"/>
        </w:rPr>
        <w:t xml:space="preserve"/>
      </w:r>
    </w:p>
    <w:p>
      <w:pPr>
        <w:spacing w:after="100" w:before="100"/>
      </w:pPr>
      <w:r>
        <w:rPr>
          <w:rFonts w:ascii="Open Sans" w:cs="Open Sans" w:eastAsia="Open Sans" w:hAnsi="Open Sans"/>
          <w:b w:val="false"/>
          <w:bCs w:val="false"/>
          <w:i w:val="false"/>
          <w:iCs w:val="false"/>
          <w:color w:val="595959"/>
          <w:sz w:val="20"/>
          <w:szCs w:val="20"/>
        </w:rPr>
        <w:t xml:space="preserve">Workshops run as five three-hour blocks (the School's curriculum decisions session pattern). Facilitated activities (21 hours) include report and proposal studios and mock-interview practice; coaching (9 hours) gives individual feedback ahead of the assessed dialogue and supports the reflective strand; independent work (55 hours) completes the portfolio. Scheduling places the module before the Industrial Training placement block.</w:t>
      </w:r>
    </w:p>
    <w:p>
      <w:pPr>
        <w:spacing w:after="90" w:before="220"/>
      </w:pPr>
      <w:r>
        <w:rPr>
          <w:rFonts w:ascii="Open Sans" w:cs="Open Sans" w:eastAsia="Open Sans" w:hAnsi="Open Sans"/>
          <w:b/>
          <w:bCs/>
          <w:i w:val="false"/>
          <w:iCs w:val="false"/>
          <w:color w:val="333333"/>
          <w:sz w:val="21"/>
          <w:szCs w:val="21"/>
        </w:rPr>
        <w:t xml:space="preserve">Engagement Hours (SLQF)</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708"/>
        <w:gridCol w:w="6318"/>
      </w:tblGrid>
      <w:tr>
        <w:trPr>
          <w:tblHeader/>
        </w:trPr>
        <w:tc>
          <w:tcPr>
            <w:tcW w:type="dxa" w:w="2708"/>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Component</w:t>
            </w:r>
          </w:p>
        </w:tc>
        <w:tc>
          <w:tcPr>
            <w:tcW w:type="dxa" w:w="6318"/>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Hours</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Taught workshops</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15</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Facilitated activities</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21</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Coaching / feedback sessions</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9</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Independent work</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55</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Total</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100</w:t>
            </w:r>
          </w:p>
        </w:tc>
      </w:tr>
    </w:tbl>
    <w:p>
      <w:pPr>
        <w:spacing w:after="80" w:before="0"/>
      </w:pPr>
      <w:r>
        <w:rPr>
          <w:rFonts w:ascii="Open Sans" w:cs="Open Sans" w:eastAsia="Open Sans" w:hAnsi="Open Sans"/>
          <w:sz w:val="20"/>
          <w:szCs w:val="20"/>
        </w:rPr>
        <w:t xml:space="preserve"/>
      </w:r>
    </w:p>
    <w:p>
      <w:pPr>
        <w:pBdr>
          <w:bottom w:val="single" w:color="BFBFBF" w:sz="6"/>
        </w:pBdr>
        <w:spacing w:after="120" w:before="300"/>
      </w:pPr>
      <w:r>
        <w:rPr>
          <w:rFonts w:ascii="Open Sans" w:cs="Open Sans" w:eastAsia="Open Sans" w:hAnsi="Open Sans"/>
          <w:b/>
          <w:bCs/>
          <w:i w:val="false"/>
          <w:iCs w:val="false"/>
          <w:color w:val="333333"/>
          <w:sz w:val="24"/>
          <w:szCs w:val="24"/>
        </w:rPr>
        <w:t xml:space="preserve">Assessment</w:t>
      </w:r>
    </w:p>
    <w:p>
      <w:pPr>
        <w:spacing w:after="100" w:before="100"/>
      </w:pPr>
      <w:r>
        <w:rPr>
          <w:rFonts w:ascii="Open Sans" w:cs="Open Sans" w:eastAsia="Open Sans" w:hAnsi="Open Sans"/>
          <w:b w:val="false"/>
          <w:bCs w:val="false"/>
          <w:i w:val="false"/>
          <w:iCs w:val="false"/>
          <w:color w:val="595959"/>
          <w:sz w:val="20"/>
          <w:szCs w:val="20"/>
        </w:rPr>
        <w:t xml:space="preserve">Components per the Assessment Component Taxonomy (the School's assessment component taxonomy). Weightings confirmed at specification sign-off; no formal examination is carried by design.</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444"/>
        <w:gridCol w:w="3249"/>
        <w:gridCol w:w="1444"/>
        <w:gridCol w:w="1444"/>
        <w:gridCol w:w="1445"/>
      </w:tblGrid>
      <w:tr>
        <w:trPr>
          <w:tblHeader/>
        </w:trPr>
        <w:tc>
          <w:tcPr>
            <w:tcW w:type="dxa" w:w="1444"/>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Component code</w:t>
            </w:r>
          </w:p>
        </w:tc>
        <w:tc>
          <w:tcPr>
            <w:tcW w:type="dxa" w:w="3249"/>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Task</w:t>
            </w:r>
          </w:p>
        </w:tc>
        <w:tc>
          <w:tcPr>
            <w:tcW w:type="dxa" w:w="1444"/>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Attributes</w:t>
            </w:r>
          </w:p>
        </w:tc>
        <w:tc>
          <w:tcPr>
            <w:tcW w:type="dxa" w:w="1444"/>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ILOs</w:t>
            </w:r>
          </w:p>
        </w:tc>
        <w:tc>
          <w:tcPr>
            <w:tcW w:type="dxa" w:w="1445"/>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Weight</w:t>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CW-I-Home</w:t>
            </w:r>
          </w:p>
        </w:tc>
        <w:tc>
          <w:tcPr>
            <w:tcW w:type="dxa" w:w="3249"/>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Professional communication portfolio: a technical or business report anchored in the student's own Year 2 pathway work, a persuasive proposal, and a reflective statement on personal communication practice</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Individual; take-home; graded; oral vehicle: None</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LO1, LO2, LO5</w:t>
            </w:r>
          </w:p>
        </w:tc>
        <w:tc>
          <w:tcPr>
            <w:tcW w:type="dxa" w:w="1445"/>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60</w:t>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CW-I-Class</w:t>
            </w:r>
          </w:p>
        </w:tc>
        <w:tc>
          <w:tcPr>
            <w:tcW w:type="dxa" w:w="3249"/>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Assessed professional dialogue: an interview and proposal defence, with an assertive-communication scenario worked in role</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Individual; in-class (supervised); graded; oral vehicle: Viva-style dialogue</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LO2, LO3, LO4</w:t>
            </w:r>
          </w:p>
        </w:tc>
        <w:tc>
          <w:tcPr>
            <w:tcW w:type="dxa" w:w="1445"/>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40</w:t>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sz w:val="18"/>
                <w:szCs w:val="18"/>
              </w:rPr>
              <w:t xml:space="preserve"/>
            </w:r>
          </w:p>
        </w:tc>
        <w:tc>
          <w:tcPr>
            <w:tcW w:type="dxa" w:w="3249"/>
            <w:tcMar>
              <w:top w:type="dxa" w:w="80"/>
              <w:left w:type="dxa" w:w="120"/>
              <w:bottom w:type="dxa" w:w="80"/>
              <w:right w:type="dxa" w:w="120"/>
            </w:tcMar>
          </w:tcPr>
          <w:p>
            <w:pPr>
              <w:spacing w:after="20" w:before="20"/>
            </w:pPr>
            <w:r>
              <w:rPr>
                <w:rFonts w:ascii="Open Sans" w:cs="Open Sans" w:eastAsia="Open Sans" w:hAnsi="Open Sans"/>
                <w:b/>
                <w:bCs/>
                <w:i w:val="false"/>
                <w:iCs w:val="false"/>
                <w:color w:val="595959"/>
                <w:sz w:val="18"/>
                <w:szCs w:val="18"/>
              </w:rPr>
              <w:t xml:space="preserve">Total</w:t>
            </w:r>
          </w:p>
        </w:tc>
        <w:tc>
          <w:tcPr>
            <w:tcW w:type="dxa" w:w="1444"/>
            <w:tcMar>
              <w:top w:type="dxa" w:w="80"/>
              <w:left w:type="dxa" w:w="120"/>
              <w:bottom w:type="dxa" w:w="80"/>
              <w:right w:type="dxa" w:w="120"/>
            </w:tcMar>
          </w:tcPr>
          <w:p>
            <w:pPr>
              <w:spacing w:after="20" w:before="20"/>
            </w:pPr>
            <w:r>
              <w:rPr>
                <w:rFonts w:ascii="Open Sans" w:cs="Open Sans" w:eastAsia="Open Sans" w:hAnsi="Open Sans"/>
                <w:sz w:val="18"/>
                <w:szCs w:val="18"/>
              </w:rPr>
              <w:t xml:space="preserve"/>
            </w:r>
          </w:p>
        </w:tc>
        <w:tc>
          <w:tcPr>
            <w:tcW w:type="dxa" w:w="1444"/>
            <w:tcMar>
              <w:top w:type="dxa" w:w="80"/>
              <w:left w:type="dxa" w:w="120"/>
              <w:bottom w:type="dxa" w:w="80"/>
              <w:right w:type="dxa" w:w="120"/>
            </w:tcMar>
          </w:tcPr>
          <w:p>
            <w:pPr>
              <w:spacing w:after="20" w:before="20"/>
            </w:pPr>
            <w:r>
              <w:rPr>
                <w:rFonts w:ascii="Open Sans" w:cs="Open Sans" w:eastAsia="Open Sans" w:hAnsi="Open Sans"/>
                <w:sz w:val="18"/>
                <w:szCs w:val="18"/>
              </w:rPr>
              <w:t xml:space="preserve"/>
            </w:r>
          </w:p>
        </w:tc>
        <w:tc>
          <w:tcPr>
            <w:tcW w:type="dxa" w:w="1445"/>
            <w:tcMar>
              <w:top w:type="dxa" w:w="80"/>
              <w:left w:type="dxa" w:w="120"/>
              <w:bottom w:type="dxa" w:w="80"/>
              <w:right w:type="dxa" w:w="120"/>
            </w:tcMar>
          </w:tcPr>
          <w:p>
            <w:pPr>
              <w:spacing w:after="20" w:before="20"/>
            </w:pPr>
            <w:r>
              <w:rPr>
                <w:rFonts w:ascii="Open Sans" w:cs="Open Sans" w:eastAsia="Open Sans" w:hAnsi="Open Sans"/>
                <w:b/>
                <w:bCs/>
                <w:i w:val="false"/>
                <w:iCs w:val="false"/>
                <w:color w:val="595959"/>
                <w:sz w:val="18"/>
                <w:szCs w:val="18"/>
              </w:rPr>
              <w:t xml:space="preserve">100</w:t>
            </w:r>
          </w:p>
        </w:tc>
      </w:tr>
    </w:tbl>
    <w:p>
      <w:pPr>
        <w:spacing w:after="80" w:before="0"/>
      </w:pPr>
      <w:r>
        <w:rPr>
          <w:rFonts w:ascii="Open Sans" w:cs="Open Sans" w:eastAsia="Open Sans" w:hAnsi="Open Sans"/>
          <w:sz w:val="20"/>
          <w:szCs w:val="20"/>
        </w:rPr>
        <w:t xml:space="preserve"/>
      </w:r>
    </w:p>
    <w:p>
      <w:pPr>
        <w:spacing w:after="100" w:before="100"/>
      </w:pPr>
      <w:r>
        <w:rPr>
          <w:rFonts w:ascii="Open Sans" w:cs="Open Sans" w:eastAsia="Open Sans" w:hAnsi="Open Sans"/>
          <w:b w:val="false"/>
          <w:bCs w:val="false"/>
          <w:i w:val="false"/>
          <w:iCs w:val="false"/>
          <w:color w:val="595959"/>
          <w:sz w:val="20"/>
          <w:szCs w:val="20"/>
        </w:rPr>
        <w:t xml:space="preserve">Reassessment: by the failed component only, with an equivalent task, per School regulations. All assessment under the academic integrity policy including its generative-AI provisions; module-level stance set at teaching-plan stage.</w:t>
      </w:r>
    </w:p>
    <w:p>
      <w:pPr>
        <w:pBdr>
          <w:bottom w:val="single" w:color="BFBFBF" w:sz="6"/>
        </w:pBdr>
        <w:spacing w:after="120" w:before="300"/>
      </w:pPr>
      <w:r>
        <w:rPr>
          <w:rFonts w:ascii="Open Sans" w:cs="Open Sans" w:eastAsia="Open Sans" w:hAnsi="Open Sans"/>
          <w:b/>
          <w:bCs/>
          <w:i w:val="false"/>
          <w:iCs w:val="false"/>
          <w:color w:val="333333"/>
          <w:sz w:val="24"/>
          <w:szCs w:val="24"/>
        </w:rPr>
        <w:t xml:space="preserve">Resources, Staff and Governance</w:t>
      </w:r>
    </w:p>
    <w:p>
      <w:pPr>
        <w:spacing w:after="90" w:before="220"/>
      </w:pPr>
      <w:r>
        <w:rPr>
          <w:rFonts w:ascii="Open Sans" w:cs="Open Sans" w:eastAsia="Open Sans" w:hAnsi="Open Sans"/>
          <w:b/>
          <w:bCs/>
          <w:i w:val="false"/>
          <w:iCs w:val="false"/>
          <w:color w:val="333333"/>
          <w:sz w:val="21"/>
          <w:szCs w:val="21"/>
        </w:rPr>
        <w:t xml:space="preserve">Indicative Reading</w:t>
      </w:r>
    </w:p>
    <w:p>
      <w:pPr>
        <w:spacing w:after="40" w:before="40"/>
        <w:ind w:left="300" w:hanging="160"/>
      </w:pPr>
      <w:r>
        <w:rPr>
          <w:rFonts w:ascii="Open Sans" w:cs="Open Sans" w:eastAsia="Open Sans" w:hAnsi="Open Sans"/>
          <w:b w:val="false"/>
          <w:bCs w:val="false"/>
          <w:i w:val="false"/>
          <w:iCs w:val="false"/>
          <w:color w:val="595959"/>
          <w:sz w:val="20"/>
          <w:szCs w:val="20"/>
        </w:rPr>
        <w:t xml:space="preserve">•  Alred, G. J., Brusaw, C. T. and Oliu, W. E., *Handbook of Technical Writing* (Bedford/St Martin's) - reference use for the reporting strand.</w:t>
      </w:r>
    </w:p>
    <w:p>
      <w:pPr>
        <w:spacing w:after="40" w:before="40"/>
        <w:ind w:left="300" w:hanging="160"/>
      </w:pPr>
      <w:r>
        <w:rPr>
          <w:rFonts w:ascii="Open Sans" w:cs="Open Sans" w:eastAsia="Open Sans" w:hAnsi="Open Sans"/>
          <w:b w:val="false"/>
          <w:bCs w:val="false"/>
          <w:i w:val="false"/>
          <w:iCs w:val="false"/>
          <w:color w:val="595959"/>
          <w:sz w:val="20"/>
          <w:szCs w:val="20"/>
        </w:rPr>
        <w:t xml:space="preserve">•  Back, K. and Back, K., *Assertiveness at Work* (McGraw-Hill) - selected chapters for the assertiveness strand.</w:t>
      </w:r>
    </w:p>
    <w:p>
      <w:pPr>
        <w:spacing w:after="40" w:before="40"/>
        <w:ind w:left="300" w:hanging="160"/>
      </w:pPr>
      <w:r>
        <w:rPr>
          <w:rFonts w:ascii="Open Sans" w:cs="Open Sans" w:eastAsia="Open Sans" w:hAnsi="Open Sans"/>
          <w:b w:val="false"/>
          <w:bCs w:val="false"/>
          <w:i w:val="false"/>
          <w:iCs w:val="false"/>
          <w:color w:val="595959"/>
          <w:sz w:val="20"/>
          <w:szCs w:val="20"/>
        </w:rPr>
        <w:t xml:space="preserve">•  Moon, J., *Learning Journals* (Routledge) - selected use for structured reflective practice.</w:t>
      </w:r>
    </w:p>
    <w:p>
      <w:pPr>
        <w:spacing w:after="40" w:before="40"/>
        <w:ind w:left="300" w:hanging="160"/>
      </w:pPr>
      <w:r>
        <w:rPr>
          <w:rFonts w:ascii="Open Sans" w:cs="Open Sans" w:eastAsia="Open Sans" w:hAnsi="Open Sans"/>
          <w:b w:val="false"/>
          <w:bCs w:val="false"/>
          <w:i w:val="false"/>
          <w:iCs w:val="false"/>
          <w:color w:val="595959"/>
          <w:sz w:val="20"/>
          <w:szCs w:val="20"/>
        </w:rPr>
        <w:t xml:space="preserve">•  School-produced report template, proposal brief and dialogue rubric, confirmed at teaching-plan stage.</w:t>
      </w:r>
    </w:p>
    <w:p>
      <w:pPr>
        <w:spacing w:after="90" w:before="220"/>
      </w:pPr>
      <w:r>
        <w:rPr>
          <w:rFonts w:ascii="Open Sans" w:cs="Open Sans" w:eastAsia="Open Sans" w:hAnsi="Open Sans"/>
          <w:b/>
          <w:bCs/>
          <w:i w:val="false"/>
          <w:iCs w:val="false"/>
          <w:color w:val="333333"/>
          <w:sz w:val="21"/>
          <w:szCs w:val="21"/>
        </w:rPr>
        <w:t xml:space="preserve">Staffing</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444"/>
        <w:gridCol w:w="6138"/>
        <w:gridCol w:w="1444"/>
      </w:tblGrid>
      <w:tr>
        <w:trPr>
          <w:tblHeader/>
        </w:trPr>
        <w:tc>
          <w:tcPr>
            <w:tcW w:type="dxa" w:w="1444"/>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Role</w:t>
            </w:r>
          </w:p>
        </w:tc>
        <w:tc>
          <w:tcPr>
            <w:tcW w:type="dxa" w:w="6138"/>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Name</w:t>
            </w:r>
          </w:p>
        </w:tc>
        <w:tc>
          <w:tcPr>
            <w:tcW w:type="dxa" w:w="1444"/>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Domain credential</w:t>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Module leader 1</w:t>
            </w:r>
          </w:p>
        </w:tc>
        <w:tc>
          <w:tcPr>
            <w:tcW w:type="dxa" w:w="6138"/>
            <w:tcMar>
              <w:top w:type="dxa" w:w="80"/>
              <w:left w:type="dxa" w:w="120"/>
              <w:bottom w:type="dxa" w:w="80"/>
              <w:right w:type="dxa" w:w="120"/>
            </w:tcMar>
          </w:tcPr>
          <w:p>
            <w:pPr>
              <w:spacing w:after="20" w:before="20"/>
            </w:pPr>
            <w:r>
              <w:rPr>
                <w:rFonts w:ascii="Open Sans" w:cs="Open Sans" w:eastAsia="Open Sans" w:hAnsi="Open Sans"/>
                <w:sz w:val="18"/>
                <w:szCs w:val="18"/>
              </w:rPr>
              <w:t xml:space="preserve"/>
            </w:r>
          </w:p>
        </w:tc>
        <w:tc>
          <w:tcPr>
            <w:tcW w:type="dxa" w:w="1444"/>
            <w:tcMar>
              <w:top w:type="dxa" w:w="80"/>
              <w:left w:type="dxa" w:w="120"/>
              <w:bottom w:type="dxa" w:w="80"/>
              <w:right w:type="dxa" w:w="120"/>
            </w:tcMar>
          </w:tcPr>
          <w:p>
            <w:pPr>
              <w:spacing w:after="20" w:before="20"/>
            </w:pPr>
            <w:r>
              <w:rPr>
                <w:rFonts w:ascii="Open Sans" w:cs="Open Sans" w:eastAsia="Open Sans" w:hAnsi="Open Sans"/>
                <w:sz w:val="18"/>
                <w:szCs w:val="18"/>
              </w:rPr>
              <w:t xml:space="preserve"/>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Module leader 2</w:t>
            </w:r>
          </w:p>
        </w:tc>
        <w:tc>
          <w:tcPr>
            <w:tcW w:type="dxa" w:w="6138"/>
            <w:tcMar>
              <w:top w:type="dxa" w:w="80"/>
              <w:left w:type="dxa" w:w="120"/>
              <w:bottom w:type="dxa" w:w="80"/>
              <w:right w:type="dxa" w:w="120"/>
            </w:tcMar>
          </w:tcPr>
          <w:p>
            <w:pPr>
              <w:spacing w:after="20" w:before="20"/>
            </w:pPr>
            <w:r>
              <w:rPr>
                <w:rFonts w:ascii="Open Sans" w:cs="Open Sans" w:eastAsia="Open Sans" w:hAnsi="Open Sans"/>
                <w:sz w:val="18"/>
                <w:szCs w:val="18"/>
              </w:rPr>
              <w:t xml:space="preserve"/>
            </w:r>
          </w:p>
        </w:tc>
        <w:tc>
          <w:tcPr>
            <w:tcW w:type="dxa" w:w="1444"/>
            <w:tcMar>
              <w:top w:type="dxa" w:w="80"/>
              <w:left w:type="dxa" w:w="120"/>
              <w:bottom w:type="dxa" w:w="80"/>
              <w:right w:type="dxa" w:w="120"/>
            </w:tcMar>
          </w:tcPr>
          <w:p>
            <w:pPr>
              <w:spacing w:after="20" w:before="20"/>
            </w:pPr>
            <w:r>
              <w:rPr>
                <w:rFonts w:ascii="Open Sans" w:cs="Open Sans" w:eastAsia="Open Sans" w:hAnsi="Open Sans"/>
                <w:sz w:val="18"/>
                <w:szCs w:val="18"/>
              </w:rPr>
              <w:t xml:space="preserve"/>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External module auditor</w:t>
            </w:r>
          </w:p>
        </w:tc>
        <w:tc>
          <w:tcPr>
            <w:tcW w:type="dxa" w:w="6138"/>
            <w:tcMar>
              <w:top w:type="dxa" w:w="80"/>
              <w:left w:type="dxa" w:w="120"/>
              <w:bottom w:type="dxa" w:w="80"/>
              <w:right w:type="dxa" w:w="120"/>
            </w:tcMar>
          </w:tcPr>
          <w:p>
            <w:pPr>
              <w:spacing w:after="20" w:before="20"/>
            </w:pPr>
            <w:r>
              <w:rPr>
                <w:rFonts w:ascii="Open Sans" w:cs="Open Sans" w:eastAsia="Open Sans" w:hAnsi="Open Sans"/>
                <w:sz w:val="18"/>
                <w:szCs w:val="18"/>
              </w:rPr>
              <w:t xml:space="preserve"/>
            </w:r>
          </w:p>
        </w:tc>
        <w:tc>
          <w:tcPr>
            <w:tcW w:type="dxa" w:w="1444"/>
            <w:tcMar>
              <w:top w:type="dxa" w:w="80"/>
              <w:left w:type="dxa" w:w="120"/>
              <w:bottom w:type="dxa" w:w="80"/>
              <w:right w:type="dxa" w:w="120"/>
            </w:tcMar>
          </w:tcPr>
          <w:p>
            <w:pPr>
              <w:spacing w:after="20" w:before="20"/>
            </w:pPr>
            <w:r>
              <w:rPr>
                <w:rFonts w:ascii="Open Sans" w:cs="Open Sans" w:eastAsia="Open Sans" w:hAnsi="Open Sans"/>
                <w:sz w:val="18"/>
                <w:szCs w:val="18"/>
              </w:rPr>
              <w:t xml:space="preserve"/>
            </w:r>
          </w:p>
        </w:tc>
      </w:tr>
    </w:tbl>
    <w:p>
      <w:pPr>
        <w:spacing w:after="80" w:before="0"/>
      </w:pPr>
      <w:r>
        <w:rPr>
          <w:rFonts w:ascii="Open Sans" w:cs="Open Sans" w:eastAsia="Open Sans" w:hAnsi="Open Sans"/>
          <w:sz w:val="20"/>
          <w:szCs w:val="20"/>
        </w:rPr>
        <w:t xml:space="preserve"/>
      </w:r>
    </w:p>
    <w:p>
      <w:pPr>
        <w:spacing w:after="100" w:before="100"/>
      </w:pPr>
      <w:r>
        <w:rPr>
          <w:rFonts w:ascii="Open Sans" w:cs="Open Sans" w:eastAsia="Open Sans" w:hAnsi="Open Sans"/>
          <w:b/>
          <w:bCs/>
          <w:i w:val="false"/>
          <w:iCs w:val="false"/>
          <w:color w:val="595959"/>
          <w:sz w:val="20"/>
          <w:szCs w:val="20"/>
        </w:rPr>
        <w:t xml:space="preserve">Domain-expertise statement:</w:t>
      </w:r>
      <w:r>
        <w:rPr>
          <w:rFonts w:ascii="Open Sans" w:cs="Open Sans" w:eastAsia="Open Sans" w:hAnsi="Open Sans"/>
          <w:b w:val="false"/>
          <w:bCs w:val="false"/>
          <w:i w:val="false"/>
          <w:iCs w:val="false"/>
          <w:color w:val="595959"/>
          <w:sz w:val="20"/>
          <w:szCs w:val="20"/>
        </w:rPr>
        <w:t xml:space="preserve"> Delivered from professional-communication teaching expertise with workplace and industry familiarity; generic delivery is non-compliant.</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Open Sans" w:cs="Open Sans" w:eastAsia="Open Sans" w:hAnsi="Open Sans"/>
        <w:color w:val="767676"/>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6"/>
      </w:pBdr>
      <w:spacing w:after="0" w:before="0"/>
    </w:pPr>
    <w:r>
      <w:rPr>
        <w:rFonts w:ascii="Open Sans" w:cs="Open Sans" w:eastAsia="Open Sans" w:hAnsi="Open Sans"/>
        <w:b w:val="false"/>
        <w:bCs w:val="false"/>
        <w:i w:val="false"/>
        <w:iCs w:val="false"/>
        <w:color w:val="767676"/>
        <w:sz w:val="16"/>
        <w:szCs w:val="16"/>
      </w:rPr>
      <w:t xml:space="preserve">NB-SOCE-L4-CM-IS-02  ·  Effective Communication Skills II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Descriptor - Effective Communication Skills II</dc:title>
  <dc:creator>NIBM School of Computing and Engineering</dc:creator>
  <cp:lastModifiedBy>Un-named</cp:lastModifiedBy>
  <cp:revision>1</cp:revision>
  <dcterms:created xsi:type="dcterms:W3CDTF">2026-08-13T06:30:25.580Z</dcterms:created>
  <dcterms:modified xsi:type="dcterms:W3CDTF">2026-08-13T06:30:25.580Z</dcterms:modified>
</cp:coreProperties>
</file>

<file path=docProps/custom.xml><?xml version="1.0" encoding="utf-8"?>
<Properties xmlns="http://schemas.openxmlformats.org/officeDocument/2006/custom-properties" xmlns:vt="http://schemas.openxmlformats.org/officeDocument/2006/docPropsVTypes"/>
</file>