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32"/>
          <w:szCs w:val="32"/>
        </w:rPr>
        <w:t xml:space="preserve">Module Descriptor - Web and Internet Technologies</w:t>
      </w:r>
    </w:p>
    <w:p>
      <w:pPr>
        <w:spacing w:after="12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Code: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NB-SOCE-L3-NEC-TT-04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Tier: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- Network Engineering and Cybersecurity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Type: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/ Taught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Status: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Draft for Review v1.0  ·  20 Jul 2026</w:t>
      </w:r>
    </w:p>
    <w:p>
      <w:pPr>
        <w:spacing w:after="20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Sources: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School curriculum decision records; the School's SLQF reference (Sri Lanka Qualifications Framework, 2015).</w:t>
      </w:r>
    </w:p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1. Module Identity and Architecture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Module code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NB-SOCE-L3-NEC-TT-04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Module title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Web and Internet Technologies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Scope / type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Pathway: Network Engineering and Cybersecurity  ·  Pathway / Taught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SLQF level / credits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Level 3 (Year 1)  ·  3 credits  ·  150 notional hours (1 credit = 50 hours)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Progression targets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Ethical Hacking and Application Security (Year 2) - web fundamentals underpin the web-attack case studies; Level 5 Security Audit and Testing (web-security awareness); web context for Level 6 offensive-security work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Prerequisites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Fundamentals of Computing (systems awareness); runs in parallel with Networking Fundamentals for protocol context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Delivery mode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Session-based delivery in 3-hour blocks per the School's session pattern; 16 lecture sessions plus tutorials, practicals and demonstration per the hours profile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Hours profile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Taught 3-credit profile (150 notional hours)</w:t>
            </w:r>
          </w:p>
        </w:tc>
      </w:tr>
    </w:tbl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2. Module Purpose and Aims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 give the security-facing practitioner working web literacy: how the web and internet are architecturally put together, how HTTP and HTTPS behave, how web applications are structured client and server side, and enough hands-on client-side construction to make that structure concrete. The module's focus is deliberately held short of development depth: it builds the reader of web systems that Year 2's application-security work needs, not the builder of web applications, and web-security content stays at awareness level here - the depth and the offensive testing are owned by Ethical Hacking and Application Security.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Specification Boundary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7F7F7" w:sz="2"/>
              <w:left w:val="single" w:color="595959" w:sz="24"/>
              <w:bottom w:val="single" w:color="F7F7F7" w:sz="2"/>
              <w:right w:val="single" w:color="F7F7F7" w:sz="2"/>
            </w:tcBorders>
            <w:shd w:fill="F7F7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Covers: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web and internet architecture; HTTP and HTTPS; HTML, CSS and client-server basics; how web applications are structured; web-security awareness.</w:t>
            </w:r>
          </w:p>
          <w:p>
            <w:pPr>
              <w:spacing w:after="10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Does NOT cover: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application-security depth and offensive web testing (Ethical Hacking and Application Security, Year 2); web-application development (outside the pathway's mission).</w:t>
            </w:r>
          </w:p>
          <w:p>
            <w:pPr>
              <w:spacing w:after="100"/>
            </w:pPr>
            <w:r>
              <w:rPr>
                <w:rFonts w:ascii="Open Sans" w:cs="Open Sans" w:eastAsia="Open Sans" w:hAnsi="Open Sans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Changes to this boundary are made only through the School's formal change-control process.</w:t>
            </w:r>
          </w:p>
        </w:tc>
      </w:tr>
    </w:tbl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3. Learning Outcomes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938"/>
        <w:gridCol w:w="20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Ref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Intended Learning Outcome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Level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LO1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Explain web and internet architecture and core protocols.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Understand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LO2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Build a simple client-side web page.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Apply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LO3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Identify common web-security risks at an awareness level.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Understand (awareness)</w:t>
            </w:r>
          </w:p>
        </w:tc>
      </w:tr>
    </w:tbl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4. Curriculum and Delivery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Indicative Syllabus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238"/>
        <w:gridCol w:w="16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Lecture hours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U1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Web and internet architecture: clients, servers, intermediaries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U2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HTTP and HTTPS: requests, responses, state, transport security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U3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HTML and CSS foundations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U4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Client-server structure: how web applications are put together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U5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Web-security awareness: common risk classes and secure habits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U6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Hosting and serving a page: from files to a reachable site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 lecture hours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48</w:t>
            </w:r>
          </w:p>
        </w:tc>
      </w:tr>
    </w:tbl>
    <w:p>
      <w:pPr>
        <w:spacing w:after="6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48 lecture hours are delivered as 16 three-hour sessions per the School's session pattern; U3 runs as integrated build-along sessions, and the practicals component carries the page-construction laboratory time.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Skills Outcome Defence (SLQF)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7F7F7" w:sz="2"/>
              <w:left w:val="single" w:color="595959" w:sz="24"/>
              <w:bottom w:val="single" w:color="F7F7F7" w:sz="2"/>
              <w:right w:val="single" w:color="F7F7F7" w:sz="2"/>
            </w:tcBorders>
            <w:shd w:fill="F7F7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Defence: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LO2 ("Build") states a practical performance above the typical Level 3 cognitive ladder, where application is formally a Level 4 expectation. It is defended under K-SAM category 7 (Information Usage and Management - transferable skills related to ICT): supervised construction of a simple client-side page against a brief is a genuine ICT skill performance at this level, standard in first-year web-literacy provision internationally. The cognitive outcomes (LO1, LO3) sit at the conventional Level 3 expectation. This defence forms part of the programme's compliance narrative.</w:t>
            </w:r>
          </w:p>
        </w:tc>
      </w:tr>
    </w:tbl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Teaching and Learning Hours (SLQF)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38"/>
        <w:gridCol w:w="2600"/>
      </w:tblGrid>
      <w:tr>
        <w:trPr>
          <w:tblHeader/>
        </w:trP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Hours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Lectures (fixed)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48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Tutorials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Practicals / Laboratory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In-class assignments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Demonstration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Self-guided study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54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150</w:t>
            </w:r>
          </w:p>
        </w:tc>
      </w:tr>
    </w:tbl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5. Assessment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examination is carried for breadth across the architecture, protocol and awareness strands.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38"/>
        <w:gridCol w:w="2300"/>
        <w:gridCol w:w="1100"/>
        <w:gridCol w:w="9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Conditions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ILOs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Weight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Coursework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Client-side web page built to a brief, with a short annotation identifying the security-relevant choices made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Individual; take-home; graded; Viva/Presentation: Presentation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LO2, LO3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50%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Examination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Written examination: web and internet architecture, HTTP and HTTPS behaviour, application structure, web-security awareness; 2 hours, closed resources, invigilated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Graded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LO1, LO3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50%</w:t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Weightings are confirmed at specification sign-off. Reassessment is by the failed component only, with an equivalent task, per School regulations. All assessment falls under the academic integrity policy, including its provisions on generative AI; the module-level position on AI use is set at teaching-plan stage.</w:t>
      </w:r>
    </w:p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6. Resources, Staff and Governance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Indicative Reading</w:t>
      </w:r>
    </w:p>
    <w:p>
      <w:pPr>
        <w:spacing w:after="8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Duckett, J., HTML and CSS: Design and Build Websites (Wiley) - primary text for the construction strand.</w:t>
      </w:r>
    </w:p>
    <w:p>
      <w:pPr>
        <w:spacing w:after="8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Robbins, J. N., Learning Web Design (O'Reilly) - broader web-structure support.</w:t>
      </w:r>
    </w:p>
    <w:p>
      <w:pPr>
        <w:spacing w:after="8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McDonald, M., Web Security for Developers (No Starch Press) - the awareness strand at the intended non-specialist depth.</w:t>
      </w:r>
    </w:p>
    <w:p>
      <w:pPr>
        <w:spacing w:after="8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MDN Web Docs (Mozilla) - named online reference resource for HTML, CSS and HTTP; connectivity-dependent.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Staffing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3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Domain credential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Module leader 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Module leader 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External module auditor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Domain-expertise statement: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Taught from a web-technologies domain with security awareness; generic delivery is non-compliant with the School's staffing governance.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Version and Sign-off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4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 Jul 2026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Draft for Review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2026-07-20T12:04:11.045Z</dcterms:created>
  <dcterms:modified xsi:type="dcterms:W3CDTF">2026-07-20T12:04:11.045Z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