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pPr>
      <w:r>
        <w:rPr>
          <w:rFonts w:ascii="Open Sans" w:cs="Open Sans" w:eastAsia="Open Sans" w:hAnsi="Open Sans"/>
          <w:b/>
          <w:bCs/>
          <w:i w:val="false"/>
          <w:iCs w:val="false"/>
          <w:color w:val="404040"/>
          <w:sz w:val="32"/>
          <w:szCs w:val="32"/>
        </w:rPr>
        <w:t xml:space="preserve">Module Descriptor - Capstone Project</w:t>
      </w:r>
    </w:p>
    <w:p>
      <w:pPr>
        <w:spacing w:after="120" w:before="0"/>
      </w:pPr>
      <w:r>
        <w:rPr>
          <w:rFonts w:ascii="Open Sans" w:cs="Open Sans" w:eastAsia="Open Sans" w:hAnsi="Open Sans"/>
          <w:b/>
          <w:bCs/>
          <w:i w:val="false"/>
          <w:iCs w:val="false"/>
          <w:color w:val="000000"/>
          <w:sz w:val="20"/>
          <w:szCs w:val="20"/>
        </w:rPr>
        <w:t xml:space="preserve">Code: </w:t>
      </w:r>
      <w:r>
        <w:rPr>
          <w:rFonts w:ascii="Open Sans" w:cs="Open Sans" w:eastAsia="Open Sans" w:hAnsi="Open Sans"/>
          <w:b w:val="false"/>
          <w:bCs w:val="false"/>
          <w:i w:val="false"/>
          <w:iCs w:val="false"/>
          <w:color w:val="000000"/>
          <w:sz w:val="20"/>
          <w:szCs w:val="20"/>
        </w:rPr>
        <w:t xml:space="preserve">NB-SOCE-L4-NEC-SK-01    </w:t>
      </w:r>
      <w:r>
        <w:rPr>
          <w:rFonts w:ascii="Open Sans" w:cs="Open Sans" w:eastAsia="Open Sans" w:hAnsi="Open Sans"/>
          <w:b/>
          <w:bCs/>
          <w:i w:val="false"/>
          <w:iCs w:val="false"/>
          <w:color w:val="000000"/>
          <w:sz w:val="20"/>
          <w:szCs w:val="20"/>
        </w:rPr>
        <w:t xml:space="preserve">Tier: </w:t>
      </w:r>
      <w:r>
        <w:rPr>
          <w:rFonts w:ascii="Open Sans" w:cs="Open Sans" w:eastAsia="Open Sans" w:hAnsi="Open Sans"/>
          <w:b w:val="false"/>
          <w:bCs w:val="false"/>
          <w:i w:val="false"/>
          <w:iCs w:val="false"/>
          <w:color w:val="000000"/>
          <w:sz w:val="20"/>
          <w:szCs w:val="20"/>
        </w:rPr>
        <w:t xml:space="preserve">Pathway - Network Engineering and Cybersecurity    </w:t>
      </w:r>
      <w:r>
        <w:rPr>
          <w:rFonts w:ascii="Open Sans" w:cs="Open Sans" w:eastAsia="Open Sans" w:hAnsi="Open Sans"/>
          <w:b/>
          <w:bCs/>
          <w:i w:val="false"/>
          <w:iCs w:val="false"/>
          <w:color w:val="000000"/>
          <w:sz w:val="20"/>
          <w:szCs w:val="20"/>
        </w:rPr>
        <w:t xml:space="preserve">Type: </w:t>
      </w:r>
      <w:r>
        <w:rPr>
          <w:rFonts w:ascii="Open Sans" w:cs="Open Sans" w:eastAsia="Open Sans" w:hAnsi="Open Sans"/>
          <w:b w:val="false"/>
          <w:bCs w:val="false"/>
          <w:i w:val="false"/>
          <w:iCs w:val="false"/>
          <w:color w:val="000000"/>
          <w:sz w:val="20"/>
          <w:szCs w:val="20"/>
        </w:rPr>
        <w:t xml:space="preserve">Pathway / Skills    </w:t>
      </w:r>
      <w:r>
        <w:rPr>
          <w:rFonts w:ascii="Open Sans" w:cs="Open Sans" w:eastAsia="Open Sans" w:hAnsi="Open Sans"/>
          <w:b/>
          <w:bCs/>
          <w:i w:val="false"/>
          <w:iCs w:val="false"/>
          <w:color w:val="000000"/>
          <w:sz w:val="20"/>
          <w:szCs w:val="20"/>
        </w:rPr>
        <w:t xml:space="preserve">Status: </w:t>
      </w:r>
      <w:r>
        <w:rPr>
          <w:rFonts w:ascii="Open Sans" w:cs="Open Sans" w:eastAsia="Open Sans" w:hAnsi="Open Sans"/>
          <w:b w:val="false"/>
          <w:bCs w:val="false"/>
          <w:i w:val="false"/>
          <w:iCs w:val="false"/>
          <w:color w:val="000000"/>
          <w:sz w:val="20"/>
          <w:szCs w:val="20"/>
        </w:rPr>
        <w:t xml:space="preserve">Draft for Review v1.0  ·  20 Jul 2026</w:t>
      </w:r>
    </w:p>
    <w:p>
      <w:pPr>
        <w:spacing w:after="200" w:before="0"/>
      </w:pPr>
      <w:r>
        <w:rPr>
          <w:rFonts w:ascii="Open Sans" w:cs="Open Sans" w:eastAsia="Open Sans" w:hAnsi="Open Sans"/>
          <w:b/>
          <w:bCs/>
          <w:i w:val="false"/>
          <w:iCs w:val="false"/>
          <w:color w:val="000000"/>
          <w:sz w:val="20"/>
          <w:szCs w:val="20"/>
        </w:rPr>
        <w:t xml:space="preserve">Sources: </w:t>
      </w:r>
      <w:r>
        <w:rPr>
          <w:rFonts w:ascii="Open Sans" w:cs="Open Sans" w:eastAsia="Open Sans" w:hAnsi="Open Sans"/>
          <w:b w:val="false"/>
          <w:bCs w:val="false"/>
          <w:i w:val="false"/>
          <w:iCs w:val="false"/>
          <w:color w:val="000000"/>
          <w:sz w:val="20"/>
          <w:szCs w:val="20"/>
        </w:rPr>
        <w:t xml:space="preserve">School curriculum decision records; the master-issued Capstone and Industrial Training common frame; the School's SLQF reference (Sri Lanka Qualifications Framework, 2015).</w:t>
      </w:r>
    </w:p>
    <w:p>
      <w:pPr>
        <w:spacing w:after="140" w:before="240"/>
      </w:pPr>
      <w:r>
        <w:rPr>
          <w:rFonts w:ascii="Open Sans" w:cs="Open Sans" w:eastAsia="Open Sans" w:hAnsi="Open Sans"/>
          <w:b/>
          <w:bCs/>
          <w:i w:val="false"/>
          <w:iCs w:val="false"/>
          <w:color w:val="404040"/>
          <w:sz w:val="24"/>
          <w:szCs w:val="24"/>
        </w:rPr>
        <w:t xml:space="preserve">1. Module Identity and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70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code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NB-SOCE-L4-NEC-SK-01</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title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Capstone Project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Scope / type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Pathway: Network Engineering and Cybersecurity  ·  Pathway / Skills</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SLQF level / credits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Level 4 (Year 2)  ·  5 credits  ·  250 notional hours (1 credit = 50 hours)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Hours profile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Skills - Capstone: Profile C (250 hours)</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Progression targets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Level 6 Research Project Preparation and Delivery, through the research-readiness carry (weighted here given the compression of Effective Communication Skills I)</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Prerequisites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Draws across the Year 1 and Year 2 taught modules</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Exit-award relevance (TVEC competency-evidence contribution)</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Capstone competency evidence toward the HND exit award; the project artefact and viva record are the designed public-portfolio and TVEC-orientable evidence. The exit award and its evidence requirements are subject to TVEC accreditation, which is not yet final, and additional requirements may be introduced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Delivery mode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Supervised applied project: briefings and methods input, supervision meetings, supervised laboratory and build access, demonstration and viva, and independent project work per the Profile C structure</w:t>
            </w:r>
          </w:p>
        </w:tc>
      </w:tr>
    </w:tbl>
    <w:p>
      <w:pPr>
        <w:spacing w:after="140" w:before="240"/>
      </w:pPr>
      <w:r>
        <w:rPr>
          <w:rFonts w:ascii="Open Sans" w:cs="Open Sans" w:eastAsia="Open Sans" w:hAnsi="Open Sans"/>
          <w:b/>
          <w:bCs/>
          <w:i w:val="false"/>
          <w:iCs w:val="false"/>
          <w:color w:val="404040"/>
          <w:sz w:val="24"/>
          <w:szCs w:val="24"/>
        </w:rPr>
        <w:t xml:space="preserve">2. The Common Frame</w:t>
      </w:r>
    </w:p>
    <w:p>
      <w:pPr>
        <w:spacing w:after="120" w:before="0"/>
      </w:pPr>
      <w:r>
        <w:rPr>
          <w:rFonts w:ascii="Open Sans" w:cs="Open Sans" w:eastAsia="Open Sans" w:hAnsi="Open Sans"/>
          <w:b w:val="false"/>
          <w:bCs w:val="false"/>
          <w:i/>
          <w:iCs/>
          <w:color w:val="000000"/>
          <w:sz w:val="20"/>
          <w:szCs w:val="20"/>
        </w:rPr>
        <w:t xml:space="preserve">The following frame is fixed across all four pathways and is reproduced here unchanged; pathway flavour lives in briefs, domains and supervision, never in the frame.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CECEC" w:sz="2"/>
              <w:left w:val="single" w:color="595959" w:sz="24"/>
              <w:bottom w:val="single" w:color="ECECEC" w:sz="2"/>
              <w:right w:val="single" w:color="ECECEC" w:sz="2"/>
            </w:tcBorders>
            <w:shd w:fill="ECECEC" w:color="auto" w:val="clear"/>
            <w:tcMar>
              <w:top w:type="dxa" w:w="120"/>
              <w:left w:type="dxa" w:w="200"/>
              <w:bottom w:type="dxa" w:w="120"/>
              <w:right w:type="dxa" w:w="160"/>
            </w:tcMar>
          </w:tcPr>
          <w:p>
            <w:pPr>
              <w:spacing w:after="100"/>
            </w:pPr>
            <w:r>
              <w:rPr>
                <w:rFonts w:ascii="Open Sans" w:cs="Open Sans" w:eastAsia="Open Sans" w:hAnsi="Open Sans"/>
                <w:b/>
                <w:bCs/>
                <w:i w:val="false"/>
                <w:iCs w:val="false"/>
                <w:color w:val="000000"/>
                <w:sz w:val="19"/>
                <w:szCs w:val="19"/>
              </w:rPr>
              <w:t xml:space="preserve">Capstone Project (5 credits, Level 4, Profile C - 250 notional hours): </w:t>
            </w:r>
            <w:r>
              <w:rPr>
                <w:rFonts w:ascii="Open Sans" w:cs="Open Sans" w:eastAsia="Open Sans" w:hAnsi="Open Sans"/>
                <w:b w:val="false"/>
                <w:bCs w:val="false"/>
                <w:i w:val="false"/>
                <w:iCs w:val="false"/>
                <w:color w:val="000000"/>
                <w:sz w:val="19"/>
                <w:szCs w:val="19"/>
              </w:rPr>
              <w:t xml:space="preserve">Project briefings and methods input 15; Supervision meetings 21; Laboratory / build access (supervised) 39; Presentation, demonstration and viva 9; Independent project work 166. Assessment components: project artefact with build log (take-home, supervised access; oral vehicle: Presentation at demonstration) and a final report with </w:t>
            </w:r>
            <w:r>
              <w:rPr>
                <w:rFonts w:ascii="Open Sans" w:cs="Open Sans" w:eastAsia="Open Sans" w:hAnsi="Open Sans"/>
                <w:b/>
                <w:bCs/>
                <w:i w:val="false"/>
                <w:iCs w:val="false"/>
                <w:color w:val="000000"/>
                <w:sz w:val="19"/>
                <w:szCs w:val="19"/>
              </w:rPr>
              <w:t xml:space="preserve">Viva-defence</w:t>
            </w:r>
            <w:r>
              <w:rPr>
                <w:rFonts w:ascii="Open Sans" w:cs="Open Sans" w:eastAsia="Open Sans" w:hAnsi="Open Sans"/>
                <w:b w:val="false"/>
                <w:bCs w:val="false"/>
                <w:i w:val="false"/>
                <w:iCs w:val="false"/>
                <w:color w:val="000000"/>
                <w:sz w:val="19"/>
                <w:szCs w:val="19"/>
              </w:rPr>
              <w:t xml:space="preserve"> (mandatory oral vehicle). No examination. Weightings confirmed at sign-off. The artefact is the second designed public-portfolio vehicle (with Creative Project) and is TVEC-orientable evidence.</w:t>
            </w:r>
          </w:p>
        </w:tc>
      </w:tr>
    </w:tbl>
    <w:p>
      <w:pPr>
        <w:spacing w:after="140" w:before="240"/>
      </w:pPr>
      <w:r>
        <w:rPr>
          <w:rFonts w:ascii="Open Sans" w:cs="Open Sans" w:eastAsia="Open Sans" w:hAnsi="Open Sans"/>
          <w:b/>
          <w:bCs/>
          <w:i w:val="false"/>
          <w:iCs w:val="false"/>
          <w:color w:val="404040"/>
          <w:sz w:val="24"/>
          <w:szCs w:val="24"/>
        </w:rPr>
        <w:t xml:space="preserve">3. Module Purpose and Aims</w:t>
      </w:r>
    </w:p>
    <w:p>
      <w:pPr>
        <w:spacing w:after="120" w:before="0"/>
      </w:pPr>
      <w:r>
        <w:rPr>
          <w:rFonts w:ascii="Open Sans" w:cs="Open Sans" w:eastAsia="Open Sans" w:hAnsi="Open Sans"/>
          <w:b w:val="false"/>
          <w:bCs w:val="false"/>
          <w:i w:val="false"/>
          <w:iCs w:val="false"/>
          <w:color w:val="000000"/>
          <w:sz w:val="20"/>
          <w:szCs w:val="20"/>
        </w:rPr>
        <w:t xml:space="preserve">The capstone is where the pathway's separate competencies become one delivered thing. Over a supervised applied project the student plans, builds and defends a piece of work that integrates networking, security and systems competencies drawn from across the two years, develops the academic-writing and research-readiness the Level 6 research chain assumes, and produces a portfolio artefact that speaks to employers and to TVEC alike. The module teaches no new subject content: its substance is the integration, the discipline of delivery, and the defence.</w:t>
      </w:r>
    </w:p>
    <w:p>
      <w:pPr>
        <w:spacing w:after="120" w:before="180"/>
      </w:pPr>
      <w:r>
        <w:rPr>
          <w:rFonts w:ascii="Open Sans" w:cs="Open Sans" w:eastAsia="Open Sans" w:hAnsi="Open Sans"/>
          <w:b/>
          <w:bCs/>
          <w:i w:val="false"/>
          <w:iCs w:val="false"/>
          <w:color w:val="404040"/>
          <w:sz w:val="21"/>
          <w:szCs w:val="21"/>
        </w:rPr>
        <w:t xml:space="preserve">Specification Boundary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7F7F7" w:sz="2"/>
              <w:left w:val="single" w:color="595959" w:sz="24"/>
              <w:bottom w:val="single" w:color="F7F7F7" w:sz="2"/>
              <w:right w:val="single" w:color="F7F7F7" w:sz="2"/>
            </w:tcBorders>
            <w:shd w:fill="F7F7F7" w:color="auto" w:val="clear"/>
            <w:tcMar>
              <w:top w:type="dxa" w:w="120"/>
              <w:left w:type="dxa" w:w="200"/>
              <w:bottom w:type="dxa" w:w="120"/>
              <w:right w:type="dxa" w:w="160"/>
            </w:tcMar>
          </w:tcPr>
          <w:p>
            <w:pPr>
              <w:spacing w:after="100"/>
            </w:pPr>
            <w:r>
              <w:rPr>
                <w:rFonts w:ascii="Open Sans" w:cs="Open Sans" w:eastAsia="Open Sans" w:hAnsi="Open Sans"/>
                <w:b/>
                <w:bCs/>
                <w:i w:val="false"/>
                <w:iCs w:val="false"/>
                <w:color w:val="000000"/>
                <w:sz w:val="19"/>
                <w:szCs w:val="19"/>
              </w:rPr>
              <w:t xml:space="preserve">Covers: </w:t>
            </w:r>
            <w:r>
              <w:rPr>
                <w:rFonts w:ascii="Open Sans" w:cs="Open Sans" w:eastAsia="Open Sans" w:hAnsi="Open Sans"/>
                <w:b w:val="false"/>
                <w:bCs w:val="false"/>
                <w:i w:val="false"/>
                <w:iCs w:val="false"/>
                <w:color w:val="000000"/>
                <w:sz w:val="19"/>
                <w:szCs w:val="19"/>
              </w:rPr>
              <w:t xml:space="preserve">a supervised applied project integrating networking, security and systems competencies, with academic-writing and research-readiness development.</w:t>
            </w:r>
          </w:p>
          <w:p>
            <w:pPr>
              <w:spacing w:after="100"/>
            </w:pPr>
            <w:r>
              <w:rPr>
                <w:rFonts w:ascii="Open Sans" w:cs="Open Sans" w:eastAsia="Open Sans" w:hAnsi="Open Sans"/>
                <w:b/>
                <w:bCs/>
                <w:i w:val="false"/>
                <w:iCs w:val="false"/>
                <w:color w:val="000000"/>
                <w:sz w:val="19"/>
                <w:szCs w:val="19"/>
              </w:rPr>
              <w:t xml:space="preserve">Does NOT cover: </w:t>
            </w:r>
            <w:r>
              <w:rPr>
                <w:rFonts w:ascii="Open Sans" w:cs="Open Sans" w:eastAsia="Open Sans" w:hAnsi="Open Sans"/>
                <w:b w:val="false"/>
                <w:bCs w:val="false"/>
                <w:i w:val="false"/>
                <w:iCs w:val="false"/>
                <w:color w:val="000000"/>
                <w:sz w:val="19"/>
                <w:szCs w:val="19"/>
              </w:rPr>
              <w:t xml:space="preserve">taught subject content.</w:t>
            </w:r>
          </w:p>
          <w:p>
            <w:pPr>
              <w:spacing w:after="100"/>
            </w:pPr>
            <w:r>
              <w:rPr>
                <w:rFonts w:ascii="Open Sans" w:cs="Open Sans" w:eastAsia="Open Sans" w:hAnsi="Open Sans"/>
                <w:b w:val="false"/>
                <w:bCs w:val="false"/>
                <w:i/>
                <w:iCs/>
                <w:color w:val="000000"/>
                <w:sz w:val="19"/>
                <w:szCs w:val="19"/>
              </w:rPr>
              <w:t xml:space="preserve">Changes to this boundary are made only through the School's formal change-control process.</w:t>
            </w:r>
          </w:p>
        </w:tc>
      </w:tr>
    </w:tbl>
    <w:p>
      <w:pPr>
        <w:spacing w:after="140" w:before="240"/>
      </w:pPr>
      <w:r>
        <w:rPr>
          <w:rFonts w:ascii="Open Sans" w:cs="Open Sans" w:eastAsia="Open Sans" w:hAnsi="Open Sans"/>
          <w:b/>
          <w:bCs/>
          <w:i w:val="false"/>
          <w:iCs w:val="false"/>
          <w:color w:val="404040"/>
          <w:sz w:val="24"/>
          <w:szCs w:val="24"/>
        </w:rPr>
        <w:t xml:space="preserve">4. Learning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938"/>
        <w:gridCol w:w="2000"/>
      </w:tblGrid>
      <w:tr>
        <w:trPr>
          <w:tblHeader/>
        </w:trPr>
        <w:tc>
          <w:tcPr>
            <w:tcW w:type="dxa" w:w="7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69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0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Level</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Plan and deliver an applied cybersecurity and networking project.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 / Create</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LO2</w:t>
            </w:r>
          </w:p>
        </w:tc>
        <w:tc>
          <w:tcPr>
            <w:tcW w:type="dxa" w:w="6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 research and academic-writing skills.</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Apply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LO3</w:t>
            </w:r>
          </w:p>
        </w:tc>
        <w:tc>
          <w:tcPr>
            <w:tcW w:type="dxa" w:w="6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Evaluate and present project outcomes.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Evaluate</w:t>
            </w:r>
          </w:p>
        </w:tc>
      </w:tr>
    </w:tbl>
    <w:p>
      <w:pPr>
        <w:spacing w:after="140" w:before="240"/>
      </w:pPr>
      <w:r>
        <w:rPr>
          <w:rFonts w:ascii="Open Sans" w:cs="Open Sans" w:eastAsia="Open Sans" w:hAnsi="Open Sans"/>
          <w:b/>
          <w:bCs/>
          <w:i w:val="false"/>
          <w:iCs w:val="false"/>
          <w:color w:val="404040"/>
          <w:sz w:val="24"/>
          <w:szCs w:val="24"/>
        </w:rPr>
        <w:t xml:space="preserve">5. Skills Programme</w:t>
      </w:r>
    </w:p>
    <w:p>
      <w:pPr>
        <w:spacing w:after="120" w:before="0"/>
      </w:pPr>
      <w:r>
        <w:rPr>
          <w:rFonts w:ascii="Open Sans" w:cs="Open Sans" w:eastAsia="Open Sans" w:hAnsi="Open Sans"/>
          <w:b w:val="false"/>
          <w:bCs w:val="false"/>
          <w:i w:val="false"/>
          <w:iCs w:val="false"/>
          <w:color w:val="000000"/>
          <w:sz w:val="20"/>
          <w:szCs w:val="20"/>
        </w:rPr>
        <w:t xml:space="preserve">In the Skills variant the lecture syllabus is replaced by the Profile C component structure; all timetabled figures follow the School's hours model and the common frame above. Totals close at 250.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438"/>
        <w:gridCol w:w="1600"/>
      </w:tblGrid>
      <w:tr>
        <w:trPr>
          <w:tblHeader/>
        </w:trPr>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54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Structure</w:t>
            </w:r>
          </w:p>
        </w:tc>
        <w:tc>
          <w:tcPr>
            <w:tcW w:type="dxa" w:w="1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Project briefings and methods input</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Five 3-hour blocks: project scoping, research and academic-writing methods, build and laboratory practice, evaluation and defence preparation, and portfolio presentation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15</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Supervision meetings</w:t>
            </w:r>
          </w:p>
        </w:tc>
        <w:tc>
          <w:tcPr>
            <w:tcW w:type="dxa" w:w="5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Scheduled individual supervision across the project lifecycle</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21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Laboratory / build access (supervised)</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Supervised access to laboratory and build environments, including the virtualisation substrate where a project requires isolation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39</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Presentation, demonstration and viva</w:t>
            </w:r>
          </w:p>
        </w:tc>
        <w:tc>
          <w:tcPr>
            <w:tcW w:type="dxa" w:w="5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The demonstration with Presentation oral vehicle and the final Viva-defence</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Independent project work</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Student-led project delivery: build, test, write-up and portfolio preparation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166</w:t>
            </w:r>
          </w:p>
        </w:tc>
      </w:tr>
      <w:tr>
        <w:tc>
          <w:tcPr>
            <w:tcW w:type="dxa" w:w="2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
            </w:r>
          </w:p>
        </w:tc>
        <w:tc>
          <w:tcPr>
            <w:tcW w:type="dxa" w:w="543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Total</w:t>
            </w:r>
          </w:p>
        </w:tc>
        <w:tc>
          <w:tcPr>
            <w:tcW w:type="dxa" w:w="1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000000"/>
                <w:sz w:val="19"/>
                <w:szCs w:val="19"/>
              </w:rPr>
              <w:t xml:space="preserve">250</w:t>
            </w:r>
          </w:p>
        </w:tc>
      </w:tr>
    </w:tbl>
    <w:p>
      <w:pPr>
        <w:spacing w:after="40" w:before="0"/>
      </w:pPr>
      <w:r>
        <w:rPr>
          <w:rFonts w:ascii="Open Sans" w:cs="Open Sans" w:eastAsia="Open Sans" w:hAnsi="Open Sans"/>
          <w:b w:val="false"/>
          <w:bCs w:val="false"/>
          <w:i w:val="false"/>
          <w:iCs w:val="false"/>
          <w:color w:val="000000"/>
          <w:sz w:val="20"/>
          <w:szCs w:val="20"/>
        </w:rPr>
        <w:t xml:space="preserve"/>
      </w:r>
    </w:p>
    <w:p>
      <w:pPr>
        <w:spacing w:after="120" w:before="0"/>
      </w:pPr>
      <w:r>
        <w:rPr>
          <w:rFonts w:ascii="Open Sans" w:cs="Open Sans" w:eastAsia="Open Sans" w:hAnsi="Open Sans"/>
          <w:b w:val="false"/>
          <w:bCs w:val="false"/>
          <w:i w:val="false"/>
          <w:iCs w:val="false"/>
          <w:color w:val="000000"/>
          <w:sz w:val="20"/>
          <w:szCs w:val="20"/>
        </w:rPr>
        <w:t xml:space="preserve">Pathway flavour (briefs, domains and supervision, outside the master frame): project briefs are drawn from the pathway's domains - enterprise networking, security operations, offensive-and-defensive validation, identity and data protection, virtualisation and cloud - so that each capstone integrates a defensible slice of the two-year spine. Supervision is matched to the project domain. Offensive-security projects inherit the ethical and legal framing of the offensive-security module in full, and are confined to controlled, authorised environments.</w:t>
      </w:r>
    </w:p>
    <w:p>
      <w:pPr>
        <w:spacing w:after="140" w:before="240"/>
      </w:pPr>
      <w:r>
        <w:rPr>
          <w:rFonts w:ascii="Open Sans" w:cs="Open Sans" w:eastAsia="Open Sans" w:hAnsi="Open Sans"/>
          <w:b/>
          <w:bCs/>
          <w:i w:val="false"/>
          <w:iCs w:val="false"/>
          <w:color w:val="404040"/>
          <w:sz w:val="24"/>
          <w:szCs w:val="24"/>
        </w:rPr>
        <w:t xml:space="preserve">6. Assessment</w:t>
      </w:r>
    </w:p>
    <w:p>
      <w:pPr>
        <w:spacing w:after="120" w:before="0"/>
      </w:pPr>
      <w:r>
        <w:rPr>
          <w:rFonts w:ascii="Open Sans" w:cs="Open Sans" w:eastAsia="Open Sans" w:hAnsi="Open Sans"/>
          <w:b w:val="false"/>
          <w:bCs w:val="false"/>
          <w:i w:val="false"/>
          <w:iCs w:val="false"/>
          <w:color w:val="000000"/>
          <w:sz w:val="20"/>
          <w:szCs w:val="20"/>
        </w:rPr>
        <w:t xml:space="preserve">Components follow the common frame. There is no examination. Weightings are confirmed at specification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538"/>
        <w:gridCol w:w="2400"/>
        <w:gridCol w:w="1100"/>
        <w:gridCol w:w="1100"/>
      </w:tblGrid>
      <w:tr>
        <w:trPr>
          <w:tblHeader/>
        </w:trPr>
        <w:tc>
          <w:tcPr>
            <w:tcW w:type="dxa" w:w="15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5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4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1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ILOs</w:t>
            </w:r>
          </w:p>
        </w:tc>
        <w:tc>
          <w:tcPr>
            <w:tcW w:type="dxa" w:w="11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Coursework</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Project artefact with build log: the delivered project and its maintained build log, demonstrated live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Individual; take-home (supervised access); graded; Viva/Presentation: Presentation at demonstration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 LO3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55%</w:t>
            </w:r>
          </w:p>
        </w:tc>
      </w:tr>
      <w:t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Coursework</w:t>
            </w:r>
          </w:p>
        </w:tc>
        <w:tc>
          <w:tcPr>
            <w:tcW w:type="dxa" w:w="3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Final report with Viva-defence: the academic project report, defended</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Individual; take-home; graded; Viva/Presentation: Viva-defence (mandatory)</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LO1, LO2, LO3</w:t>
            </w:r>
          </w:p>
        </w:tc>
        <w:tc>
          <w:tcPr>
            <w:tcW w:type="dxa" w:w="1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45%</w:t>
            </w:r>
          </w:p>
        </w:tc>
      </w:tr>
    </w:tbl>
    <w:p>
      <w:pPr>
        <w:spacing w:after="120" w:before="120"/>
      </w:pPr>
      <w:r>
        <w:rPr>
          <w:rFonts w:ascii="Open Sans" w:cs="Open Sans" w:eastAsia="Open Sans" w:hAnsi="Open Sans"/>
          <w:b w:val="false"/>
          <w:bCs w:val="false"/>
          <w:i w:val="false"/>
          <w:iCs w:val="false"/>
          <w:color w:val="000000"/>
          <w:sz w:val="20"/>
          <w:szCs w:val="20"/>
        </w:rPr>
        <w:t xml:space="preserve">Weights sum to 100. There is no examination. Reassessment is by the failed component only, with an equivalent task, per School regulations. All assessment falls under the academic integrity policy, including its provisions on generative AI; the module-level position on AI use is set at teaching-plan stage.</w:t>
      </w:r>
    </w:p>
    <w:p>
      <w:pPr>
        <w:spacing w:after="120" w:before="120"/>
      </w:pPr>
      <w:r>
        <w:rPr>
          <w:rFonts w:ascii="Open Sans" w:cs="Open Sans" w:eastAsia="Open Sans" w:hAnsi="Open Sans"/>
          <w:b w:val="false"/>
          <w:bCs w:val="false"/>
          <w:i w:val="false"/>
          <w:iCs w:val="false"/>
          <w:color w:val="000000"/>
          <w:sz w:val="20"/>
          <w:szCs w:val="20"/>
        </w:rPr>
        <w:t xml:space="preserve">The project artefact and viva record are auditable competency evidence oriented to TVEC. TVEC requirements are not yet final and additional requirements may be introduced.</w:t>
      </w:r>
    </w:p>
    <w:p>
      <w:pPr>
        <w:spacing w:after="140" w:before="240"/>
      </w:pPr>
      <w:r>
        <w:rPr>
          <w:rFonts w:ascii="Open Sans" w:cs="Open Sans" w:eastAsia="Open Sans" w:hAnsi="Open Sans"/>
          <w:b/>
          <w:bCs/>
          <w:i w:val="false"/>
          <w:iCs w:val="false"/>
          <w:color w:val="404040"/>
          <w:sz w:val="24"/>
          <w:szCs w:val="24"/>
        </w:rPr>
        <w:t xml:space="preserve">7. Resources, Staff and Governance</w:t>
      </w:r>
    </w:p>
    <w:p>
      <w:pPr>
        <w:spacing w:after="120" w:before="180"/>
      </w:pPr>
      <w:r>
        <w:rPr>
          <w:rFonts w:ascii="Open Sans" w:cs="Open Sans" w:eastAsia="Open Sans" w:hAnsi="Open Sans"/>
          <w:b/>
          <w:bCs/>
          <w:i w:val="false"/>
          <w:iCs w:val="false"/>
          <w:color w:val="404040"/>
          <w:sz w:val="21"/>
          <w:szCs w:val="21"/>
        </w:rPr>
        <w:t xml:space="preserve">Indicative Reading and Methods Resources</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Cottrell, S., Dissertations and Project Reports: A Step by Step Guide (Bloomsbury) - the academic-writing and project-structure methods strand.</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Berndtsson, M., Hansson, J., Olsson, B. and Lundell, B., Thesis Projects (Springer) - project scoping and research-readiness support.</w:t>
      </w:r>
    </w:p>
    <w:p>
      <w:pPr>
        <w:spacing w:after="80" w:before="0"/>
      </w:pPr>
      <w:r>
        <w:rPr>
          <w:rFonts w:ascii="Open Sans" w:cs="Open Sans" w:eastAsia="Open Sans" w:hAnsi="Open Sans"/>
          <w:b w:val="false"/>
          <w:bCs w:val="false"/>
          <w:i w:val="false"/>
          <w:iCs w:val="false"/>
          <w:color w:val="000000"/>
          <w:sz w:val="20"/>
          <w:szCs w:val="20"/>
        </w:rPr>
        <w:t xml:space="preserve">-  </w:t>
      </w:r>
      <w:r>
        <w:rPr>
          <w:rFonts w:ascii="Open Sans" w:cs="Open Sans" w:eastAsia="Open Sans" w:hAnsi="Open Sans"/>
          <w:b w:val="false"/>
          <w:bCs w:val="false"/>
          <w:i w:val="false"/>
          <w:iCs w:val="false"/>
          <w:color w:val="000000"/>
          <w:sz w:val="20"/>
          <w:szCs w:val="20"/>
        </w:rPr>
        <w:t xml:space="preserve">School-produced project handbook, supervision framework and portfolio guidance, confirmed at teaching-plan stage.</w:t>
      </w:r>
    </w:p>
    <w:p>
      <w:pPr>
        <w:spacing w:after="120" w:before="180"/>
      </w:pPr>
      <w:r>
        <w:rPr>
          <w:rFonts w:ascii="Open Sans" w:cs="Open Sans" w:eastAsia="Open Sans" w:hAnsi="Open Sans"/>
          <w:b/>
          <w:bCs/>
          <w:i w:val="false"/>
          <w:iCs w:val="false"/>
          <w:color w:val="404040"/>
          <w:sz w:val="21"/>
          <w:szCs w:val="21"/>
        </w:rPr>
        <w:t xml:space="preserve">Staffing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238"/>
      </w:tblGrid>
      <w:tr>
        <w:trPr>
          <w:tblHeader/>
        </w:trPr>
        <w:tc>
          <w:tcPr>
            <w:tcW w:type="dxa" w:w="34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0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leader 1 (project supervisor)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Module leader 2 (project supervisor)</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External module auditor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
            </w:r>
          </w:p>
        </w:tc>
      </w:tr>
    </w:tbl>
    <w:p>
      <w:pPr>
        <w:spacing w:after="120" w:before="120"/>
      </w:pPr>
      <w:r>
        <w:rPr>
          <w:rFonts w:ascii="Open Sans" w:cs="Open Sans" w:eastAsia="Open Sans" w:hAnsi="Open Sans"/>
          <w:b/>
          <w:bCs/>
          <w:i w:val="false"/>
          <w:iCs w:val="false"/>
          <w:color w:val="000000"/>
          <w:sz w:val="20"/>
          <w:szCs w:val="20"/>
        </w:rPr>
        <w:t xml:space="preserve">Domain-expertise statement: </w:t>
      </w:r>
      <w:r>
        <w:rPr>
          <w:rFonts w:ascii="Open Sans" w:cs="Open Sans" w:eastAsia="Open Sans" w:hAnsi="Open Sans"/>
          <w:b w:val="false"/>
          <w:bCs w:val="false"/>
          <w:i w:val="false"/>
          <w:iCs w:val="false"/>
          <w:color w:val="000000"/>
          <w:sz w:val="20"/>
          <w:szCs w:val="20"/>
        </w:rPr>
        <w:t xml:space="preserve">Supervised from domain-appropriate expertise matched to each project; generic supervision is non-compliant with the School's staffing governance.</w:t>
      </w:r>
    </w:p>
    <w:p>
      <w:pPr>
        <w:spacing w:after="120" w:before="180"/>
      </w:pPr>
      <w:r>
        <w:rPr>
          <w:rFonts w:ascii="Open Sans" w:cs="Open Sans" w:eastAsia="Open Sans" w:hAnsi="Open Sans"/>
          <w:b/>
          <w:bCs/>
          <w:i w:val="false"/>
          <w:iCs w:val="false"/>
          <w:color w:val="404040"/>
          <w:sz w:val="21"/>
          <w:szCs w:val="21"/>
        </w:rPr>
        <w:t xml:space="preserve">Version and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438"/>
      </w:tblGrid>
      <w:tr>
        <w:trPr>
          <w:tblHeader/>
        </w:trPr>
        <w:tc>
          <w:tcPr>
            <w:tcW w:type="dxa" w:w="1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Version</w:t>
            </w:r>
          </w:p>
        </w:tc>
        <w:tc>
          <w:tcPr>
            <w:tcW w:type="dxa" w:w="2600"/>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5438"/>
            <w:tcBorders>
              <w:top w:val="single" w:color="BFBFBF" w:sz="4"/>
              <w:left w:val="single" w:color="BFBFBF" w:sz="4"/>
              <w:bottom w:val="single" w:color="BFBFBF" w:sz="4"/>
              <w:right w:val="single" w:color="BFBFBF" w:sz="4"/>
            </w:tcBorders>
            <w:shd w:fill="595959" w:color="auto" w:val="clear"/>
            <w:tcMar>
              <w:top w:type="dxa" w:w="60"/>
              <w:left w:type="dxa" w:w="100"/>
              <w:bottom w:type="dxa" w:w="60"/>
              <w:right w:type="dxa" w:w="100"/>
            </w:tcMar>
          </w:tcPr>
          <w:p>
            <w:pPr>
              <w:spacing w:after="0"/>
            </w:pPr>
            <w:r>
              <w:rPr>
                <w:rFonts w:ascii="Open Sans" w:cs="Open Sans" w:eastAsia="Open Sans" w:hAnsi="Open Sans"/>
                <w:b/>
                <w:bCs/>
                <w:i w:val="false"/>
                <w:iCs w:val="false"/>
                <w:color w:val="FFFFFF"/>
                <w:sz w:val="19"/>
                <w:szCs w:val="19"/>
              </w:rPr>
              <w:t xml:space="preserve">Status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1.0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20 Jul 2026</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i w:val="false"/>
                <w:iCs w:val="false"/>
                <w:color w:val="000000"/>
                <w:sz w:val="19"/>
                <w:szCs w:val="19"/>
              </w:rPr>
              <w:t xml:space="preserve">Draft for Review</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2026-07-20T15:33:38.559Z</dcterms:created>
  <dcterms:modified xsi:type="dcterms:W3CDTF">2026-07-20T15:33:38.574Z</dcterms:modified>
</cp:coreProperties>
</file>

<file path=docProps/custom.xml><?xml version="1.0" encoding="utf-8"?>
<Properties xmlns="http://schemas.openxmlformats.org/officeDocument/2006/custom-properties" xmlns:vt="http://schemas.openxmlformats.org/officeDocument/2006/docPropsVTypes"/>
</file>