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Industrial Training</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NB-SOCE-L4-NEC-SK-02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Skills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master-issued Capstone and Industrial Training common frame;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NB-SOCE-L4-NEC-SK-02</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Industrial Training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Skills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5 credits  ·  500 notional hours (Industrial Training convention: 1 credit = 100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Skills - Industrial Training: Profile D (500 hours)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Professional-practice readiness across Levels 5 and 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The Year 1 and Year 2 competencies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Exit-award relevance (TVEC competency-evidence contribution)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Workplace competency evidence toward the HND exit award; the placement log, report and viva record are auditable competency evidence. TVEC and NVQ credit alignment is resolved at specification stage. The exit award and its evidence requirements are subject to TVEC accreditation, which is not yet final, and additional requirements may be introduced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Placement (external-sourced or School-arranged) of approximately 12 weeks full-time, scheduled outside teaching weeks, with induction, supervision touchpoints and reporting per the Profile D structure</w:t>
            </w:r>
          </w:p>
        </w:tc>
      </w:tr>
    </w:tbl>
    <w:p>
      <w:pPr>
        <w:spacing w:after="140" w:before="240"/>
      </w:pPr>
      <w:r>
        <w:rPr>
          <w:rFonts w:ascii="Open Sans" w:cs="Open Sans" w:eastAsia="Open Sans" w:hAnsi="Open Sans"/>
          <w:b/>
          <w:bCs/>
          <w:i w:val="false"/>
          <w:iCs w:val="false"/>
          <w:color w:val="404040"/>
          <w:sz w:val="24"/>
          <w:szCs w:val="24"/>
        </w:rPr>
        <w:t xml:space="preserve">2. The Common Frame</w:t>
      </w:r>
    </w:p>
    <w:p>
      <w:pPr>
        <w:spacing w:after="120" w:before="0"/>
      </w:pPr>
      <w:r>
        <w:rPr>
          <w:rFonts w:ascii="Open Sans" w:cs="Open Sans" w:eastAsia="Open Sans" w:hAnsi="Open Sans"/>
          <w:b w:val="false"/>
          <w:bCs w:val="false"/>
          <w:i/>
          <w:iCs/>
          <w:color w:val="000000"/>
          <w:sz w:val="20"/>
          <w:szCs w:val="20"/>
        </w:rPr>
        <w:t xml:space="preserve">The following frame is fixed across all four pathways and is reproduced here unchanged; pathway flavour lives in briefs, domains and supervision, never in the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CECEC" w:sz="2"/>
              <w:left w:val="single" w:color="595959" w:sz="24"/>
              <w:bottom w:val="single" w:color="ECECEC" w:sz="2"/>
              <w:right w:val="single" w:color="ECECEC" w:sz="2"/>
            </w:tcBorders>
            <w:shd w:fill="ECECEC"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Industrial Training (5 credits x 100 hours = 500 hours, Level 4, Profile D): </w:t>
            </w:r>
            <w:r>
              <w:rPr>
                <w:rFonts w:ascii="Open Sans" w:cs="Open Sans" w:eastAsia="Open Sans" w:hAnsi="Open Sans"/>
                <w:b w:val="false"/>
                <w:bCs w:val="false"/>
                <w:i w:val="false"/>
                <w:iCs w:val="false"/>
                <w:color w:val="000000"/>
                <w:sz w:val="19"/>
                <w:szCs w:val="19"/>
              </w:rPr>
              <w:t xml:space="preserve">Induction and placement preparation 9; Placement (external-sourced or School-arranged) 458; Supervision touchpoints 12; Reporting and assessment 21. </w:t>
            </w:r>
            <w:r>
              <w:rPr>
                <w:rFonts w:ascii="Open Sans" w:cs="Open Sans" w:eastAsia="Open Sans" w:hAnsi="Open Sans"/>
                <w:b/>
                <w:bCs/>
                <w:i w:val="false"/>
                <w:iCs w:val="false"/>
                <w:color w:val="000000"/>
                <w:sz w:val="19"/>
                <w:szCs w:val="19"/>
              </w:rPr>
              <w:t xml:space="preserve">The placement block is scheduled outside teaching weeks</w:t>
            </w:r>
            <w:r>
              <w:rPr>
                <w:rFonts w:ascii="Open Sans" w:cs="Open Sans" w:eastAsia="Open Sans" w:hAnsi="Open Sans"/>
                <w:b w:val="false"/>
                <w:bCs w:val="false"/>
                <w:i w:val="false"/>
                <w:iCs w:val="false"/>
                <w:color w:val="000000"/>
                <w:sz w:val="19"/>
                <w:szCs w:val="19"/>
              </w:rPr>
              <w:t xml:space="preserve"> - this commitment is part of the Year 2 workload defence and may not be altered. Assessment components: placement completion, individually maintained placement log, placement report, and a closing </w:t>
            </w:r>
            <w:r>
              <w:rPr>
                <w:rFonts w:ascii="Open Sans" w:cs="Open Sans" w:eastAsia="Open Sans" w:hAnsi="Open Sans"/>
                <w:b/>
                <w:bCs/>
                <w:i w:val="false"/>
                <w:iCs w:val="false"/>
                <w:color w:val="000000"/>
                <w:sz w:val="19"/>
                <w:szCs w:val="19"/>
              </w:rPr>
              <w:t xml:space="preserve">Viva-defence</w:t>
            </w:r>
            <w:r>
              <w:rPr>
                <w:rFonts w:ascii="Open Sans" w:cs="Open Sans" w:eastAsia="Open Sans" w:hAnsi="Open Sans"/>
                <w:b w:val="false"/>
                <w:bCs w:val="false"/>
                <w:i w:val="false"/>
                <w:iCs w:val="false"/>
                <w:color w:val="000000"/>
                <w:sz w:val="19"/>
                <w:szCs w:val="19"/>
              </w:rPr>
              <w:t xml:space="preserve"> (mandatory). Grading mode and weightings confirmed at sign-off; any pass-fail component is justified against the TVEC competency-evidence orientation. Evidence artefacts (log, report, viva record) are auditable competency evidence; TVEC requirements are not yet final and specifications remain adaptable.</w:t>
            </w:r>
          </w:p>
        </w:tc>
      </w:tr>
    </w:tbl>
    <w:p>
      <w:pPr>
        <w:spacing w:after="140" w:before="240"/>
      </w:pPr>
      <w:r>
        <w:rPr>
          <w:rFonts w:ascii="Open Sans" w:cs="Open Sans" w:eastAsia="Open Sans" w:hAnsi="Open Sans"/>
          <w:b/>
          <w:bCs/>
          <w:i w:val="false"/>
          <w:iCs w:val="false"/>
          <w:color w:val="404040"/>
          <w:sz w:val="24"/>
          <w:szCs w:val="24"/>
        </w:rPr>
        <w:t xml:space="preserve">3. Module Purpose and Aims</w:t>
      </w:r>
    </w:p>
    <w:p>
      <w:pPr>
        <w:spacing w:after="120" w:before="0"/>
      </w:pPr>
      <w:r>
        <w:rPr>
          <w:rFonts w:ascii="Open Sans" w:cs="Open Sans" w:eastAsia="Open Sans" w:hAnsi="Open Sans"/>
          <w:b w:val="false"/>
          <w:bCs w:val="false"/>
          <w:i w:val="false"/>
          <w:iCs w:val="false"/>
          <w:color w:val="000000"/>
          <w:sz w:val="20"/>
          <w:szCs w:val="20"/>
        </w:rPr>
        <w:t xml:space="preserve">Industrial Training is where the programme's competencies meet a real workplace. Over an approximately twelve-week full-time placement, scheduled outside teaching weeks, the student applies the two years of networking, security and systems competency in a professional setting, evidences professional practice through a maintained log and an employer-facing engagement, and reflects on the placement learning in a report defended at viva. The module teaches no subject content: its substance is the placement itself and the auditable evidence it produces.</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a placement (external-sourced or School-arranged) of approximately 12 weeks full-time, scheduled outside teaching weeks.</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taught subject content.</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40" w:before="240"/>
      </w:pPr>
      <w:r>
        <w:rPr>
          <w:rFonts w:ascii="Open Sans" w:cs="Open Sans" w:eastAsia="Open Sans" w:hAnsi="Open Sans"/>
          <w:b/>
          <w:bCs/>
          <w:i w:val="false"/>
          <w:iCs w:val="false"/>
          <w:color w:val="404040"/>
          <w:sz w:val="24"/>
          <w:szCs w:val="24"/>
        </w:rPr>
        <w:t xml:space="preserve">4.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competencies in a workplace setting.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Evidence professional practice.</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Reflect on placement learning.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Evaluate</w:t>
            </w:r>
          </w:p>
        </w:tc>
      </w:tr>
    </w:tbl>
    <w:p>
      <w:pPr>
        <w:spacing w:after="140" w:before="240"/>
      </w:pPr>
      <w:r>
        <w:rPr>
          <w:rFonts w:ascii="Open Sans" w:cs="Open Sans" w:eastAsia="Open Sans" w:hAnsi="Open Sans"/>
          <w:b/>
          <w:bCs/>
          <w:i w:val="false"/>
          <w:iCs w:val="false"/>
          <w:color w:val="404040"/>
          <w:sz w:val="24"/>
          <w:szCs w:val="24"/>
        </w:rPr>
        <w:t xml:space="preserve">5. Skills Programme</w:t>
      </w:r>
    </w:p>
    <w:p>
      <w:pPr>
        <w:spacing w:after="120" w:before="0"/>
      </w:pPr>
      <w:r>
        <w:rPr>
          <w:rFonts w:ascii="Open Sans" w:cs="Open Sans" w:eastAsia="Open Sans" w:hAnsi="Open Sans"/>
          <w:b w:val="false"/>
          <w:bCs w:val="false"/>
          <w:i w:val="false"/>
          <w:iCs w:val="false"/>
          <w:color w:val="000000"/>
          <w:sz w:val="20"/>
          <w:szCs w:val="20"/>
        </w:rPr>
        <w:t xml:space="preserve">In the Skills variant the lecture syllabus is replaced by the Profile D component structure; all timetabled figures follow the School's hours model and the common frame above. Totals close at 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438"/>
        <w:gridCol w:w="1600"/>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Structure</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Induction and placement preparation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Placement-readiness induction: workplace conduct, evidence expectations, log and reporting requirements, and safety and ethical-conduct briefing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Placement (external-sourced or School-arranged)</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Approximately 12 weeks full-time in the workplace, scheduled outside teaching weeks (unalterable frame commitment)</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458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Supervision touchpoints</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Scheduled academic-supervision touchpoints across the placement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Reporting and assessment</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The maintained log, the placement report and the closing Viva-defence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21</w:t>
            </w:r>
          </w:p>
        </w:tc>
      </w:tr>
      <w:tr>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54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500</w:t>
            </w:r>
          </w:p>
        </w:tc>
      </w:tr>
    </w:tbl>
    <w:p>
      <w:pPr>
        <w:spacing w:after="4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Pathway flavour (placement arrangement, domains and supervision, outside the master frame): placements are sourced across the pathway's professional domains - network engineering, security operations, infrastructure and systems administration, and data protection - through the external-sourced route or the School-arranged route. Academic supervision is coordinated from professional-practice expertise. Any placement involving security-sensitive work inherits the pathway's ethical and legal expectations, and placement scope is confirmed with the host before commencement.</w:t>
      </w:r>
    </w:p>
    <w:p>
      <w:pPr>
        <w:spacing w:after="140" w:before="240"/>
      </w:pPr>
      <w:r>
        <w:rPr>
          <w:rFonts w:ascii="Open Sans" w:cs="Open Sans" w:eastAsia="Open Sans" w:hAnsi="Open Sans"/>
          <w:b/>
          <w:bCs/>
          <w:i w:val="false"/>
          <w:iCs w:val="false"/>
          <w:color w:val="404040"/>
          <w:sz w:val="24"/>
          <w:szCs w:val="24"/>
        </w:rPr>
        <w:t xml:space="preserve">6. Assessment</w:t>
      </w:r>
    </w:p>
    <w:p>
      <w:pPr>
        <w:spacing w:after="120" w:before="0"/>
      </w:pPr>
      <w:r>
        <w:rPr>
          <w:rFonts w:ascii="Open Sans" w:cs="Open Sans" w:eastAsia="Open Sans" w:hAnsi="Open Sans"/>
          <w:b w:val="false"/>
          <w:bCs w:val="false"/>
          <w:i w:val="false"/>
          <w:iCs w:val="false"/>
          <w:color w:val="000000"/>
          <w:sz w:val="20"/>
          <w:szCs w:val="20"/>
        </w:rPr>
        <w:t xml:space="preserve">Components follow the common frame. Grading mode and weightings are confirmed at specification sign-off; any pass-fail component is justified against the TVEC competency-evidence orientation.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38"/>
        <w:gridCol w:w="2400"/>
        <w:gridCol w:w="1100"/>
        <w:gridCol w:w="11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5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4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Placement completion and individually maintained placement log: the completion record with the maintained log evidencing professional practice across the placement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(placement-based); graded; Viva/Presentation: None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Placement report: the reflective placement report evidencing and reflecting on the placement learning</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None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LO3</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Closing Viva-defence: the placement defended at viva against the log and report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in-class (viva); graded; Viva/Presentation: Viva-defence (mandatory)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25%</w:t>
            </w:r>
          </w:p>
        </w:tc>
      </w:tr>
    </w:tbl>
    <w:p>
      <w:pPr>
        <w:spacing w:after="120" w:before="120"/>
      </w:pPr>
      <w:r>
        <w:rPr>
          <w:rFonts w:ascii="Open Sans" w:cs="Open Sans" w:eastAsia="Open Sans" w:hAnsi="Open Sans"/>
          <w:b w:val="false"/>
          <w:bCs w:val="false"/>
          <w:i w:val="false"/>
          <w:iCs w:val="false"/>
          <w:color w:val="000000"/>
          <w:sz w:val="20"/>
          <w:szCs w:val="20"/>
        </w:rPr>
        <w:t xml:space="preserve">Weights sum to 100. Placement completion is a precondition of the award of the module: the completion requirement is a pass-fail gate on the workplace-application outcome, justified against the TVEC competency-evidence orientation, with the log, report and viva graded as above. Reassessment of a failed graded component is by an equivalent task per School regulations; a failed placement is repeated per placement regulations.</w:t>
      </w:r>
    </w:p>
    <w:p>
      <w:pPr>
        <w:spacing w:after="120" w:before="120"/>
      </w:pPr>
      <w:r>
        <w:rPr>
          <w:rFonts w:ascii="Open Sans" w:cs="Open Sans" w:eastAsia="Open Sans" w:hAnsi="Open Sans"/>
          <w:b w:val="false"/>
          <w:bCs w:val="false"/>
          <w:i w:val="false"/>
          <w:iCs w:val="false"/>
          <w:color w:val="000000"/>
          <w:sz w:val="20"/>
          <w:szCs w:val="20"/>
        </w:rPr>
        <w:t xml:space="preserve">All assessment falls under the academic integrity policy, including its provisions on generative AI; the module-level position on AI use is set at teaching-plan stage. The log, report and viva record are auditable competency evidence oriented to TVEC; TVEC requirements are not yet final and additional requirements may be introduced.</w:t>
      </w:r>
    </w:p>
    <w:p>
      <w:pPr>
        <w:spacing w:after="140" w:before="240"/>
      </w:pPr>
      <w:r>
        <w:rPr>
          <w:rFonts w:ascii="Open Sans" w:cs="Open Sans" w:eastAsia="Open Sans" w:hAnsi="Open Sans"/>
          <w:b/>
          <w:bCs/>
          <w:i w:val="false"/>
          <w:iCs w:val="false"/>
          <w:color w:val="404040"/>
          <w:sz w:val="24"/>
          <w:szCs w:val="24"/>
        </w:rPr>
        <w:t xml:space="preserve">7.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 and Placement Resources</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placement handbook, log template and reporting framework, confirmed at teaching-plan stage.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Host-organisation induction and conduct materials, placement-specific.</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Professional-practice and reflective-writing guidance (School-produced),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38"/>
      </w:tblGrid>
      <w:tr>
        <w:trPr>
          <w:tblHeader/>
        </w:trPr>
        <w:tc>
          <w:tcPr>
            <w:tcW w:type="dxa" w:w="34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 (placement coordinator)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 (academic supervisor)</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Coordinated and supervised from professional-practice expertise; generic supervision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2026-07-20T15:33:38.872Z</dcterms:created>
  <dcterms:modified xsi:type="dcterms:W3CDTF">2026-07-20T15:33:38.872Z</dcterms:modified>
</cp:coreProperties>
</file>

<file path=docProps/custom.xml><?xml version="1.0" encoding="utf-8"?>
<Properties xmlns="http://schemas.openxmlformats.org/officeDocument/2006/custom-properties" xmlns:vt="http://schemas.openxmlformats.org/officeDocument/2006/docPropsVTypes"/>
</file>