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32"/>
          <w:szCs w:val="32"/>
        </w:rPr>
        <w:t xml:space="preserve">Module Descriptor - Enterprise Network Engineering</w:t>
      </w:r>
    </w:p>
    <w:p>
      <w:pPr>
        <w:spacing w:after="120" w:before="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Code: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NB-SOCE-L4-NEC-TT-01    </w:t>
      </w: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Tier: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Pathway - Network Engineering and Cybersecurity    </w:t>
      </w: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Type: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Pathway / Taught    </w:t>
      </w: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Status: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Draft for Review v1.0  ·  20 Jul 2026</w:t>
      </w:r>
    </w:p>
    <w:p>
      <w:pPr>
        <w:spacing w:after="200" w:before="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Sources: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School curriculum decision records; the School's SLQF reference (Sri Lanka Qualifications Framework, 2015).</w:t>
      </w:r>
    </w:p>
    <w:p>
      <w:pPr>
        <w:spacing w:after="14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4"/>
          <w:szCs w:val="24"/>
        </w:rPr>
        <w:t xml:space="preserve">1. Module Identity and Architecture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Module code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NB-SOCE-L4-NEC-TT-01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Module title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Enterprise Network Engineering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Scope / type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Pathway: Network Engineering and Cybersecurity  ·  Pathway / Taught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SLQF level / credits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Level 4 (Year 2)  ·  3 credits  ·  150 notional hours (1 credit = 50 hours)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Progression targets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Level 5 Advanced Network Engineering (the primary chain); Level 6 Network Architecture and Automation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Prerequisites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Networking Fundamentals (addressing, protocols, basic configuration)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Delivery mode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Session-based delivery in 3-hour blocks per the School's session pattern; 16 lecture sessions plus tutorials, practicals and demonstration per the hours profile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Hours profile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Taught 3-credit profile (150 notional hours)</w:t>
            </w:r>
          </w:p>
        </w:tc>
      </w:tr>
    </w:tbl>
    <w:p>
      <w:pPr>
        <w:spacing w:after="14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4"/>
          <w:szCs w:val="24"/>
        </w:rPr>
        <w:t xml:space="preserve">2. Module Purpose and Aims</w:t>
      </w:r>
    </w:p>
    <w:p>
      <w:pPr>
        <w:spacing w:after="12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To build the enterprise routing and switching core that the networking half of the award title stands on: segmented switched networks (VLANs, inter-VLAN routing, resilience), routed connectivity (static and single-area OSPF), and the traffic controls an enterprise edge requires (ACLs, NAT), with wireless carried at fundamentals level only. The module consumes network services and does not teach them - services implementation is owned by the server-administration modules, the concept by Networking Fundamentals. Its scope is deliberately and tightly subscribed: the protected core fills the full lecture allocation, and this is the first module in the programme at which any future scope pressure must be refused rather than absorbed.</w:t>
      </w:r>
    </w:p>
    <w:p>
      <w:pPr>
        <w:spacing w:after="120" w:before="18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1"/>
          <w:szCs w:val="21"/>
        </w:rPr>
        <w:t xml:space="preserve">Specification Boundary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7F7F7" w:sz="2"/>
              <w:left w:val="single" w:color="595959" w:sz="24"/>
              <w:bottom w:val="single" w:color="F7F7F7" w:sz="2"/>
              <w:right w:val="single" w:color="F7F7F7" w:sz="2"/>
            </w:tcBorders>
            <w:shd w:fill="F7F7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Covers: </w:t>
            </w: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SRWE core - VLANs, inter-VLAN routing, spanning tree, EtherChannel, static routing; selected ENSA core - single-area OSPF, ACLs, NAT; wireless fundamentals only (standards, SSID and association, basic access-point configuration). The protected routing and switching core fully subscribes the 48 lecture hours; this is the tightest module in the programme and the first point at which future scope pressure must be refused.</w:t>
            </w:r>
          </w:p>
          <w:p>
            <w:pPr>
              <w:spacing w:after="10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Does NOT cover: </w:t>
            </w: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network-services implementation (the concept sits in Networking Fundamentals; implementation in Linux Server Administration and Windows Server and Directory Services); wireless defence (Network and Security Operations) or wireless attack (Ethical Hacking and Application Security); full CCNA ENSA breadth such as WAN technologies and QoS depth (consciously out of perimeter).</w:t>
            </w:r>
          </w:p>
          <w:p>
            <w:pPr>
              <w:spacing w:after="100"/>
            </w:pPr>
            <w:r>
              <w:rPr>
                <w:rFonts w:ascii="Open Sans" w:cs="Open Sans" w:eastAsia="Open Sans" w:hAnsi="Open Sans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Changes to this boundary are made only through the School's formal change-control process.</w:t>
            </w:r>
          </w:p>
        </w:tc>
      </w:tr>
    </w:tbl>
    <w:p>
      <w:pPr>
        <w:spacing w:after="14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4"/>
          <w:szCs w:val="24"/>
        </w:rPr>
        <w:t xml:space="preserve">3. Learning Outcomes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938"/>
        <w:gridCol w:w="20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Ref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Intended Learning Outcome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Level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LO1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Configure VLANs, inter-VLAN routing and switching resilience.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Apply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LO2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Implement static and single-area OSPF routing.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Apply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LO3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Apply ACLs and NAT to an enterprise topology.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Apply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LO4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Design a segmented enterprise topology, justifying the switching, routing and access-control choices made.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Analyse / Design</w:t>
            </w:r>
          </w:p>
        </w:tc>
      </w:tr>
    </w:tbl>
    <w:p>
      <w:pPr>
        <w:spacing w:after="14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4"/>
          <w:szCs w:val="24"/>
        </w:rPr>
        <w:t xml:space="preserve">4. Curriculum and Delivery</w:t>
      </w:r>
    </w:p>
    <w:p>
      <w:pPr>
        <w:spacing w:after="120" w:before="18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1"/>
          <w:szCs w:val="21"/>
        </w:rPr>
        <w:t xml:space="preserve">Indicative Syllabus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238"/>
        <w:gridCol w:w="16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Unit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Lecture hours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U1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VLANs and trunking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U2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Inter-VLAN routing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U3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Switching resilience: spanning tree and EtherChannel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U4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Static routing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U5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Single-area OSPF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U6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Access control lists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U7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Network address translation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U8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Wireless fundamentals: standards, SSID and association, basic access-point configuration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U9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Integrated enterprise topology: bringing the core together in the laboratory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Total lecture hours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48</w:t>
            </w:r>
          </w:p>
        </w:tc>
      </w:tr>
    </w:tbl>
    <w:p>
      <w:pPr>
        <w:spacing w:after="6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48 lecture hours are delivered as 16 three-hour sessions per the School's session pattern; U1 through U7 run bench-integrated, and the practicals component carries the topology build time.</w:t>
      </w:r>
    </w:p>
    <w:p>
      <w:pPr>
        <w:spacing w:after="12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Scope protection: the unit set above is the fully-subscribed protected core. Adjustment at specification may move hours among these units in multiples of 3 but may not admit new topic territory; additions to the programme's networking provision are refused at this module first.</w:t>
      </w:r>
    </w:p>
    <w:p>
      <w:pPr>
        <w:spacing w:after="12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syllabus tracks the relevant CCNA cores because they are the correct foundation for the Level 5 networking progression; the module makes no certification-alignment claim, and the Cisco Networking Academy curricula are delivery resources only, never the specification.</w:t>
      </w:r>
    </w:p>
    <w:p>
      <w:pPr>
        <w:spacing w:after="120" w:before="18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1"/>
          <w:szCs w:val="21"/>
        </w:rPr>
        <w:t xml:space="preserve">Teaching and Learning Hours (SLQF)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38"/>
        <w:gridCol w:w="2600"/>
      </w:tblGrid>
      <w:tr>
        <w:trPr>
          <w:tblHeader/>
        </w:trPr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Hours</w:t>
            </w:r>
          </w:p>
        </w:tc>
      </w:tr>
      <w:tr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Lectures (fixed)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48</w:t>
            </w:r>
          </w:p>
        </w:tc>
      </w:tr>
      <w:tr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Tutorials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Practicals / Laboratory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In-class assignments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Demonstration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Self-guided study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54</w:t>
            </w:r>
          </w:p>
        </w:tc>
      </w:tr>
      <w:tr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Total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150</w:t>
            </w:r>
          </w:p>
        </w:tc>
      </w:tr>
    </w:tbl>
    <w:p>
      <w:pPr>
        <w:spacing w:after="14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4"/>
          <w:szCs w:val="24"/>
        </w:rPr>
        <w:t xml:space="preserve">5. Assessment</w:t>
      </w:r>
    </w:p>
    <w:p>
      <w:pPr>
        <w:spacing w:after="12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examination is carried for breadth across the routing and switching core. The analytical requirement at this level is carried by LO4 and assessed through the design task.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38"/>
        <w:gridCol w:w="2300"/>
        <w:gridCol w:w="1100"/>
        <w:gridCol w:w="9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Conditions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ILOs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Weight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Practical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Staged bench build of an enterprise topology: VLANs, inter-VLAN routing, resilience, OSPF, ACLs and NAT configured and verified at paired benches, with an individually maintained evidence log per student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Groups of 2 at the bench; individually logged and graded; in-class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LO1, LO2, LO3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30%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Coursework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Topology design task: a segmented enterprise design produced against a brief, with written justification of the switching, routing and access-control choices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Individual; take-home; graded; Viva/Presentation: Viva-defence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25%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Examination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Written examination: switching and routing operation, protocol behaviour, access control and translation, wireless fundamentals; 2 hours, closed resources, invigilated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Graded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LO1, LO2, LO3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45%</w:t>
            </w:r>
          </w:p>
        </w:tc>
      </w:tr>
    </w:tbl>
    <w:p>
      <w:pPr>
        <w:spacing w:after="120" w:before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Weightings are confirmed at specification sign-off. Reassessment is by the failed component only, with an equivalent task, per School regulations. All assessment falls under the academic integrity policy, including its provisions on generative AI; the module-level position on AI use is set at teaching-plan stage.</w:t>
      </w:r>
    </w:p>
    <w:p>
      <w:pPr>
        <w:spacing w:after="14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4"/>
          <w:szCs w:val="24"/>
        </w:rPr>
        <w:t xml:space="preserve">6. Resources, Staff and Governance</w:t>
      </w:r>
    </w:p>
    <w:p>
      <w:pPr>
        <w:spacing w:after="120" w:before="18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1"/>
          <w:szCs w:val="21"/>
        </w:rPr>
        <w:t xml:space="preserve">Indicative Reading</w:t>
      </w:r>
    </w:p>
    <w:p>
      <w:pPr>
        <w:spacing w:after="8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Odom, W., CCNA 200-301 Official Cert Guide, Volume 2 (Cisco Press) - laboratory-aligned support for the switching, OSPF, ACL and NAT core; used as a resource, not a specification.</w:t>
      </w:r>
    </w:p>
    <w:p>
      <w:pPr>
        <w:spacing w:after="8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Perlman, R., Interconnections: Bridges, Routers, Switches, and Internetworking Protocols (Addison-Wesley) - selected chapters for the conceptual depth behind spanning tree and routing.</w:t>
      </w:r>
    </w:p>
    <w:p>
      <w:pPr>
        <w:spacing w:after="8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Kurose, J. F. and Ross, K. W., Computer Networking: A Top-Down Approach (Pearson) - continuing conceptual reference from Networking Fundamentals.</w:t>
      </w:r>
    </w:p>
    <w:p>
      <w:pPr>
        <w:spacing w:after="8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Cisco Networking Academy SRWE and ENSA curricula - School-arranged delivery resources only (equipment- and account-dependent), confirmed at teaching-plan stage.</w:t>
      </w:r>
    </w:p>
    <w:p>
      <w:pPr>
        <w:spacing w:after="120" w:before="18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1"/>
          <w:szCs w:val="21"/>
        </w:rPr>
        <w:t xml:space="preserve">Staffing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33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Domain credential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Module leader 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Module leader 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External module auditor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12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Domain-expertise statement: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Taught from an enterprise-networking domain; generic delivery is non-compliant with the School's staffing governance.</w:t>
      </w:r>
    </w:p>
    <w:p>
      <w:pPr>
        <w:spacing w:after="120" w:before="18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1"/>
          <w:szCs w:val="21"/>
        </w:rPr>
        <w:t xml:space="preserve">Version and Sign-off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438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 Jul 2026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Draft for Review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2026-07-20T14:49:50.625Z</dcterms:created>
  <dcterms:modified xsi:type="dcterms:W3CDTF">2026-07-20T14:49:50.637Z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