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pPr>
      <w:r>
        <w:rPr>
          <w:rFonts w:ascii="Open Sans" w:cs="Open Sans" w:eastAsia="Open Sans" w:hAnsi="Open Sans"/>
          <w:b/>
          <w:bCs/>
          <w:i w:val="false"/>
          <w:iCs w:val="false"/>
          <w:color w:val="404040"/>
          <w:sz w:val="32"/>
          <w:szCs w:val="32"/>
        </w:rPr>
        <w:t xml:space="preserve">Module Descriptor - Virtualisation Technologies</w:t>
      </w:r>
    </w:p>
    <w:p>
      <w:pPr>
        <w:spacing w:after="12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NB-SOCE-L4-NEC-TT-04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 Network Engineering and Cybersecurity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    </w:t>
      </w: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  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the School's SLQF reference (Sri Lanka Qualifications Framework, 2015).</w:t>
      </w:r>
    </w:p>
    <w:p>
      <w:pPr>
        <w:spacing w:after="140" w:before="240"/>
      </w:pPr>
      <w:r>
        <w:rPr>
          <w:rFonts w:ascii="Open Sans" w:cs="Open Sans" w:eastAsia="Open Sans" w:hAnsi="Open Sans"/>
          <w:b/>
          <w:bCs/>
          <w:i w:val="false"/>
          <w:iCs w:val="false"/>
          <w:color w:val="404040"/>
          <w:sz w:val="24"/>
          <w:szCs w:val="24"/>
        </w:rPr>
        <w:t xml:space="preserve">1. Module Identity and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code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NB-SOCE-L4-NEC-TT-04</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title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Virtualisation Technologies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Scope / type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Pathway: Network Engineering and Cybersecurity  ·  Pathway / Taught</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SLQF level / credits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4 (Year 2)  ·  3 credits  ·  150 notional hours (1 credit = 50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Progression targets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Cloud Technologies (Year 2; virtualisation underpins cloud); Level 5 Digital Forensics and Incident Analysis (forensics and incident environments); Level 5 Advanced Network Engineering (virtualised networking introduction, SDN awareness)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Prerequisites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Operating Systems and Infrastructure (operating-system substrate)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Delivery mode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Session-based delivery in 3-hour blocks per the School's session pattern; 16 lecture sessions plus tutorials, practicals and demonstration per the hours profile</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Hours profile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Taught 3-credit profile (150 notional hours)</w:t>
            </w:r>
          </w:p>
        </w:tc>
      </w:tr>
    </w:tbl>
    <w:p>
      <w:pPr>
        <w:spacing w:after="140" w:before="240"/>
      </w:pPr>
      <w:r>
        <w:rPr>
          <w:rFonts w:ascii="Open Sans" w:cs="Open Sans" w:eastAsia="Open Sans" w:hAnsi="Open Sans"/>
          <w:b/>
          <w:bCs/>
          <w:i w:val="false"/>
          <w:iCs w:val="false"/>
          <w:color w:val="404040"/>
          <w:sz w:val="24"/>
          <w:szCs w:val="24"/>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To make virtualisation an instrument the pathway's practitioners hold, because nearly everything downstream stands on it: cloud platforms are virtualisation operated at provider scale, forensics and incident work runs in isolated virtual environments, and advanced networking increasingly means virtualised networking. Students deploy and manage virtual machines, virtual networks and virtual storage, meet containers at introductory level, and - the pathway's distinctive use - learn to build virtualisation into safe, isolated laboratory environments, the substrate on which the offensive and forensic modules depend. The module stays below the cloud line by design: what cloud platforms add (service and deployment models) belongs to Cloud Technologies, and production orchestration at scale is beyond the perimeter.</w:t>
      </w:r>
    </w:p>
    <w:p>
      <w:pPr>
        <w:spacing w:after="120" w:before="180"/>
      </w:pPr>
      <w:r>
        <w:rPr>
          <w:rFonts w:ascii="Open Sans" w:cs="Open Sans" w:eastAsia="Open Sans" w:hAnsi="Open Sans"/>
          <w:b/>
          <w:bCs/>
          <w:i w:val="false"/>
          <w:iCs w:val="false"/>
          <w:color w:val="404040"/>
          <w:sz w:val="21"/>
          <w:szCs w:val="21"/>
        </w:rPr>
        <w:t xml:space="preserve">Specification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7F7" w:sz="2"/>
              <w:left w:val="single" w:color="595959" w:sz="24"/>
              <w:bottom w:val="single" w:color="F7F7F7" w:sz="2"/>
              <w:right w:val="single" w:color="F7F7F7" w:sz="2"/>
            </w:tcBorders>
            <w:shd w:fill="F7F7F7"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Covers: </w:t>
            </w:r>
            <w:r>
              <w:rPr>
                <w:rFonts w:ascii="Open Sans" w:cs="Open Sans" w:eastAsia="Open Sans" w:hAnsi="Open Sans"/>
                <w:b w:val="false"/>
                <w:bCs w:val="false"/>
                <w:i w:val="false"/>
                <w:iCs w:val="false"/>
                <w:color w:val="000000"/>
                <w:sz w:val="19"/>
                <w:szCs w:val="19"/>
              </w:rPr>
              <w:t xml:space="preserve">hypervisors and virtual machines; virtual networking and storage; containers at introductory level; virtualisation as the forensics and laboratory substrate.</w:t>
            </w:r>
          </w:p>
          <w:p>
            <w:pPr>
              <w:spacing w:after="100"/>
            </w:pPr>
            <w:r>
              <w:rPr>
                <w:rFonts w:ascii="Open Sans" w:cs="Open Sans" w:eastAsia="Open Sans" w:hAnsi="Open Sans"/>
                <w:b/>
                <w:bCs/>
                <w:i w:val="false"/>
                <w:iCs w:val="false"/>
                <w:color w:val="000000"/>
                <w:sz w:val="19"/>
                <w:szCs w:val="19"/>
              </w:rPr>
              <w:t xml:space="preserve">Does NOT cover: </w:t>
            </w:r>
            <w:r>
              <w:rPr>
                <w:rFonts w:ascii="Open Sans" w:cs="Open Sans" w:eastAsia="Open Sans" w:hAnsi="Open Sans"/>
                <w:b w:val="false"/>
                <w:bCs w:val="false"/>
                <w:i w:val="false"/>
                <w:iCs w:val="false"/>
                <w:color w:val="000000"/>
                <w:sz w:val="19"/>
                <w:szCs w:val="19"/>
              </w:rPr>
              <w:t xml:space="preserve">cloud service and deployment models (Cloud Technologies); production orchestration at scale.</w:t>
            </w:r>
          </w:p>
          <w:p>
            <w:pPr>
              <w:spacing w:after="100"/>
            </w:pPr>
            <w:r>
              <w:rPr>
                <w:rFonts w:ascii="Open Sans" w:cs="Open Sans" w:eastAsia="Open Sans" w:hAnsi="Open Sans"/>
                <w:b w:val="false"/>
                <w:bCs w:val="false"/>
                <w:i/>
                <w:iCs/>
                <w:color w:val="000000"/>
                <w:sz w:val="19"/>
                <w:szCs w:val="19"/>
              </w:rPr>
              <w:t xml:space="preserve">Changes to this boundary are made only through the School's formal change-control process.</w:t>
            </w:r>
          </w:p>
        </w:tc>
      </w:tr>
    </w:tbl>
    <w:p>
      <w:pPr>
        <w:spacing w:after="140" w:before="240"/>
      </w:pPr>
      <w:r>
        <w:rPr>
          <w:rFonts w:ascii="Open Sans" w:cs="Open Sans" w:eastAsia="Open Sans" w:hAnsi="Open Sans"/>
          <w:b/>
          <w:bCs/>
          <w:i w:val="false"/>
          <w:iCs w:val="false"/>
          <w:color w:val="404040"/>
          <w:sz w:val="24"/>
          <w:szCs w:val="24"/>
        </w:rPr>
        <w:t xml:space="preserve">3. Learning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9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Level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Deploy and manage virtual machines and virtual networks.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Explain virtualisation as the basis for cloud and laboratory environments.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Understand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LO3</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Configure introductory containerisation.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LO4</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Analyse workload and isolation requirements to select between machine and container virtualisation, justifying the design.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Analyse</w:t>
            </w:r>
          </w:p>
        </w:tc>
      </w:tr>
    </w:tbl>
    <w:p>
      <w:pPr>
        <w:spacing w:after="140" w:before="240"/>
      </w:pPr>
      <w:r>
        <w:rPr>
          <w:rFonts w:ascii="Open Sans" w:cs="Open Sans" w:eastAsia="Open Sans" w:hAnsi="Open Sans"/>
          <w:b/>
          <w:bCs/>
          <w:i w:val="false"/>
          <w:iCs w:val="false"/>
          <w:color w:val="404040"/>
          <w:sz w:val="24"/>
          <w:szCs w:val="24"/>
        </w:rPr>
        <w:t xml:space="preserve">4. Curriculum and Delivery</w:t>
      </w:r>
    </w:p>
    <w:p>
      <w:pPr>
        <w:spacing w:after="120" w:before="180"/>
      </w:pPr>
      <w:r>
        <w:rPr>
          <w:rFonts w:ascii="Open Sans" w:cs="Open Sans" w:eastAsia="Open Sans" w:hAnsi="Open Sans"/>
          <w:b/>
          <w:bCs/>
          <w:i w:val="false"/>
          <w:iCs w:val="false"/>
          <w:color w:val="404040"/>
          <w:sz w:val="21"/>
          <w:szCs w:val="21"/>
        </w:rPr>
        <w:t xml:space="preserve">Indicative Syllabus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238"/>
        <w:gridCol w:w="1600"/>
      </w:tblGrid>
      <w:tr>
        <w:trPr>
          <w:tblHeader/>
        </w:trPr>
        <w:tc>
          <w:tcPr>
            <w:tcW w:type="dxa" w:w="8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72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U1</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Virtualisation concepts and hypervisor types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U2</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Virtual machines: deployment, lifecycle, images and snapshots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U3</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Virtual networking: switches, segments and virtualised topologies (SDN awareness)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U4</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Virtual storage</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U5</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Containers at introductory level: images, containers and composed services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U6</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Virtualisation as the laboratory and forensics substrate: building isolated environments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
            </w:r>
          </w:p>
        </w:tc>
        <w:tc>
          <w:tcPr>
            <w:tcW w:type="dxa" w:w="72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 lecture hours</w:t>
            </w:r>
          </w:p>
        </w:tc>
        <w:tc>
          <w:tcPr>
            <w:tcW w:type="dxa" w:w="1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48</w:t>
            </w:r>
          </w:p>
        </w:tc>
      </w:tr>
    </w:tbl>
    <w:p>
      <w:pPr>
        <w:spacing w:after="60" w:before="0"/>
      </w:pPr>
      <w:r>
        <w:rPr>
          <w:rFonts w:ascii="Open Sans" w:cs="Open Sans" w:eastAsia="Open Sans" w:hAnsi="Open Sans"/>
          <w:b w:val="false"/>
          <w:bCs w:val="false"/>
          <w:i w:val="false"/>
          <w:iCs w:val="false"/>
          <w:color w:val="000000"/>
          <w:sz w:val="20"/>
          <w:szCs w:val="20"/>
        </w:rPr>
        <w:t xml:space="preserve"/>
      </w:r>
    </w:p>
    <w:p>
      <w:pPr>
        <w:spacing w:after="120" w:before="0"/>
      </w:pPr>
      <w:r>
        <w:rPr>
          <w:rFonts w:ascii="Open Sans" w:cs="Open Sans" w:eastAsia="Open Sans" w:hAnsi="Open Sans"/>
          <w:b w:val="false"/>
          <w:bCs w:val="false"/>
          <w:i w:val="false"/>
          <w:iCs w:val="false"/>
          <w:color w:val="000000"/>
          <w:sz w:val="20"/>
          <w:szCs w:val="20"/>
        </w:rPr>
        <w:t xml:space="preserve">The 48 lecture hours are delivered as 16 three-hour sessions per the School's session pattern; every unit runs laboratory-integrated, and the practicals component carries the environment build time. The laboratory platform is selected at teaching-plan stage; delivery is platform-agnostic at concept level, with the command-line norm assumed from the Year 1 substrate.</w:t>
      </w:r>
    </w:p>
    <w:p>
      <w:pPr>
        <w:spacing w:after="120" w:before="180"/>
      </w:pPr>
      <w:r>
        <w:rPr>
          <w:rFonts w:ascii="Open Sans" w:cs="Open Sans" w:eastAsia="Open Sans" w:hAnsi="Open Sans"/>
          <w:b/>
          <w:bCs/>
          <w:i w:val="false"/>
          <w:iCs w:val="false"/>
          <w:color w:val="404040"/>
          <w:sz w:val="21"/>
          <w:szCs w:val="21"/>
        </w:rPr>
        <w:t xml:space="preserve">Teaching and Learning Hours (SLQF)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tblHeader/>
        </w:trPr>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Lectures (fixed)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48</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Tutorials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12</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Practicals / Laboratory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24</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In-class assignments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Demonstration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Self-guided study</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54</w:t>
            </w:r>
          </w:p>
        </w:tc>
      </w:tr>
      <w:tr>
        <w:tc>
          <w:tcPr>
            <w:tcW w:type="dxa" w:w="70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w:t>
            </w:r>
          </w:p>
        </w:tc>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150</w:t>
            </w:r>
          </w:p>
        </w:tc>
      </w:tr>
    </w:tbl>
    <w:p>
      <w:pPr>
        <w:spacing w:after="140" w:before="240"/>
      </w:pPr>
      <w:r>
        <w:rPr>
          <w:rFonts w:ascii="Open Sans" w:cs="Open Sans" w:eastAsia="Open Sans" w:hAnsi="Open Sans"/>
          <w:b/>
          <w:bCs/>
          <w:i w:val="false"/>
          <w:iCs w:val="false"/>
          <w:color w:val="404040"/>
          <w:sz w:val="24"/>
          <w:szCs w:val="24"/>
        </w:rPr>
        <w:t xml:space="preserve">5. Assessment</w:t>
      </w:r>
    </w:p>
    <w:p>
      <w:pPr>
        <w:spacing w:after="120" w:before="0"/>
      </w:pPr>
      <w:r>
        <w:rPr>
          <w:rFonts w:ascii="Open Sans" w:cs="Open Sans" w:eastAsia="Open Sans" w:hAnsi="Open Sans"/>
          <w:b w:val="false"/>
          <w:bCs w:val="false"/>
          <w:i w:val="false"/>
          <w:iCs w:val="false"/>
          <w:color w:val="000000"/>
          <w:sz w:val="20"/>
          <w:szCs w:val="20"/>
        </w:rPr>
        <w:t xml:space="preserve">The examination is carried for breadth across virtualisation concepts, networking, storage and containerisation. The analytical requirement at this level is carried by LO4 and assessed through the environment build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38"/>
        <w:gridCol w:w="2300"/>
        <w:gridCol w:w="1100"/>
        <w:gridCol w:w="900"/>
      </w:tblGrid>
      <w:tr>
        <w:trPr>
          <w:tblHeader/>
        </w:trPr>
        <w:tc>
          <w:tcPr>
            <w:tcW w:type="dxa" w:w="15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8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ILOs</w:t>
            </w:r>
          </w:p>
        </w:tc>
        <w:tc>
          <w:tcPr>
            <w:tcW w:type="dxa" w:w="9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Timed virtualisation tasks at the workstation: machines deployed, virtual networks configured, containers run, with a maintained evidence log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in-class; graded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30%</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Isolated environment build case: a laboratory environment designed and built to a brief (machines, networks, containment), with written justification of the machine-versus-container choices made</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graded; Viva/Presentation: Viva-defence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LO4</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Examination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Written examination: virtualisation concepts and hypervisor types, virtual networking and storage, container fundamentals, the laboratory substrate; 2 hours, closed resources, invigilated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Graded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 LO3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35%</w:t>
            </w:r>
          </w:p>
        </w:tc>
      </w:tr>
    </w:tbl>
    <w:p>
      <w:pPr>
        <w:spacing w:after="120" w:before="120"/>
      </w:pPr>
      <w:r>
        <w:rPr>
          <w:rFonts w:ascii="Open Sans" w:cs="Open Sans" w:eastAsia="Open Sans" w:hAnsi="Open Sans"/>
          <w:b w:val="false"/>
          <w:bCs w:val="false"/>
          <w:i w:val="false"/>
          <w:iCs w:val="false"/>
          <w:color w:val="000000"/>
          <w:sz w:val="20"/>
          <w:szCs w:val="20"/>
        </w:rPr>
        <w:t xml:space="preserve">Weightings are confirmed at specification sign-off. Reassessment is by the failed component only, with an equivalent task, per School regulations. All assessment falls under the academic integrity policy, including its provisions on generative AI; the module-level position on AI use is set at teaching-plan stage.</w:t>
      </w:r>
    </w:p>
    <w:p>
      <w:pPr>
        <w:spacing w:after="140" w:before="240"/>
      </w:pPr>
      <w:r>
        <w:rPr>
          <w:rFonts w:ascii="Open Sans" w:cs="Open Sans" w:eastAsia="Open Sans" w:hAnsi="Open Sans"/>
          <w:b/>
          <w:bCs/>
          <w:i w:val="false"/>
          <w:iCs w:val="false"/>
          <w:color w:val="404040"/>
          <w:sz w:val="24"/>
          <w:szCs w:val="24"/>
        </w:rPr>
        <w:t xml:space="preserve">6. Resources, Staff and Governance</w:t>
      </w:r>
    </w:p>
    <w:p>
      <w:pPr>
        <w:spacing w:after="120" w:before="180"/>
      </w:pPr>
      <w:r>
        <w:rPr>
          <w:rFonts w:ascii="Open Sans" w:cs="Open Sans" w:eastAsia="Open Sans" w:hAnsi="Open Sans"/>
          <w:b/>
          <w:bCs/>
          <w:i w:val="false"/>
          <w:iCs w:val="false"/>
          <w:color w:val="404040"/>
          <w:sz w:val="21"/>
          <w:szCs w:val="21"/>
        </w:rPr>
        <w:t xml:space="preserve">Indicative Reading</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Portnoy, M., Virtualization Essentials (Sybex) - primary conceptual text.</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Kane, S. P. and Matthias, K., Docker: Up and Running (O'Reilly) - the container introduction; selected chapters only.</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Proxmox VE documentation (Proxmox Server Solutions) - named online resource, kit-dependent; confirmed against the selected laboratory platform at teaching-plan stage.</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School-produced laboratory-environment guides (kit-specific), confirmed at teaching-plan stage.</w:t>
      </w:r>
    </w:p>
    <w:p>
      <w:pPr>
        <w:spacing w:after="120" w:before="180"/>
      </w:pPr>
      <w:r>
        <w:rPr>
          <w:rFonts w:ascii="Open Sans" w:cs="Open Sans" w:eastAsia="Open Sans" w:hAnsi="Open Sans"/>
          <w:b/>
          <w:bCs/>
          <w:i w:val="false"/>
          <w:iCs w:val="false"/>
          <w:color w:val="404040"/>
          <w:sz w:val="21"/>
          <w:szCs w:val="21"/>
        </w:rPr>
        <w:t xml:space="preserve">Staffing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3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2</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External module auditor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a virtualisation and infrastructure domain; generic delivery is non-compliant with the School's staffing governance.</w:t>
      </w:r>
    </w:p>
    <w:p>
      <w:pPr>
        <w:spacing w:after="120" w:before="180"/>
      </w:pPr>
      <w:r>
        <w:rPr>
          <w:rFonts w:ascii="Open Sans" w:cs="Open Sans" w:eastAsia="Open Sans" w:hAnsi="Open Sans"/>
          <w:b/>
          <w:bCs/>
          <w:i w:val="false"/>
          <w:iCs w:val="false"/>
          <w:color w:val="404040"/>
          <w:sz w:val="21"/>
          <w:szCs w:val="21"/>
        </w:rPr>
        <w:t xml:space="preserve">Version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Version</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Status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20 Jul 2026</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Draft for Review</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2026-07-20T15:06:19.668Z</dcterms:created>
  <dcterms:modified xsi:type="dcterms:W3CDTF">2026-07-20T15:06:19.683Z</dcterms:modified>
</cp:coreProperties>
</file>

<file path=docProps/custom.xml><?xml version="1.0" encoding="utf-8"?>
<Properties xmlns="http://schemas.openxmlformats.org/officeDocument/2006/custom-properties" xmlns:vt="http://schemas.openxmlformats.org/officeDocument/2006/docPropsVTypes"/>
</file>