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
      </w:pPr>
      <w:r>
        <w:rPr>
          <w:rFonts w:ascii="Open Sans" w:cs="Open Sans" w:eastAsia="Open Sans" w:hAnsi="Open Sans"/>
          <w:b/>
          <w:bCs/>
          <w:i w:val="false"/>
          <w:iCs w:val="false"/>
          <w:color w:val="404040"/>
          <w:sz w:val="32"/>
          <w:szCs w:val="32"/>
        </w:rPr>
        <w:t xml:space="preserve">Module Descriptor - Cloud Technologies</w:t>
      </w:r>
    </w:p>
    <w:p>
      <w:pPr>
        <w:spacing w:after="120" w:before="0"/>
      </w:pPr>
      <w:r>
        <w:rPr>
          <w:rFonts w:ascii="Open Sans" w:cs="Open Sans" w:eastAsia="Open Sans" w:hAnsi="Open Sans"/>
          <w:b/>
          <w:bCs/>
          <w:i w:val="false"/>
          <w:iCs w:val="false"/>
          <w:color w:val="000000"/>
          <w:sz w:val="20"/>
          <w:szCs w:val="20"/>
        </w:rPr>
        <w:t xml:space="preserve">Code: </w:t>
      </w:r>
      <w:r>
        <w:rPr>
          <w:rFonts w:ascii="Open Sans" w:cs="Open Sans" w:eastAsia="Open Sans" w:hAnsi="Open Sans"/>
          <w:b w:val="false"/>
          <w:bCs w:val="false"/>
          <w:i w:val="false"/>
          <w:iCs w:val="false"/>
          <w:color w:val="000000"/>
          <w:sz w:val="20"/>
          <w:szCs w:val="20"/>
        </w:rPr>
        <w:t xml:space="preserve">NB-SOCE-L4-NEC-TT-05    </w:t>
      </w:r>
      <w:r>
        <w:rPr>
          <w:rFonts w:ascii="Open Sans" w:cs="Open Sans" w:eastAsia="Open Sans" w:hAnsi="Open Sans"/>
          <w:b/>
          <w:bCs/>
          <w:i w:val="false"/>
          <w:iCs w:val="false"/>
          <w:color w:val="000000"/>
          <w:sz w:val="20"/>
          <w:szCs w:val="20"/>
        </w:rPr>
        <w:t xml:space="preserve">Tier: </w:t>
      </w:r>
      <w:r>
        <w:rPr>
          <w:rFonts w:ascii="Open Sans" w:cs="Open Sans" w:eastAsia="Open Sans" w:hAnsi="Open Sans"/>
          <w:b w:val="false"/>
          <w:bCs w:val="false"/>
          <w:i w:val="false"/>
          <w:iCs w:val="false"/>
          <w:color w:val="000000"/>
          <w:sz w:val="20"/>
          <w:szCs w:val="20"/>
        </w:rPr>
        <w:t xml:space="preserve">Pathway - Network Engineering and Cybersecurity    </w:t>
      </w:r>
      <w:r>
        <w:rPr>
          <w:rFonts w:ascii="Open Sans" w:cs="Open Sans" w:eastAsia="Open Sans" w:hAnsi="Open Sans"/>
          <w:b/>
          <w:bCs/>
          <w:i w:val="false"/>
          <w:iCs w:val="false"/>
          <w:color w:val="000000"/>
          <w:sz w:val="20"/>
          <w:szCs w:val="20"/>
        </w:rPr>
        <w:t xml:space="preserve">Type: </w:t>
      </w:r>
      <w:r>
        <w:rPr>
          <w:rFonts w:ascii="Open Sans" w:cs="Open Sans" w:eastAsia="Open Sans" w:hAnsi="Open Sans"/>
          <w:b w:val="false"/>
          <w:bCs w:val="false"/>
          <w:i w:val="false"/>
          <w:iCs w:val="false"/>
          <w:color w:val="000000"/>
          <w:sz w:val="20"/>
          <w:szCs w:val="20"/>
        </w:rPr>
        <w:t xml:space="preserve">Pathway / Taught    </w:t>
      </w:r>
      <w:r>
        <w:rPr>
          <w:rFonts w:ascii="Open Sans" w:cs="Open Sans" w:eastAsia="Open Sans" w:hAnsi="Open Sans"/>
          <w:b/>
          <w:bCs/>
          <w:i w:val="false"/>
          <w:iCs w:val="false"/>
          <w:color w:val="000000"/>
          <w:sz w:val="20"/>
          <w:szCs w:val="20"/>
        </w:rPr>
        <w:t xml:space="preserve">Status: </w:t>
      </w:r>
      <w:r>
        <w:rPr>
          <w:rFonts w:ascii="Open Sans" w:cs="Open Sans" w:eastAsia="Open Sans" w:hAnsi="Open Sans"/>
          <w:b w:val="false"/>
          <w:bCs w:val="false"/>
          <w:i w:val="false"/>
          <w:iCs w:val="false"/>
          <w:color w:val="000000"/>
          <w:sz w:val="20"/>
          <w:szCs w:val="20"/>
        </w:rPr>
        <w:t xml:space="preserve">Draft for Review v1.0  ·  20 Jul 2026</w:t>
      </w:r>
    </w:p>
    <w:p>
      <w:pPr>
        <w:spacing w:after="200" w:before="0"/>
      </w:pPr>
      <w:r>
        <w:rPr>
          <w:rFonts w:ascii="Open Sans" w:cs="Open Sans" w:eastAsia="Open Sans" w:hAnsi="Open Sans"/>
          <w:b/>
          <w:bCs/>
          <w:i w:val="false"/>
          <w:iCs w:val="false"/>
          <w:color w:val="000000"/>
          <w:sz w:val="20"/>
          <w:szCs w:val="20"/>
        </w:rPr>
        <w:t xml:space="preserve">Sources: </w:t>
      </w:r>
      <w:r>
        <w:rPr>
          <w:rFonts w:ascii="Open Sans" w:cs="Open Sans" w:eastAsia="Open Sans" w:hAnsi="Open Sans"/>
          <w:b w:val="false"/>
          <w:bCs w:val="false"/>
          <w:i w:val="false"/>
          <w:iCs w:val="false"/>
          <w:color w:val="000000"/>
          <w:sz w:val="20"/>
          <w:szCs w:val="20"/>
        </w:rPr>
        <w:t xml:space="preserve">School curriculum decision records; the School's SLQF reference (Sri Lanka Qualifications Framework, 2015).</w:t>
      </w:r>
    </w:p>
    <w:p>
      <w:pPr>
        <w:spacing w:after="140" w:before="240"/>
      </w:pPr>
      <w:r>
        <w:rPr>
          <w:rFonts w:ascii="Open Sans" w:cs="Open Sans" w:eastAsia="Open Sans" w:hAnsi="Open Sans"/>
          <w:b/>
          <w:bCs/>
          <w:i w:val="false"/>
          <w:iCs w:val="false"/>
          <w:color w:val="404040"/>
          <w:sz w:val="24"/>
          <w:szCs w:val="24"/>
        </w:rPr>
        <w:t xml:space="preserve">1. Module Identity and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70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Module code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NB-SOCE-L4-NEC-TT-05</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Module title</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Cloud Technologies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Scope / type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Pathway: Network Engineering and Cybersecurity  ·  Pathway / Taught</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SLQF level / credits</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Level 4 (Year 2)  ·  3 credits  ·  150 notional hours (1 credit = 50 hours)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Progression targets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Level 6 Cloud Security (the primary cloud-continuity chain, bridged through the cloud-networking seed in Level 5 Advanced Network Engineering); cloud identity and access management (Entra ID, IAM roles) into the programme's identity strand and Level 6 Cloud Security's identity assumptions</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Prerequisites</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Virtualisation Technologies; Networking Fundamentals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Delivery mode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Session-based delivery in 3-hour blocks per the School's session pattern; 16 lecture sessions plus tutorials, practicals and demonstration per the hours profile</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Hours profile</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Taught 3-credit profile (150 notional hours)</w:t>
            </w:r>
          </w:p>
        </w:tc>
      </w:tr>
    </w:tbl>
    <w:p>
      <w:pPr>
        <w:spacing w:after="140" w:before="240"/>
      </w:pPr>
      <w:r>
        <w:rPr>
          <w:rFonts w:ascii="Open Sans" w:cs="Open Sans" w:eastAsia="Open Sans" w:hAnsi="Open Sans"/>
          <w:b/>
          <w:bCs/>
          <w:i w:val="false"/>
          <w:iCs w:val="false"/>
          <w:color w:val="404040"/>
          <w:sz w:val="24"/>
          <w:szCs w:val="24"/>
        </w:rPr>
        <w:t xml:space="preserve">2. Module Purpose and Aims</w:t>
      </w:r>
    </w:p>
    <w:p>
      <w:pPr>
        <w:spacing w:after="120" w:before="0"/>
      </w:pPr>
      <w:r>
        <w:rPr>
          <w:rFonts w:ascii="Open Sans" w:cs="Open Sans" w:eastAsia="Open Sans" w:hAnsi="Open Sans"/>
          <w:b w:val="false"/>
          <w:bCs w:val="false"/>
          <w:i w:val="false"/>
          <w:iCs w:val="false"/>
          <w:color w:val="000000"/>
          <w:sz w:val="20"/>
          <w:szCs w:val="20"/>
        </w:rPr>
        <w:t xml:space="preserve">To give the pathway the solid cloud foundation its degree-side continuity requires: what the cloud service and deployment models actually mean, how core infrastructure services behave, how cloud networks are put together, and how identity and access are governed in a cloud platform - taught by provisioning and operating real infrastructure, not by describing it. The module's posture follows the pathway's cloud boundary: this pathway provisions and operates cloud infrastructure; building cloud applications belongs to the software-engineering pathway, and no application development enters here. Equally deliberately, this is the solid-foundation feeder and not the security module: cloud security at depth belongs to Level 6, and this module's job is to make that module's opening assumptions safe.</w:t>
      </w:r>
    </w:p>
    <w:p>
      <w:pPr>
        <w:spacing w:after="120" w:before="180"/>
      </w:pPr>
      <w:r>
        <w:rPr>
          <w:rFonts w:ascii="Open Sans" w:cs="Open Sans" w:eastAsia="Open Sans" w:hAnsi="Open Sans"/>
          <w:b/>
          <w:bCs/>
          <w:i w:val="false"/>
          <w:iCs w:val="false"/>
          <w:color w:val="404040"/>
          <w:sz w:val="21"/>
          <w:szCs w:val="21"/>
        </w:rPr>
        <w:t xml:space="preserve">Specification Boundary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7F7F7" w:sz="2"/>
              <w:left w:val="single" w:color="595959" w:sz="24"/>
              <w:bottom w:val="single" w:color="F7F7F7" w:sz="2"/>
              <w:right w:val="single" w:color="F7F7F7" w:sz="2"/>
            </w:tcBorders>
            <w:shd w:fill="F7F7F7" w:color="auto" w:val="clear"/>
            <w:tcMar>
              <w:top w:type="dxa" w:w="120"/>
              <w:left w:type="dxa" w:w="200"/>
              <w:bottom w:type="dxa" w:w="120"/>
              <w:right w:type="dxa" w:w="160"/>
            </w:tcMar>
          </w:tcPr>
          <w:p>
            <w:pPr>
              <w:spacing w:after="100"/>
            </w:pPr>
            <w:r>
              <w:rPr>
                <w:rFonts w:ascii="Open Sans" w:cs="Open Sans" w:eastAsia="Open Sans" w:hAnsi="Open Sans"/>
                <w:b/>
                <w:bCs/>
                <w:i w:val="false"/>
                <w:iCs w:val="false"/>
                <w:color w:val="000000"/>
                <w:sz w:val="19"/>
                <w:szCs w:val="19"/>
              </w:rPr>
              <w:t xml:space="preserve">Covers: </w:t>
            </w:r>
            <w:r>
              <w:rPr>
                <w:rFonts w:ascii="Open Sans" w:cs="Open Sans" w:eastAsia="Open Sans" w:hAnsi="Open Sans"/>
                <w:b w:val="false"/>
                <w:bCs w:val="false"/>
                <w:i w:val="false"/>
                <w:iCs w:val="false"/>
                <w:color w:val="000000"/>
                <w:sz w:val="19"/>
                <w:szCs w:val="19"/>
              </w:rPr>
              <w:t xml:space="preserve">cloud service and deployment models; core cloud infrastructure services; a cloud identity and access-management touchpoint (part of the programme's identity strand); cloud networking basics.</w:t>
            </w:r>
          </w:p>
          <w:p>
            <w:pPr>
              <w:spacing w:after="100"/>
            </w:pPr>
            <w:r>
              <w:rPr>
                <w:rFonts w:ascii="Open Sans" w:cs="Open Sans" w:eastAsia="Open Sans" w:hAnsi="Open Sans"/>
                <w:b/>
                <w:bCs/>
                <w:i w:val="false"/>
                <w:iCs w:val="false"/>
                <w:color w:val="000000"/>
                <w:sz w:val="19"/>
                <w:szCs w:val="19"/>
              </w:rPr>
              <w:t xml:space="preserve">Does NOT cover: </w:t>
            </w:r>
            <w:r>
              <w:rPr>
                <w:rFonts w:ascii="Open Sans" w:cs="Open Sans" w:eastAsia="Open Sans" w:hAnsi="Open Sans"/>
                <w:b w:val="false"/>
                <w:bCs w:val="false"/>
                <w:i w:val="false"/>
                <w:iCs w:val="false"/>
                <w:color w:val="000000"/>
                <w:sz w:val="19"/>
                <w:szCs w:val="19"/>
              </w:rPr>
              <w:t xml:space="preserve">cloud security at depth (Level 6 Cloud Security - this module is the solid-foundation feeder, not the security module); virtualisation internals (Virtualisation Technologies).</w:t>
            </w:r>
          </w:p>
          <w:p>
            <w:pPr>
              <w:spacing w:after="100"/>
            </w:pPr>
            <w:r>
              <w:rPr>
                <w:rFonts w:ascii="Open Sans" w:cs="Open Sans" w:eastAsia="Open Sans" w:hAnsi="Open Sans"/>
                <w:b w:val="false"/>
                <w:bCs w:val="false"/>
                <w:i/>
                <w:iCs/>
                <w:color w:val="000000"/>
                <w:sz w:val="19"/>
                <w:szCs w:val="19"/>
              </w:rPr>
              <w:t xml:space="preserve">Changes to this boundary are made only through the School's formal change-control process.</w:t>
            </w:r>
          </w:p>
        </w:tc>
      </w:tr>
    </w:tbl>
    <w:p>
      <w:pPr>
        <w:spacing w:after="140" w:before="240"/>
      </w:pPr>
      <w:r>
        <w:rPr>
          <w:rFonts w:ascii="Open Sans" w:cs="Open Sans" w:eastAsia="Open Sans" w:hAnsi="Open Sans"/>
          <w:b/>
          <w:bCs/>
          <w:i w:val="false"/>
          <w:iCs w:val="false"/>
          <w:color w:val="404040"/>
          <w:sz w:val="24"/>
          <w:szCs w:val="24"/>
        </w:rPr>
        <w:t xml:space="preserve">3. Learning Outcomes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6938"/>
        <w:gridCol w:w="2000"/>
      </w:tblGrid>
      <w:tr>
        <w:trPr>
          <w:tblHeader/>
        </w:trPr>
        <w:tc>
          <w:tcPr>
            <w:tcW w:type="dxa" w:w="7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Ref</w:t>
            </w:r>
          </w:p>
        </w:tc>
        <w:tc>
          <w:tcPr>
            <w:tcW w:type="dxa" w:w="69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Intended Learning Outcome</w:t>
            </w:r>
          </w:p>
        </w:tc>
        <w:tc>
          <w:tcPr>
            <w:tcW w:type="dxa" w:w="20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Level</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LO1</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Explain cloud service and deployment models.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Understand</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LO2</w:t>
            </w:r>
          </w:p>
        </w:tc>
        <w:tc>
          <w:tcPr>
            <w:tcW w:type="dxa" w:w="6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Deploy basic cloud infrastructure and services.</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Apply</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LO3</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Configure cloud identity and access controls.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Apply</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LO4</w:t>
            </w:r>
          </w:p>
        </w:tc>
        <w:tc>
          <w:tcPr>
            <w:tcW w:type="dxa" w:w="6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Evaluate cloud service and deployment options for a given workload and justify the selection.</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Evaluate</w:t>
            </w:r>
          </w:p>
        </w:tc>
      </w:tr>
    </w:tbl>
    <w:p>
      <w:pPr>
        <w:spacing w:after="140" w:before="240"/>
      </w:pPr>
      <w:r>
        <w:rPr>
          <w:rFonts w:ascii="Open Sans" w:cs="Open Sans" w:eastAsia="Open Sans" w:hAnsi="Open Sans"/>
          <w:b/>
          <w:bCs/>
          <w:i w:val="false"/>
          <w:iCs w:val="false"/>
          <w:color w:val="404040"/>
          <w:sz w:val="24"/>
          <w:szCs w:val="24"/>
        </w:rPr>
        <w:t xml:space="preserve">4. Curriculum and Delivery</w:t>
      </w:r>
    </w:p>
    <w:p>
      <w:pPr>
        <w:spacing w:after="120" w:before="180"/>
      </w:pPr>
      <w:r>
        <w:rPr>
          <w:rFonts w:ascii="Open Sans" w:cs="Open Sans" w:eastAsia="Open Sans" w:hAnsi="Open Sans"/>
          <w:b/>
          <w:bCs/>
          <w:i w:val="false"/>
          <w:iCs w:val="false"/>
          <w:color w:val="404040"/>
          <w:sz w:val="21"/>
          <w:szCs w:val="21"/>
        </w:rPr>
        <w:t xml:space="preserve">Indicative Syllabus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7238"/>
        <w:gridCol w:w="1600"/>
      </w:tblGrid>
      <w:tr>
        <w:trPr>
          <w:tblHeader/>
        </w:trPr>
        <w:tc>
          <w:tcPr>
            <w:tcW w:type="dxa" w:w="8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Unit</w:t>
            </w:r>
          </w:p>
        </w:tc>
        <w:tc>
          <w:tcPr>
            <w:tcW w:type="dxa" w:w="72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Content</w:t>
            </w:r>
          </w:p>
        </w:tc>
        <w:tc>
          <w:tcPr>
            <w:tcW w:type="dxa" w:w="1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Lecture hours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U1</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Cloud service and deployment models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9</w:t>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U2</w:t>
            </w:r>
          </w:p>
        </w:tc>
        <w:tc>
          <w:tcPr>
            <w:tcW w:type="dxa" w:w="7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Core infrastructure services I: compute and storage</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9</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U3</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Core infrastructure services II: databases and supporting services at concept level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6</w:t>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U4</w:t>
            </w:r>
          </w:p>
        </w:tc>
        <w:tc>
          <w:tcPr>
            <w:tcW w:type="dxa" w:w="7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Cloud networking basics: virtual networks, subnets, security groups</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9</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U5</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Cloud identity and access management: IAM roles and policies; directory-cloud identity awareness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9</w:t>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U6</w:t>
            </w:r>
          </w:p>
        </w:tc>
        <w:tc>
          <w:tcPr>
            <w:tcW w:type="dxa" w:w="7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Operating in the cloud: provisioning workflows, monitoring basics and cost awareness</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6</w:t>
            </w:r>
          </w:p>
        </w:tc>
      </w:tr>
      <w:tr>
        <w:tc>
          <w:tcPr>
            <w:tcW w:type="dxa" w:w="8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000000"/>
                <w:sz w:val="19"/>
                <w:szCs w:val="19"/>
              </w:rPr>
              <w:t xml:space="preserve"/>
            </w:r>
          </w:p>
        </w:tc>
        <w:tc>
          <w:tcPr>
            <w:tcW w:type="dxa" w:w="723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000000"/>
                <w:sz w:val="19"/>
                <w:szCs w:val="19"/>
              </w:rPr>
              <w:t xml:space="preserve">Total lecture hours</w:t>
            </w:r>
          </w:p>
        </w:tc>
        <w:tc>
          <w:tcPr>
            <w:tcW w:type="dxa" w:w="16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000000"/>
                <w:sz w:val="19"/>
                <w:szCs w:val="19"/>
              </w:rPr>
              <w:t xml:space="preserve">48</w:t>
            </w:r>
          </w:p>
        </w:tc>
      </w:tr>
    </w:tbl>
    <w:p>
      <w:pPr>
        <w:spacing w:after="60" w:before="0"/>
      </w:pPr>
      <w:r>
        <w:rPr>
          <w:rFonts w:ascii="Open Sans" w:cs="Open Sans" w:eastAsia="Open Sans" w:hAnsi="Open Sans"/>
          <w:b w:val="false"/>
          <w:bCs w:val="false"/>
          <w:i w:val="false"/>
          <w:iCs w:val="false"/>
          <w:color w:val="000000"/>
          <w:sz w:val="20"/>
          <w:szCs w:val="20"/>
        </w:rPr>
        <w:t xml:space="preserve"/>
      </w:r>
    </w:p>
    <w:p>
      <w:pPr>
        <w:spacing w:after="120" w:before="0"/>
      </w:pPr>
      <w:r>
        <w:rPr>
          <w:rFonts w:ascii="Open Sans" w:cs="Open Sans" w:eastAsia="Open Sans" w:hAnsi="Open Sans"/>
          <w:b w:val="false"/>
          <w:bCs w:val="false"/>
          <w:i w:val="false"/>
          <w:iCs w:val="false"/>
          <w:color w:val="000000"/>
          <w:sz w:val="20"/>
          <w:szCs w:val="20"/>
        </w:rPr>
        <w:t xml:space="preserve">The 48 lecture hours are delivered as 16 three-hour sessions per the School's session pattern; U2 through U6 run console-and-CLI-integrated, and the practicals component carries the provisioning laboratory time.</w:t>
      </w:r>
    </w:p>
    <w:p>
      <w:pPr>
        <w:spacing w:after="120" w:before="0"/>
      </w:pPr>
      <w:r>
        <w:rPr>
          <w:rFonts w:ascii="Open Sans" w:cs="Open Sans" w:eastAsia="Open Sans" w:hAnsi="Open Sans"/>
          <w:b w:val="false"/>
          <w:bCs w:val="false"/>
          <w:i w:val="false"/>
          <w:iCs w:val="false"/>
          <w:color w:val="000000"/>
          <w:sz w:val="20"/>
          <w:szCs w:val="20"/>
        </w:rPr>
        <w:t xml:space="preserve">Platform decision: concepts are provider-neutral; AWS is the default working platform for laboratory and assessment. No vendor-certification alignment claim is made or implied, and AWS documentation and academy materials are delivery resources only, never the specification. The identity unit runs on AWS IAM as primary, with directory-cloud identity (Microsoft Entra ID) carried at awareness level so that the degree-side identity assumptions are satisfied. The trade-off is stated openly: single-provider laboratory depth is bought at the price of multi-cloud breadth; the models unit keeps its treatment provider-neutral so the degree-level chain is not platform-locked.</w:t>
      </w:r>
    </w:p>
    <w:p>
      <w:pPr>
        <w:spacing w:after="120" w:before="180"/>
      </w:pPr>
      <w:r>
        <w:rPr>
          <w:rFonts w:ascii="Open Sans" w:cs="Open Sans" w:eastAsia="Open Sans" w:hAnsi="Open Sans"/>
          <w:b/>
          <w:bCs/>
          <w:i w:val="false"/>
          <w:iCs w:val="false"/>
          <w:color w:val="404040"/>
          <w:sz w:val="21"/>
          <w:szCs w:val="21"/>
        </w:rPr>
        <w:t xml:space="preserve">Teaching and Learning Hours (SLQF)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8"/>
        <w:gridCol w:w="2600"/>
      </w:tblGrid>
      <w:tr>
        <w:trPr>
          <w:tblHeader/>
        </w:trPr>
        <w:tc>
          <w:tcPr>
            <w:tcW w:type="dxa" w:w="70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2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Hours</w:t>
            </w:r>
          </w:p>
        </w:tc>
      </w:tr>
      <w:tr>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Lectures (fixed)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48</w:t>
            </w:r>
          </w:p>
        </w:tc>
      </w:tr>
      <w:tr>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Tutorials</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12</w:t>
            </w:r>
          </w:p>
        </w:tc>
      </w:tr>
      <w:tr>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Practicals / Laboratory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24</w:t>
            </w:r>
          </w:p>
        </w:tc>
      </w:tr>
      <w:tr>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In-class assignments</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9</w:t>
            </w:r>
          </w:p>
        </w:tc>
      </w:tr>
      <w:tr>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Demonstration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3</w:t>
            </w:r>
          </w:p>
        </w:tc>
      </w:tr>
      <w:tr>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Self-guided study</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54</w:t>
            </w:r>
          </w:p>
        </w:tc>
      </w:tr>
      <w:tr>
        <w:tc>
          <w:tcPr>
            <w:tcW w:type="dxa" w:w="703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000000"/>
                <w:sz w:val="19"/>
                <w:szCs w:val="19"/>
              </w:rPr>
              <w:t xml:space="preserve">Total</w:t>
            </w:r>
          </w:p>
        </w:tc>
        <w:tc>
          <w:tcPr>
            <w:tcW w:type="dxa" w:w="26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000000"/>
                <w:sz w:val="19"/>
                <w:szCs w:val="19"/>
              </w:rPr>
              <w:t xml:space="preserve">150</w:t>
            </w:r>
          </w:p>
        </w:tc>
      </w:tr>
    </w:tbl>
    <w:p>
      <w:pPr>
        <w:spacing w:after="140" w:before="240"/>
      </w:pPr>
      <w:r>
        <w:rPr>
          <w:rFonts w:ascii="Open Sans" w:cs="Open Sans" w:eastAsia="Open Sans" w:hAnsi="Open Sans"/>
          <w:b/>
          <w:bCs/>
          <w:i w:val="false"/>
          <w:iCs w:val="false"/>
          <w:color w:val="404040"/>
          <w:sz w:val="24"/>
          <w:szCs w:val="24"/>
        </w:rPr>
        <w:t xml:space="preserve">5. Assessment</w:t>
      </w:r>
    </w:p>
    <w:p>
      <w:pPr>
        <w:spacing w:after="120" w:before="0"/>
      </w:pPr>
      <w:r>
        <w:rPr>
          <w:rFonts w:ascii="Open Sans" w:cs="Open Sans" w:eastAsia="Open Sans" w:hAnsi="Open Sans"/>
          <w:b w:val="false"/>
          <w:bCs w:val="false"/>
          <w:i w:val="false"/>
          <w:iCs w:val="false"/>
          <w:color w:val="000000"/>
          <w:sz w:val="20"/>
          <w:szCs w:val="20"/>
        </w:rPr>
        <w:t xml:space="preserve">The examination is carried for breadth across models, services, networking and identity. The analytical requirement at this level is carried by LO4 and assessed through the deployment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838"/>
        <w:gridCol w:w="2300"/>
        <w:gridCol w:w="1100"/>
        <w:gridCol w:w="900"/>
      </w:tblGrid>
      <w:tr>
        <w:trPr>
          <w:tblHeader/>
        </w:trPr>
        <w:tc>
          <w:tcPr>
            <w:tcW w:type="dxa" w:w="15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38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Task</w:t>
            </w:r>
          </w:p>
        </w:tc>
        <w:tc>
          <w:tcPr>
            <w:tcW w:type="dxa" w:w="23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Conditions</w:t>
            </w:r>
          </w:p>
        </w:tc>
        <w:tc>
          <w:tcPr>
            <w:tcW w:type="dxa" w:w="11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ILOs</w:t>
            </w:r>
          </w:p>
        </w:tc>
        <w:tc>
          <w:tcPr>
            <w:tcW w:type="dxa" w:w="9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Weight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Practical</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Timed cloud provisioning tasks: infrastructure and identity controls configured at the console and CLI against task sheets, with a maintained evidence log</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Individual; in-class; graded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LO2, LO3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30%</w:t>
            </w:r>
          </w:p>
        </w:tc>
      </w:tr>
      <w:t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Coursework</w:t>
            </w:r>
          </w:p>
        </w:tc>
        <w:tc>
          <w:tcPr>
            <w:tcW w:type="dxa" w:w="3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Cloud deployment case: basic infrastructure deployed to a brief on the default platform, delivered with a service-and-deployment selection report justifying the choices for the given workload</w:t>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Individual; take-home; graded; Viva/Presentation: Viva-defence</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LO2, LO4</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35%</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Examination</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Written examination: service and deployment models, core infrastructure services, cloud networking, identity and access management; 2 hours, closed resources, invigilated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Graded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LO1, LO3, LO4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35%</w:t>
            </w:r>
          </w:p>
        </w:tc>
      </w:tr>
    </w:tbl>
    <w:p>
      <w:pPr>
        <w:spacing w:after="120" w:before="120"/>
      </w:pPr>
      <w:r>
        <w:rPr>
          <w:rFonts w:ascii="Open Sans" w:cs="Open Sans" w:eastAsia="Open Sans" w:hAnsi="Open Sans"/>
          <w:b w:val="false"/>
          <w:bCs w:val="false"/>
          <w:i w:val="false"/>
          <w:iCs w:val="false"/>
          <w:color w:val="000000"/>
          <w:sz w:val="20"/>
          <w:szCs w:val="20"/>
        </w:rPr>
        <w:t xml:space="preserve">Weightings are confirmed at specification sign-off. Reassessment is by the failed component only, with an equivalent task, per School regulations. All assessment falls under the academic integrity policy, including its provisions on generative AI; the module-level position on AI use is set at teaching-plan stage.</w:t>
      </w:r>
    </w:p>
    <w:p>
      <w:pPr>
        <w:spacing w:after="140" w:before="240"/>
      </w:pPr>
      <w:r>
        <w:rPr>
          <w:rFonts w:ascii="Open Sans" w:cs="Open Sans" w:eastAsia="Open Sans" w:hAnsi="Open Sans"/>
          <w:b/>
          <w:bCs/>
          <w:i w:val="false"/>
          <w:iCs w:val="false"/>
          <w:color w:val="404040"/>
          <w:sz w:val="24"/>
          <w:szCs w:val="24"/>
        </w:rPr>
        <w:t xml:space="preserve">6. Resources, Staff and Governance</w:t>
      </w:r>
    </w:p>
    <w:p>
      <w:pPr>
        <w:spacing w:after="120" w:before="180"/>
      </w:pPr>
      <w:r>
        <w:rPr>
          <w:rFonts w:ascii="Open Sans" w:cs="Open Sans" w:eastAsia="Open Sans" w:hAnsi="Open Sans"/>
          <w:b/>
          <w:bCs/>
          <w:i w:val="false"/>
          <w:iCs w:val="false"/>
          <w:color w:val="404040"/>
          <w:sz w:val="21"/>
          <w:szCs w:val="21"/>
        </w:rPr>
        <w:t xml:space="preserve">Indicative Reading</w:t>
      </w:r>
    </w:p>
    <w:p>
      <w:pPr>
        <w:spacing w:after="80" w:before="0"/>
      </w:pPr>
      <w:r>
        <w:rPr>
          <w:rFonts w:ascii="Open Sans" w:cs="Open Sans" w:eastAsia="Open Sans" w:hAnsi="Open Sans"/>
          <w:b w:val="false"/>
          <w:bCs w:val="false"/>
          <w:i w:val="false"/>
          <w:iCs w:val="false"/>
          <w:color w:val="000000"/>
          <w:sz w:val="20"/>
          <w:szCs w:val="20"/>
        </w:rPr>
        <w:t xml:space="preserve">-  </w:t>
      </w:r>
      <w:r>
        <w:rPr>
          <w:rFonts w:ascii="Open Sans" w:cs="Open Sans" w:eastAsia="Open Sans" w:hAnsi="Open Sans"/>
          <w:b w:val="false"/>
          <w:bCs w:val="false"/>
          <w:i w:val="false"/>
          <w:iCs w:val="false"/>
          <w:color w:val="000000"/>
          <w:sz w:val="20"/>
          <w:szCs w:val="20"/>
        </w:rPr>
        <w:t xml:space="preserve">Wittig, A. and Wittig, M., Amazon Web Services in Action (Manning) - primary platform text for the working environment; used as a resource, not a specification.</w:t>
      </w:r>
    </w:p>
    <w:p>
      <w:pPr>
        <w:spacing w:after="80" w:before="0"/>
      </w:pPr>
      <w:r>
        <w:rPr>
          <w:rFonts w:ascii="Open Sans" w:cs="Open Sans" w:eastAsia="Open Sans" w:hAnsi="Open Sans"/>
          <w:b w:val="false"/>
          <w:bCs w:val="false"/>
          <w:i w:val="false"/>
          <w:iCs w:val="false"/>
          <w:color w:val="000000"/>
          <w:sz w:val="20"/>
          <w:szCs w:val="20"/>
        </w:rPr>
        <w:t xml:space="preserve">-  </w:t>
      </w:r>
      <w:r>
        <w:rPr>
          <w:rFonts w:ascii="Open Sans" w:cs="Open Sans" w:eastAsia="Open Sans" w:hAnsi="Open Sans"/>
          <w:b w:val="false"/>
          <w:bCs w:val="false"/>
          <w:i w:val="false"/>
          <w:iCs w:val="false"/>
          <w:color w:val="000000"/>
          <w:sz w:val="20"/>
          <w:szCs w:val="20"/>
        </w:rPr>
        <w:t xml:space="preserve">Ruparelia, N. B., Cloud Computing (MIT Press) - the provider-neutral concepts strand.</w:t>
      </w:r>
    </w:p>
    <w:p>
      <w:pPr>
        <w:spacing w:after="80" w:before="0"/>
      </w:pPr>
      <w:r>
        <w:rPr>
          <w:rFonts w:ascii="Open Sans" w:cs="Open Sans" w:eastAsia="Open Sans" w:hAnsi="Open Sans"/>
          <w:b w:val="false"/>
          <w:bCs w:val="false"/>
          <w:i w:val="false"/>
          <w:iCs w:val="false"/>
          <w:color w:val="000000"/>
          <w:sz w:val="20"/>
          <w:szCs w:val="20"/>
        </w:rPr>
        <w:t xml:space="preserve">-  </w:t>
      </w:r>
      <w:r>
        <w:rPr>
          <w:rFonts w:ascii="Open Sans" w:cs="Open Sans" w:eastAsia="Open Sans" w:hAnsi="Open Sans"/>
          <w:b w:val="false"/>
          <w:bCs w:val="false"/>
          <w:i w:val="false"/>
          <w:iCs w:val="false"/>
          <w:color w:val="000000"/>
          <w:sz w:val="20"/>
          <w:szCs w:val="20"/>
        </w:rPr>
        <w:t xml:space="preserve">AWS product documentation (Amazon Web Services) - named online resource, version-current; connectivity-dependent.</w:t>
      </w:r>
    </w:p>
    <w:p>
      <w:pPr>
        <w:spacing w:after="80" w:before="0"/>
      </w:pPr>
      <w:r>
        <w:rPr>
          <w:rFonts w:ascii="Open Sans" w:cs="Open Sans" w:eastAsia="Open Sans" w:hAnsi="Open Sans"/>
          <w:b w:val="false"/>
          <w:bCs w:val="false"/>
          <w:i w:val="false"/>
          <w:iCs w:val="false"/>
          <w:color w:val="000000"/>
          <w:sz w:val="20"/>
          <w:szCs w:val="20"/>
        </w:rPr>
        <w:t xml:space="preserve">-  </w:t>
      </w:r>
      <w:r>
        <w:rPr>
          <w:rFonts w:ascii="Open Sans" w:cs="Open Sans" w:eastAsia="Open Sans" w:hAnsi="Open Sans"/>
          <w:b w:val="false"/>
          <w:bCs w:val="false"/>
          <w:i w:val="false"/>
          <w:iCs w:val="false"/>
          <w:color w:val="000000"/>
          <w:sz w:val="20"/>
          <w:szCs w:val="20"/>
        </w:rPr>
        <w:t xml:space="preserve">Microsoft Entra ID documentation (Microsoft) - named online resource for the directory-cloud identity awareness strand; connectivity-dependent.</w:t>
      </w:r>
    </w:p>
    <w:p>
      <w:pPr>
        <w:spacing w:after="80" w:before="0"/>
      </w:pPr>
      <w:r>
        <w:rPr>
          <w:rFonts w:ascii="Open Sans" w:cs="Open Sans" w:eastAsia="Open Sans" w:hAnsi="Open Sans"/>
          <w:b w:val="false"/>
          <w:bCs w:val="false"/>
          <w:i w:val="false"/>
          <w:iCs w:val="false"/>
          <w:color w:val="000000"/>
          <w:sz w:val="20"/>
          <w:szCs w:val="20"/>
        </w:rPr>
        <w:t xml:space="preserve">-  </w:t>
      </w:r>
      <w:r>
        <w:rPr>
          <w:rFonts w:ascii="Open Sans" w:cs="Open Sans" w:eastAsia="Open Sans" w:hAnsi="Open Sans"/>
          <w:b w:val="false"/>
          <w:bCs w:val="false"/>
          <w:i w:val="false"/>
          <w:iCs w:val="false"/>
          <w:color w:val="000000"/>
          <w:sz w:val="20"/>
          <w:szCs w:val="20"/>
        </w:rPr>
        <w:t xml:space="preserve">School-produced provisioning laboratory guides and cost-control notes (account-dependent), confirmed at teaching-plan stage.</w:t>
      </w:r>
    </w:p>
    <w:p>
      <w:pPr>
        <w:spacing w:after="120" w:before="180"/>
      </w:pPr>
      <w:r>
        <w:rPr>
          <w:rFonts w:ascii="Open Sans" w:cs="Open Sans" w:eastAsia="Open Sans" w:hAnsi="Open Sans"/>
          <w:b/>
          <w:bCs/>
          <w:i w:val="false"/>
          <w:iCs w:val="false"/>
          <w:color w:val="404040"/>
          <w:sz w:val="21"/>
          <w:szCs w:val="21"/>
        </w:rPr>
        <w:t xml:space="preserve">Staffing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tblHeader/>
        </w:trPr>
        <w:tc>
          <w:tcPr>
            <w:tcW w:type="dxa" w:w="30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Role</w:t>
            </w:r>
          </w:p>
        </w:tc>
        <w:tc>
          <w:tcPr>
            <w:tcW w:type="dxa" w:w="33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Name</w:t>
            </w:r>
          </w:p>
        </w:tc>
        <w:tc>
          <w:tcPr>
            <w:tcW w:type="dxa" w:w="33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Domain credential</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Module leader 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r>
      <w:t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Module leader 2</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c>
          <w:tcPr>
            <w:tcW w:type="dxa" w:w="3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External module auditor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r>
    </w:tbl>
    <w:p>
      <w:pPr>
        <w:spacing w:after="120" w:before="120"/>
      </w:pPr>
      <w:r>
        <w:rPr>
          <w:rFonts w:ascii="Open Sans" w:cs="Open Sans" w:eastAsia="Open Sans" w:hAnsi="Open Sans"/>
          <w:b/>
          <w:bCs/>
          <w:i w:val="false"/>
          <w:iCs w:val="false"/>
          <w:color w:val="000000"/>
          <w:sz w:val="20"/>
          <w:szCs w:val="20"/>
        </w:rPr>
        <w:t xml:space="preserve">Domain-expertise statement: </w:t>
      </w:r>
      <w:r>
        <w:rPr>
          <w:rFonts w:ascii="Open Sans" w:cs="Open Sans" w:eastAsia="Open Sans" w:hAnsi="Open Sans"/>
          <w:b w:val="false"/>
          <w:bCs w:val="false"/>
          <w:i w:val="false"/>
          <w:iCs w:val="false"/>
          <w:color w:val="000000"/>
          <w:sz w:val="20"/>
          <w:szCs w:val="20"/>
        </w:rPr>
        <w:t xml:space="preserve">Taught from a cloud-technologies domain; generic delivery is non-compliant with the School's staffing governance.</w:t>
      </w:r>
    </w:p>
    <w:p>
      <w:pPr>
        <w:spacing w:after="120" w:before="180"/>
      </w:pPr>
      <w:r>
        <w:rPr>
          <w:rFonts w:ascii="Open Sans" w:cs="Open Sans" w:eastAsia="Open Sans" w:hAnsi="Open Sans"/>
          <w:b/>
          <w:bCs/>
          <w:i w:val="false"/>
          <w:iCs w:val="false"/>
          <w:color w:val="404040"/>
          <w:sz w:val="21"/>
          <w:szCs w:val="21"/>
        </w:rPr>
        <w:t xml:space="preserve">Version and Sign-off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438"/>
      </w:tblGrid>
      <w:tr>
        <w:trPr>
          <w:tblHeader/>
        </w:trPr>
        <w:tc>
          <w:tcPr>
            <w:tcW w:type="dxa" w:w="1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Version</w:t>
            </w:r>
          </w:p>
        </w:tc>
        <w:tc>
          <w:tcPr>
            <w:tcW w:type="dxa" w:w="2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Date</w:t>
            </w:r>
          </w:p>
        </w:tc>
        <w:tc>
          <w:tcPr>
            <w:tcW w:type="dxa" w:w="54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Status</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1.0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20 Jul 2026</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Draft for Review</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2026-07-20T15:06:20.034Z</dcterms:created>
  <dcterms:modified xsi:type="dcterms:W3CDTF">2026-07-20T15:06:20.034Z</dcterms:modified>
</cp:coreProperties>
</file>

<file path=docProps/custom.xml><?xml version="1.0" encoding="utf-8"?>
<Properties xmlns="http://schemas.openxmlformats.org/officeDocument/2006/custom-properties" xmlns:vt="http://schemas.openxmlformats.org/officeDocument/2006/docPropsVTypes"/>
</file>