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32"/>
          <w:szCs w:val="32"/>
        </w:rPr>
        <w:t xml:space="preserve">Module Descriptor - Network and Security Operations</w:t>
      </w:r>
    </w:p>
    <w:p>
      <w:pPr>
        <w:spacing w:after="12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Code: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NB-SOCE-L4-NEC-TT-06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Tier: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- Network Engineering and Cybersecurity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Type: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Pathway / Taught    </w:t>
      </w: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Status: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Draft for Review v1.0  ·  20 Jul 2026</w:t>
      </w:r>
    </w:p>
    <w:p>
      <w:pPr>
        <w:spacing w:after="200" w:before="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Sources: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 curriculum decision records; the School's SLQF reference (Sri Lanka Qualifications Framework, 2015).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1. Module Identity and Architecture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code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NB-SOCE-L4-NEC-TT-06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title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Network and Security Operations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Scope / type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Pathway: Network Engineering and Cybersecurity  ·  Pathway / Taught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SLQF level / credits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4 (Year 2)  ·  3 credits  ·  150 notional hours (1 credit = 50 hours)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Progression targets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Level 5 Security Audit and Testing; Level 5 Cybersecurity and Cryptography (defensive operations); Level 5 Digital Forensics and Incident Analysis (the security-operations and incident-analysis half); Level 6 AI-Augmented Security Operations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Prerequisites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Information Security Fundamentals (the head of the security-operations strand); Networking Fundamentals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Delivery mode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Session-based delivery in 3-hour blocks per the School's session pattern; 16 lecture sessions plus tutorials, practicals and demonstration per the hours profile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Hours profile</w:t>
            </w:r>
          </w:p>
        </w:tc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Taught 3-credit profile (150 notional hours)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2. Module Purpose and Aims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 build the defender. This module takes the defensive-operations awareness seeded in Information Security Fundamentals and makes it operational practice: security events monitored and analysed across a network, the processes of a security operations centre understood and rehearsed, systems and networks hardened in the running rather than at first build, and the two defensive halves of the pathway's deliberate attack-defence splits owned here - identity defended (authentication monitoring, credential-attack detection, multi-factor authentication) and wireless defended (WPA2 and WPA3, segmentation, rogue-access-point detection, monitoring). The module is cleanly defensive by design: it is the blue-team seat, and nothing offensive enters it. The Windows hardening baseline configuration itself lives with the Windows directory module; what lives here is hardening as an operational discipline.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Specification Boundary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7F7F7" w:sz="2"/>
              <w:left w:val="single" w:color="595959" w:sz="24"/>
              <w:bottom w:val="single" w:color="F7F7F7" w:sz="2"/>
              <w:right w:val="single" w:color="F7F7F7" w:sz="2"/>
            </w:tcBorders>
            <w:shd w:fill="F7F7F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Covers: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 operations and monitoring; security-operations-centre awareness; system and network hardening in operation; identity defence - authentication monitoring, credential-attack detection, multi-factor authentication (part of the programme's identity strand); wireless defence - WPA2 and WPA3, segmentation, rogue-access-point detection, wireless monitoring (the defensive half of the wireless split).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Does NOT cover: </w:t>
            </w: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the hardening baseline configuration itself (held by Windows Server and Directory Services); offensive testing (Ethical Hacking and Application Security); identity administration (Windows Server and Directory Services). This module is cleanly defensive.</w:t>
            </w:r>
          </w:p>
          <w:p>
            <w:pPr>
              <w:spacing w:after="100"/>
            </w:pPr>
            <w:r>
              <w:rPr>
                <w:rFonts w:ascii="Open Sans" w:cs="Open Sans" w:eastAsia="Open Sans" w:hAnsi="Open Sans"/>
                <w:b w:val="false"/>
                <w:bCs w:val="false"/>
                <w:i/>
                <w:iCs/>
                <w:color w:val="000000"/>
                <w:sz w:val="19"/>
                <w:szCs w:val="19"/>
              </w:rPr>
              <w:t xml:space="preserve">Changes to this boundary are made only through the School's formal change-control process.</w:t>
            </w:r>
          </w:p>
        </w:tc>
      </w:tr>
    </w:tbl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Attack-Defence Split: Position in the Programme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This module owns the defensive half of the programme's two policed attack-defence splits. In the wireless split, it holds WPA2 and WPA3, segmentation, rogue-access-point detection and wireless monitoring, while capture, cracking and evil-twin sit with Ethical Hacking and Application Security. In the identity split, it holds authentication monitoring, credential-attack detection and multi-factor authentication, while credential attacks and Active Directory misconfiguration sit with Ethical Hacking and Application Security. Each half is taught in exactly one module: the two are mutually referencing but non-overlapping, and neither imports the other's posture. Windows Server and Directory Services builds identity; this module defends it; Ethical Hacking and Application Security tests it.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3. Learning Outcomes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38"/>
        <w:gridCol w:w="20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Intended Learning Outcome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Level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Monitor and analyse security events across a network.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 defensive controls for identity and wireless.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Apply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LO3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Explain security-operations-centre processes and incident awareness.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Understand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LO4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 security event data to detect an incident and evaluate the defensive response.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 / Evaluate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4. Curriculum and Delivery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Syllabus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238"/>
        <w:gridCol w:w="16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Unit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Content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Lecture hours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U1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 operations and the operations centre: roles, processes and workflow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U2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Monitoring and log analysis: sources, aggregation and detection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U3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Hardening in operation: maintaining a secure running posture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U4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Identity defence: authentication monitoring, credential-attack detection, multi-factor authentication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U5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Wireless defence: WPA2 and WPA3, segmentation, rogue-access-point detection, monitoring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U6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Incident awareness: detection to response, the defender's view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U7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Security-operations tooling in the laboratory: detection and analysis workflow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 lecture hours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</w:tr>
    </w:tbl>
    <w:p>
      <w:pPr>
        <w:spacing w:after="6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48 lecture hours are delivered as 16 three-hour sessions per the School's session pattern; U2, U4, U5 and U7 run laboratory-integrated on defensive tooling, and the practicals component carries the monitoring and detection time. All laboratory work is defensive: detection, analysis and response, never offensive tooling.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Teaching and Learning Hours (SLQF)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38"/>
        <w:gridCol w:w="2600"/>
      </w:tblGrid>
      <w:tr>
        <w:trPr>
          <w:tblHeader/>
        </w:trP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Hours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Lectures (fixed)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48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Tutorials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Practicals / Laboratory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In-class assignments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Self-guided study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54</w:t>
            </w:r>
          </w:p>
        </w:tc>
      </w:tr>
      <w:tr>
        <w:tc>
          <w:tcPr>
            <w:tcW w:type="dxa" w:w="7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150</w:t>
            </w:r>
          </w:p>
        </w:tc>
      </w:tr>
    </w:tbl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5. Assessment</w:t>
      </w:r>
    </w:p>
    <w:p>
      <w:pPr>
        <w:spacing w:after="12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examination is carried for breadth across operations, monitoring, identity and wireless defence, and operations-centre process. The analytical requirement at this level is carried by LO4 and assessed through the incident-analysis case.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38"/>
        <w:gridCol w:w="2300"/>
        <w:gridCol w:w="1100"/>
        <w:gridCol w:w="9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Conditions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ILOs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Weight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Practical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Timed defensive tasks at the workstation: monitoring configured, events analysed, defensive controls applied against task sheets, with a maintained evidence log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in-class; 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30%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Coursework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Incident-analysis case: a supplied event dataset analysed to detect and characterise an incident, delivered with a report evaluating the defensive response and recommending improvements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Individual; take-home; graded; Viva/Presentation: Viva-defence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LO1, LO4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35%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Examination</w:t>
            </w:r>
          </w:p>
        </w:tc>
        <w:tc>
          <w:tcPr>
            <w:tcW w:type="dxa" w:w="3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Written examination: security operations and centre process, monitoring and detection, identity and wireless defence, incident awareness; 2 hours, closed resources, invigilated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Graded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LO2, LO3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35%</w:t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Weightings are confirmed at specification sign-off. Reassessment is by the failed component only, with an equivalent task, per School regulations. All assessment falls under the academic integrity policy, including its provisions on generative AI; the module-level position on AI use is set at teaching-plan stage.</w:t>
      </w:r>
    </w:p>
    <w:p>
      <w:pPr>
        <w:spacing w:after="140" w:before="24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4"/>
          <w:szCs w:val="24"/>
        </w:rPr>
        <w:t xml:space="preserve">6. Resources, Staff and Governance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Indicative Reading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Bejtlich, R., The Practice of Network Security Monitoring (No Starch Press) - primary text for monitoring and detection.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Sanders, C. and Smith, J., Applied Network Security Monitoring (Syngress) - the laboratory-workflow strand.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Diogenes, Y. and Ozkaya, E., Cybersecurity - Attack and Defense Strategies (Packt) - the defence-side chapters only, for identity and operational defence.</w:t>
      </w:r>
    </w:p>
    <w:p>
      <w:pPr>
        <w:spacing w:after="80" w:before="0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- 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School-produced monitoring-laboratory guides and event datasets (environment-specific), confirmed at teaching-plan stage.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Staffing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3338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Domain credential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Module leader 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External module auditor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120"/>
      </w:pPr>
      <w:r>
        <w:rPr>
          <w:rFonts w:ascii="Open Sans" w:cs="Open Sans" w:eastAsia="Open Sans" w:hAnsi="Open Sans"/>
          <w:b/>
          <w:bCs/>
          <w:i w:val="false"/>
          <w:iCs w:val="false"/>
          <w:color w:val="000000"/>
          <w:sz w:val="20"/>
          <w:szCs w:val="20"/>
        </w:rPr>
        <w:t xml:space="preserve">Domain-expertise statement: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Taught from a security-operations domain; generic delivery is non-compliant with the School's staffing governance.</w:t>
      </w:r>
    </w:p>
    <w:p>
      <w:pPr>
        <w:spacing w:after="120" w:before="180"/>
      </w:pPr>
      <w:r>
        <w:rPr>
          <w:rFonts w:ascii="Open Sans" w:cs="Open Sans" w:eastAsia="Open Sans" w:hAnsi="Open Sans"/>
          <w:b/>
          <w:bCs/>
          <w:i w:val="false"/>
          <w:iCs w:val="false"/>
          <w:color w:val="404040"/>
          <w:sz w:val="21"/>
          <w:szCs w:val="21"/>
        </w:rPr>
        <w:t xml:space="preserve">Version and Sign-off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4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59595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20 Jul 2026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Open Sans" w:cs="Open Sans" w:eastAsia="Open Sans" w:hAnsi="Open Sans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Draft for Review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2026-07-20T15:22:45.519Z</dcterms:created>
  <dcterms:modified xsi:type="dcterms:W3CDTF">2026-07-20T15:22:45.532Z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