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
      </w:pPr>
      <w:r>
        <w:rPr>
          <w:rFonts w:ascii="Open Sans" w:cs="Open Sans" w:eastAsia="Open Sans" w:hAnsi="Open Sans"/>
          <w:b/>
          <w:bCs/>
          <w:i w:val="false"/>
          <w:iCs w:val="false"/>
          <w:color w:val="404040"/>
          <w:sz w:val="32"/>
          <w:szCs w:val="32"/>
        </w:rPr>
        <w:t xml:space="preserve">Module Descriptor - Scripting and Automation</w:t>
      </w:r>
    </w:p>
    <w:p>
      <w:pPr>
        <w:spacing w:after="120" w:before="0"/>
      </w:pPr>
      <w:r>
        <w:rPr>
          <w:rFonts w:ascii="Open Sans" w:cs="Open Sans" w:eastAsia="Open Sans" w:hAnsi="Open Sans"/>
          <w:b/>
          <w:bCs/>
          <w:i w:val="false"/>
          <w:iCs w:val="false"/>
          <w:color w:val="000000"/>
          <w:sz w:val="20"/>
          <w:szCs w:val="20"/>
        </w:rPr>
        <w:t xml:space="preserve">Code: </w:t>
      </w:r>
      <w:r>
        <w:rPr>
          <w:rFonts w:ascii="Open Sans" w:cs="Open Sans" w:eastAsia="Open Sans" w:hAnsi="Open Sans"/>
          <w:b w:val="false"/>
          <w:bCs w:val="false"/>
          <w:i w:val="false"/>
          <w:iCs w:val="false"/>
          <w:color w:val="000000"/>
          <w:sz w:val="20"/>
          <w:szCs w:val="20"/>
        </w:rPr>
        <w:t xml:space="preserve">NB-SOCE-L4-NEC-TT-08    </w:t>
      </w:r>
      <w:r>
        <w:rPr>
          <w:rFonts w:ascii="Open Sans" w:cs="Open Sans" w:eastAsia="Open Sans" w:hAnsi="Open Sans"/>
          <w:b/>
          <w:bCs/>
          <w:i w:val="false"/>
          <w:iCs w:val="false"/>
          <w:color w:val="000000"/>
          <w:sz w:val="20"/>
          <w:szCs w:val="20"/>
        </w:rPr>
        <w:t xml:space="preserve">Tier: </w:t>
      </w:r>
      <w:r>
        <w:rPr>
          <w:rFonts w:ascii="Open Sans" w:cs="Open Sans" w:eastAsia="Open Sans" w:hAnsi="Open Sans"/>
          <w:b w:val="false"/>
          <w:bCs w:val="false"/>
          <w:i w:val="false"/>
          <w:iCs w:val="false"/>
          <w:color w:val="000000"/>
          <w:sz w:val="20"/>
          <w:szCs w:val="20"/>
        </w:rPr>
        <w:t xml:space="preserve">Pathway - Network Engineering and Cybersecurity    </w:t>
      </w:r>
      <w:r>
        <w:rPr>
          <w:rFonts w:ascii="Open Sans" w:cs="Open Sans" w:eastAsia="Open Sans" w:hAnsi="Open Sans"/>
          <w:b/>
          <w:bCs/>
          <w:i w:val="false"/>
          <w:iCs w:val="false"/>
          <w:color w:val="000000"/>
          <w:sz w:val="20"/>
          <w:szCs w:val="20"/>
        </w:rPr>
        <w:t xml:space="preserve">Type: </w:t>
      </w:r>
      <w:r>
        <w:rPr>
          <w:rFonts w:ascii="Open Sans" w:cs="Open Sans" w:eastAsia="Open Sans" w:hAnsi="Open Sans"/>
          <w:b w:val="false"/>
          <w:bCs w:val="false"/>
          <w:i w:val="false"/>
          <w:iCs w:val="false"/>
          <w:color w:val="000000"/>
          <w:sz w:val="20"/>
          <w:szCs w:val="20"/>
        </w:rPr>
        <w:t xml:space="preserve">Pathway / Taught    </w:t>
      </w:r>
      <w:r>
        <w:rPr>
          <w:rFonts w:ascii="Open Sans" w:cs="Open Sans" w:eastAsia="Open Sans" w:hAnsi="Open Sans"/>
          <w:b/>
          <w:bCs/>
          <w:i w:val="false"/>
          <w:iCs w:val="false"/>
          <w:color w:val="000000"/>
          <w:sz w:val="20"/>
          <w:szCs w:val="20"/>
        </w:rPr>
        <w:t xml:space="preserve">Status: </w:t>
      </w:r>
      <w:r>
        <w:rPr>
          <w:rFonts w:ascii="Open Sans" w:cs="Open Sans" w:eastAsia="Open Sans" w:hAnsi="Open Sans"/>
          <w:b w:val="false"/>
          <w:bCs w:val="false"/>
          <w:i w:val="false"/>
          <w:iCs w:val="false"/>
          <w:color w:val="000000"/>
          <w:sz w:val="20"/>
          <w:szCs w:val="20"/>
        </w:rPr>
        <w:t xml:space="preserve">Draft for Review v1.0  ·  20 Jul 2026</w:t>
      </w:r>
    </w:p>
    <w:p>
      <w:pPr>
        <w:spacing w:after="200" w:before="0"/>
      </w:pPr>
      <w:r>
        <w:rPr>
          <w:rFonts w:ascii="Open Sans" w:cs="Open Sans" w:eastAsia="Open Sans" w:hAnsi="Open Sans"/>
          <w:b/>
          <w:bCs/>
          <w:i w:val="false"/>
          <w:iCs w:val="false"/>
          <w:color w:val="000000"/>
          <w:sz w:val="20"/>
          <w:szCs w:val="20"/>
        </w:rPr>
        <w:t xml:space="preserve">Sources: </w:t>
      </w:r>
      <w:r>
        <w:rPr>
          <w:rFonts w:ascii="Open Sans" w:cs="Open Sans" w:eastAsia="Open Sans" w:hAnsi="Open Sans"/>
          <w:b w:val="false"/>
          <w:bCs w:val="false"/>
          <w:i w:val="false"/>
          <w:iCs w:val="false"/>
          <w:color w:val="000000"/>
          <w:sz w:val="20"/>
          <w:szCs w:val="20"/>
        </w:rPr>
        <w:t xml:space="preserve">School curriculum decision records; the School's SLQF reference (Sri Lanka Qualifications Framework, 2015).</w:t>
      </w:r>
    </w:p>
    <w:p>
      <w:pPr>
        <w:spacing w:after="140" w:before="240"/>
      </w:pPr>
      <w:r>
        <w:rPr>
          <w:rFonts w:ascii="Open Sans" w:cs="Open Sans" w:eastAsia="Open Sans" w:hAnsi="Open Sans"/>
          <w:b/>
          <w:bCs/>
          <w:i w:val="false"/>
          <w:iCs w:val="false"/>
          <w:color w:val="404040"/>
          <w:sz w:val="24"/>
          <w:szCs w:val="24"/>
        </w:rPr>
        <w:t xml:space="preserve">1. Module Identity and Architecture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Field</w:t>
            </w:r>
          </w:p>
        </w:tc>
        <w:tc>
          <w:tcPr>
            <w:tcW w:type="dxa" w:w="7038"/>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Value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Module code</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NB-SOCE-L4-NEC-TT-08</w:t>
            </w:r>
          </w:p>
        </w:tc>
      </w:tr>
      <w:t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Module title</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Scripting and Automation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Scope / type</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Pathway: Network Engineering and Cybersecurity  ·  Pathway / Taught</w:t>
            </w:r>
          </w:p>
        </w:tc>
      </w:tr>
      <w:t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SLQF level / credits</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Level 4 (Year 2)  ·  3 credits  ·  150 notional hours (1 credit = 50 hours)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Progression targets</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Level 6 Network Architecture and Automation; Level 5 scripting expectations across modules; Level 6 AI-Augmented Security Operations (automation pipelines)</w:t>
            </w:r>
          </w:p>
        </w:tc>
      </w:tr>
      <w:t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Prerequisites</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Applied Programming for Networks and Security (the Python and Bash foundation)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Delivery mode</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Session-based delivery in 3-hour blocks per the School's session pattern; 16 lecture sessions plus tutorials, practicals and demonstration per the hours profile</w:t>
            </w:r>
          </w:p>
        </w:tc>
      </w:tr>
      <w:t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Hours profile</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Taught 3-credit profile (150 notional hours)</w:t>
            </w:r>
          </w:p>
        </w:tc>
      </w:tr>
    </w:tbl>
    <w:p>
      <w:pPr>
        <w:spacing w:after="140" w:before="240"/>
      </w:pPr>
      <w:r>
        <w:rPr>
          <w:rFonts w:ascii="Open Sans" w:cs="Open Sans" w:eastAsia="Open Sans" w:hAnsi="Open Sans"/>
          <w:b/>
          <w:bCs/>
          <w:i w:val="false"/>
          <w:iCs w:val="false"/>
          <w:color w:val="404040"/>
          <w:sz w:val="24"/>
          <w:szCs w:val="24"/>
        </w:rPr>
        <w:t xml:space="preserve">2. Module Purpose and Aims</w:t>
      </w:r>
    </w:p>
    <w:p>
      <w:pPr>
        <w:spacing w:after="120" w:before="0"/>
      </w:pPr>
      <w:r>
        <w:rPr>
          <w:rFonts w:ascii="Open Sans" w:cs="Open Sans" w:eastAsia="Open Sans" w:hAnsi="Open Sans"/>
          <w:b w:val="false"/>
          <w:bCs w:val="false"/>
          <w:i w:val="false"/>
          <w:iCs w:val="false"/>
          <w:color w:val="000000"/>
          <w:sz w:val="20"/>
          <w:szCs w:val="20"/>
        </w:rPr>
        <w:t xml:space="preserve">To turn the Year 1 programmer into an automator of infrastructure. The working languages are Bash and Python: what was learned as programming becomes automation of real networking, systems and security workflows - devices configured through code, checks and reports generated rather than compiled by hand, repetitive operations made repeatable, and the manual practice taught in the administration modules deliberately superseded by scripted equivalents. Infrastructure-as-code is introduced at working-concept level - declarative definitions and idempotence made concrete - and a closing orientation unit surveys the wider tooling landscape at breadth only, the dimension the module consciously trades away to protect its Python core. Programming fundamentals are not re-taught, and production software engineering remains outside the pathway's mission.</w:t>
      </w:r>
    </w:p>
    <w:p>
      <w:pPr>
        <w:spacing w:after="120" w:before="180"/>
      </w:pPr>
      <w:r>
        <w:rPr>
          <w:rFonts w:ascii="Open Sans" w:cs="Open Sans" w:eastAsia="Open Sans" w:hAnsi="Open Sans"/>
          <w:b/>
          <w:bCs/>
          <w:i w:val="false"/>
          <w:iCs w:val="false"/>
          <w:color w:val="404040"/>
          <w:sz w:val="21"/>
          <w:szCs w:val="21"/>
        </w:rPr>
        <w:t xml:space="preserve">Specification Boundary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7F7F7" w:sz="2"/>
              <w:left w:val="single" w:color="595959" w:sz="24"/>
              <w:bottom w:val="single" w:color="F7F7F7" w:sz="2"/>
              <w:right w:val="single" w:color="F7F7F7" w:sz="2"/>
            </w:tcBorders>
            <w:shd w:fill="F7F7F7" w:color="auto" w:val="clear"/>
            <w:tcMar>
              <w:top w:type="dxa" w:w="120"/>
              <w:left w:type="dxa" w:w="200"/>
              <w:bottom w:type="dxa" w:w="120"/>
              <w:right w:type="dxa" w:w="160"/>
            </w:tcMar>
          </w:tcPr>
          <w:p>
            <w:pPr>
              <w:spacing w:after="100"/>
            </w:pPr>
            <w:r>
              <w:rPr>
                <w:rFonts w:ascii="Open Sans" w:cs="Open Sans" w:eastAsia="Open Sans" w:hAnsi="Open Sans"/>
                <w:b/>
                <w:bCs/>
                <w:i w:val="false"/>
                <w:iCs w:val="false"/>
                <w:color w:val="000000"/>
                <w:sz w:val="19"/>
                <w:szCs w:val="19"/>
              </w:rPr>
              <w:t xml:space="preserve">Covers: </w:t>
            </w:r>
            <w:r>
              <w:rPr>
                <w:rFonts w:ascii="Open Sans" w:cs="Open Sans" w:eastAsia="Open Sans" w:hAnsi="Open Sans"/>
                <w:b w:val="false"/>
                <w:bCs w:val="false"/>
                <w:i w:val="false"/>
                <w:iCs w:val="false"/>
                <w:color w:val="000000"/>
                <w:sz w:val="19"/>
                <w:szCs w:val="19"/>
              </w:rPr>
              <w:t xml:space="preserve">automation of networking and systems tasks; scripting for infrastructure and security workflows; introductory infrastructure-as-code concepts; a breadth of automation tooling (carried at orientation level; the core Python automation is protected).</w:t>
            </w:r>
          </w:p>
          <w:p>
            <w:pPr>
              <w:spacing w:after="100"/>
            </w:pPr>
            <w:r>
              <w:rPr>
                <w:rFonts w:ascii="Open Sans" w:cs="Open Sans" w:eastAsia="Open Sans" w:hAnsi="Open Sans"/>
                <w:b/>
                <w:bCs/>
                <w:i w:val="false"/>
                <w:iCs w:val="false"/>
                <w:color w:val="000000"/>
                <w:sz w:val="19"/>
                <w:szCs w:val="19"/>
              </w:rPr>
              <w:t xml:space="preserve">Does NOT cover: </w:t>
            </w:r>
            <w:r>
              <w:rPr>
                <w:rFonts w:ascii="Open Sans" w:cs="Open Sans" w:eastAsia="Open Sans" w:hAnsi="Open Sans"/>
                <w:b w:val="false"/>
                <w:bCs w:val="false"/>
                <w:i w:val="false"/>
                <w:iCs w:val="false"/>
                <w:color w:val="000000"/>
                <w:sz w:val="19"/>
                <w:szCs w:val="19"/>
              </w:rPr>
              <w:t xml:space="preserve">programming fundamentals (Applied Programming for Networks and Security, Year 1); production software engineering.</w:t>
            </w:r>
          </w:p>
          <w:p>
            <w:pPr>
              <w:spacing w:after="100"/>
            </w:pPr>
            <w:r>
              <w:rPr>
                <w:rFonts w:ascii="Open Sans" w:cs="Open Sans" w:eastAsia="Open Sans" w:hAnsi="Open Sans"/>
                <w:b w:val="false"/>
                <w:bCs w:val="false"/>
                <w:i/>
                <w:iCs/>
                <w:color w:val="000000"/>
                <w:sz w:val="19"/>
                <w:szCs w:val="19"/>
              </w:rPr>
              <w:t xml:space="preserve">Changes to this boundary are made only through the School's formal change-control process.</w:t>
            </w:r>
          </w:p>
        </w:tc>
      </w:tr>
    </w:tbl>
    <w:p>
      <w:pPr>
        <w:spacing w:after="140" w:before="240"/>
      </w:pPr>
      <w:r>
        <w:rPr>
          <w:rFonts w:ascii="Open Sans" w:cs="Open Sans" w:eastAsia="Open Sans" w:hAnsi="Open Sans"/>
          <w:b/>
          <w:bCs/>
          <w:i w:val="false"/>
          <w:iCs w:val="false"/>
          <w:color w:val="404040"/>
          <w:sz w:val="24"/>
          <w:szCs w:val="24"/>
        </w:rPr>
        <w:t xml:space="preserve">3. Learning Outcomes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6938"/>
        <w:gridCol w:w="2000"/>
      </w:tblGrid>
      <w:tr>
        <w:trPr>
          <w:tblHeader/>
        </w:trPr>
        <w:tc>
          <w:tcPr>
            <w:tcW w:type="dxa" w:w="700"/>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Ref</w:t>
            </w:r>
          </w:p>
        </w:tc>
        <w:tc>
          <w:tcPr>
            <w:tcW w:type="dxa" w:w="6938"/>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Intended Learning Outcome</w:t>
            </w:r>
          </w:p>
        </w:tc>
        <w:tc>
          <w:tcPr>
            <w:tcW w:type="dxa" w:w="2000"/>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Level</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LO1</w:t>
            </w:r>
          </w:p>
        </w:tc>
        <w:tc>
          <w:tcPr>
            <w:tcW w:type="dxa" w:w="6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Automate networking and systems tasks with scripts.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Apply</w:t>
            </w:r>
          </w:p>
        </w:tc>
      </w:tr>
      <w:t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LO2</w:t>
            </w:r>
          </w:p>
        </w:tc>
        <w:tc>
          <w:tcPr>
            <w:tcW w:type="dxa" w:w="69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Apply automation to security and infrastructure workflows.</w:t>
            </w:r>
          </w:p>
        </w:tc>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Apply</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LO3</w:t>
            </w:r>
          </w:p>
        </w:tc>
        <w:tc>
          <w:tcPr>
            <w:tcW w:type="dxa" w:w="6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Explain infrastructure-as-code concepts.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Understand</w:t>
            </w:r>
          </w:p>
        </w:tc>
      </w:tr>
      <w:t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LO4</w:t>
            </w:r>
          </w:p>
        </w:tc>
        <w:tc>
          <w:tcPr>
            <w:tcW w:type="dxa" w:w="69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Analyse a manual operational workflow and design its automation, justifying tool selection and naming residual risks.</w:t>
            </w:r>
          </w:p>
        </w:tc>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Analyse / Design</w:t>
            </w:r>
          </w:p>
        </w:tc>
      </w:tr>
    </w:tbl>
    <w:p>
      <w:pPr>
        <w:spacing w:after="140" w:before="240"/>
      </w:pPr>
      <w:r>
        <w:rPr>
          <w:rFonts w:ascii="Open Sans" w:cs="Open Sans" w:eastAsia="Open Sans" w:hAnsi="Open Sans"/>
          <w:b/>
          <w:bCs/>
          <w:i w:val="false"/>
          <w:iCs w:val="false"/>
          <w:color w:val="404040"/>
          <w:sz w:val="24"/>
          <w:szCs w:val="24"/>
        </w:rPr>
        <w:t xml:space="preserve">4. Curriculum and Delivery</w:t>
      </w:r>
    </w:p>
    <w:p>
      <w:pPr>
        <w:spacing w:after="120" w:before="180"/>
      </w:pPr>
      <w:r>
        <w:rPr>
          <w:rFonts w:ascii="Open Sans" w:cs="Open Sans" w:eastAsia="Open Sans" w:hAnsi="Open Sans"/>
          <w:b/>
          <w:bCs/>
          <w:i w:val="false"/>
          <w:iCs w:val="false"/>
          <w:color w:val="404040"/>
          <w:sz w:val="21"/>
          <w:szCs w:val="21"/>
        </w:rPr>
        <w:t xml:space="preserve">Indicative Syllabus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7238"/>
        <w:gridCol w:w="1600"/>
      </w:tblGrid>
      <w:tr>
        <w:trPr>
          <w:tblHeader/>
        </w:trPr>
        <w:tc>
          <w:tcPr>
            <w:tcW w:type="dxa" w:w="800"/>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Unit</w:t>
            </w:r>
          </w:p>
        </w:tc>
        <w:tc>
          <w:tcPr>
            <w:tcW w:type="dxa" w:w="7238"/>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Content</w:t>
            </w:r>
          </w:p>
        </w:tc>
        <w:tc>
          <w:tcPr>
            <w:tcW w:type="dxa" w:w="1600"/>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Lecture hours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U1</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Automation foundations: from interactive administration to scripted operations (Bash and Python)</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6</w:t>
            </w:r>
          </w:p>
        </w:tc>
      </w:tr>
      <w:tr>
        <w:tc>
          <w:tcPr>
            <w:tcW w:type="dxa" w:w="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U2</w:t>
            </w:r>
          </w:p>
        </w:tc>
        <w:tc>
          <w:tcPr>
            <w:tcW w:type="dxa" w:w="72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Python automation core I: automating systems and services tasks</w:t>
            </w:r>
          </w:p>
        </w:tc>
        <w:tc>
          <w:tcPr>
            <w:tcW w:type="dxa" w:w="1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9</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U3</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Python automation core II: network-device and API-driven automation</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9</w:t>
            </w:r>
          </w:p>
        </w:tc>
      </w:tr>
      <w:tr>
        <w:tc>
          <w:tcPr>
            <w:tcW w:type="dxa" w:w="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U4</w:t>
            </w:r>
          </w:p>
        </w:tc>
        <w:tc>
          <w:tcPr>
            <w:tcW w:type="dxa" w:w="72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Bash in operations: pipelines, scheduling and glue</w:t>
            </w:r>
          </w:p>
        </w:tc>
        <w:tc>
          <w:tcPr>
            <w:tcW w:type="dxa" w:w="1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6</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U5</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Scripting for security workflows: log handling, checks and reporting</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6</w:t>
            </w:r>
          </w:p>
        </w:tc>
      </w:tr>
      <w:tr>
        <w:tc>
          <w:tcPr>
            <w:tcW w:type="dxa" w:w="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U6</w:t>
            </w:r>
          </w:p>
        </w:tc>
        <w:tc>
          <w:tcPr>
            <w:tcW w:type="dxa" w:w="72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Infrastructure-as-code concepts: declarative definitions and idempotence, worked introduction</w:t>
            </w:r>
          </w:p>
        </w:tc>
        <w:tc>
          <w:tcPr>
            <w:tcW w:type="dxa" w:w="1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9</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U7</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Automation tooling landscape: orientation survey only</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3</w:t>
            </w:r>
          </w:p>
        </w:tc>
      </w:tr>
      <w:tr>
        <w:tc>
          <w:tcPr>
            <w:tcW w:type="dxa" w:w="80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000000"/>
                <w:sz w:val="19"/>
                <w:szCs w:val="19"/>
              </w:rPr>
              <w:t xml:space="preserve"/>
            </w:r>
          </w:p>
        </w:tc>
        <w:tc>
          <w:tcPr>
            <w:tcW w:type="dxa" w:w="7238"/>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000000"/>
                <w:sz w:val="19"/>
                <w:szCs w:val="19"/>
              </w:rPr>
              <w:t xml:space="preserve">Total lecture hours</w:t>
            </w:r>
          </w:p>
        </w:tc>
        <w:tc>
          <w:tcPr>
            <w:tcW w:type="dxa" w:w="160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000000"/>
                <w:sz w:val="19"/>
                <w:szCs w:val="19"/>
              </w:rPr>
              <w:t xml:space="preserve">48</w:t>
            </w:r>
          </w:p>
        </w:tc>
      </w:tr>
    </w:tbl>
    <w:p>
      <w:pPr>
        <w:spacing w:after="60" w:before="0"/>
      </w:pPr>
      <w:r>
        <w:rPr>
          <w:rFonts w:ascii="Open Sans" w:cs="Open Sans" w:eastAsia="Open Sans" w:hAnsi="Open Sans"/>
          <w:b w:val="false"/>
          <w:bCs w:val="false"/>
          <w:i w:val="false"/>
          <w:iCs w:val="false"/>
          <w:color w:val="000000"/>
          <w:sz w:val="20"/>
          <w:szCs w:val="20"/>
        </w:rPr>
        <w:t xml:space="preserve"/>
      </w:r>
    </w:p>
    <w:p>
      <w:pPr>
        <w:spacing w:after="120" w:before="0"/>
      </w:pPr>
      <w:r>
        <w:rPr>
          <w:rFonts w:ascii="Open Sans" w:cs="Open Sans" w:eastAsia="Open Sans" w:hAnsi="Open Sans"/>
          <w:b w:val="false"/>
          <w:bCs w:val="false"/>
          <w:i w:val="false"/>
          <w:iCs w:val="false"/>
          <w:color w:val="000000"/>
          <w:sz w:val="20"/>
          <w:szCs w:val="20"/>
        </w:rPr>
        <w:t xml:space="preserve">The 48 lecture hours are delivered as 16 three-hour sessions per the School's session pattern; U1 through U6 run code-along against laboratory infrastructure, and the practicals component carries supervised automation time. U2 and U3 are the protected Python core; U7 is deliberately held at orientation level - breadth of tooling was consciously traded to keep the core deep, and the trade is recorded rather than hidden.</w:t>
      </w:r>
    </w:p>
    <w:p>
      <w:pPr>
        <w:spacing w:after="120" w:before="0"/>
      </w:pPr>
      <w:r>
        <w:rPr>
          <w:rFonts w:ascii="Open Sans" w:cs="Open Sans" w:eastAsia="Open Sans" w:hAnsi="Open Sans"/>
          <w:b w:val="false"/>
          <w:bCs w:val="false"/>
          <w:i w:val="false"/>
          <w:iCs w:val="false"/>
          <w:color w:val="000000"/>
          <w:sz w:val="20"/>
          <w:szCs w:val="20"/>
        </w:rPr>
        <w:t xml:space="preserve">Language decision: Bash and Python are the working languages. Python carries the automation core; Bash carries operational glue and assumes the command-line norm established in Year 1 and Linux Server Administration across both Red Hat and Debian derivative families.</w:t>
      </w:r>
    </w:p>
    <w:p>
      <w:pPr>
        <w:spacing w:after="120" w:before="180"/>
      </w:pPr>
      <w:r>
        <w:rPr>
          <w:rFonts w:ascii="Open Sans" w:cs="Open Sans" w:eastAsia="Open Sans" w:hAnsi="Open Sans"/>
          <w:b/>
          <w:bCs/>
          <w:i w:val="false"/>
          <w:iCs w:val="false"/>
          <w:color w:val="404040"/>
          <w:sz w:val="21"/>
          <w:szCs w:val="21"/>
        </w:rPr>
        <w:t xml:space="preserve">Teaching and Learning Hours (SLQF)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8"/>
        <w:gridCol w:w="2600"/>
      </w:tblGrid>
      <w:tr>
        <w:trPr>
          <w:tblHeader/>
        </w:trPr>
        <w:tc>
          <w:tcPr>
            <w:tcW w:type="dxa" w:w="7038"/>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Component</w:t>
            </w:r>
          </w:p>
        </w:tc>
        <w:tc>
          <w:tcPr>
            <w:tcW w:type="dxa" w:w="2600"/>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Hours</w:t>
            </w:r>
          </w:p>
        </w:tc>
      </w:tr>
      <w:tr>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Lectures (fixed)</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48</w:t>
            </w:r>
          </w:p>
        </w:tc>
      </w:tr>
      <w:tr>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Tutorials</w:t>
            </w:r>
          </w:p>
        </w:tc>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12</w:t>
            </w:r>
          </w:p>
        </w:tc>
      </w:tr>
      <w:tr>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Practicals / Laboratory</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24</w:t>
            </w:r>
          </w:p>
        </w:tc>
      </w:tr>
      <w:tr>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In-class assignments</w:t>
            </w:r>
          </w:p>
        </w:tc>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9</w:t>
            </w:r>
          </w:p>
        </w:tc>
      </w:tr>
      <w:tr>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Demonstration</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3</w:t>
            </w:r>
          </w:p>
        </w:tc>
      </w:tr>
      <w:tr>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Self-guided study</w:t>
            </w:r>
          </w:p>
        </w:tc>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54</w:t>
            </w:r>
          </w:p>
        </w:tc>
      </w:tr>
      <w:tr>
        <w:tc>
          <w:tcPr>
            <w:tcW w:type="dxa" w:w="7038"/>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000000"/>
                <w:sz w:val="19"/>
                <w:szCs w:val="19"/>
              </w:rPr>
              <w:t xml:space="preserve">Total</w:t>
            </w:r>
          </w:p>
        </w:tc>
        <w:tc>
          <w:tcPr>
            <w:tcW w:type="dxa" w:w="260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000000"/>
                <w:sz w:val="19"/>
                <w:szCs w:val="19"/>
              </w:rPr>
              <w:t xml:space="preserve">150</w:t>
            </w:r>
          </w:p>
        </w:tc>
      </w:tr>
    </w:tbl>
    <w:p>
      <w:pPr>
        <w:spacing w:after="140" w:before="240"/>
      </w:pPr>
      <w:r>
        <w:rPr>
          <w:rFonts w:ascii="Open Sans" w:cs="Open Sans" w:eastAsia="Open Sans" w:hAnsi="Open Sans"/>
          <w:b/>
          <w:bCs/>
          <w:i w:val="false"/>
          <w:iCs w:val="false"/>
          <w:color w:val="404040"/>
          <w:sz w:val="24"/>
          <w:szCs w:val="24"/>
        </w:rPr>
        <w:t xml:space="preserve">5. Assessment</w:t>
      </w:r>
    </w:p>
    <w:p>
      <w:pPr>
        <w:spacing w:after="120" w:before="0"/>
      </w:pPr>
      <w:r>
        <w:rPr>
          <w:rFonts w:ascii="Open Sans" w:cs="Open Sans" w:eastAsia="Open Sans" w:hAnsi="Open Sans"/>
          <w:b w:val="false"/>
          <w:bCs w:val="false"/>
          <w:i w:val="false"/>
          <w:iCs w:val="false"/>
          <w:color w:val="000000"/>
          <w:sz w:val="20"/>
          <w:szCs w:val="20"/>
        </w:rPr>
        <w:t xml:space="preserve">The examination is carried for integrity and breadth: individually verified automation competency and concept command, independent of take-home tooling. The analytical requirement at this level is carried by LO4 and assessed through the portfolio's design document.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838"/>
        <w:gridCol w:w="2300"/>
        <w:gridCol w:w="1100"/>
        <w:gridCol w:w="900"/>
      </w:tblGrid>
      <w:tr>
        <w:trPr>
          <w:tblHeader/>
        </w:trPr>
        <w:tc>
          <w:tcPr>
            <w:tcW w:type="dxa" w:w="1500"/>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Component</w:t>
            </w:r>
          </w:p>
        </w:tc>
        <w:tc>
          <w:tcPr>
            <w:tcW w:type="dxa" w:w="3838"/>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Task</w:t>
            </w:r>
          </w:p>
        </w:tc>
        <w:tc>
          <w:tcPr>
            <w:tcW w:type="dxa" w:w="2300"/>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Conditions</w:t>
            </w:r>
          </w:p>
        </w:tc>
        <w:tc>
          <w:tcPr>
            <w:tcW w:type="dxa" w:w="1100"/>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ILOs</w:t>
            </w:r>
          </w:p>
        </w:tc>
        <w:tc>
          <w:tcPr>
            <w:tcW w:type="dxa" w:w="900"/>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Weight</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Coursework</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Automation portfolio: staged automations across systems, network and security contexts, culminating in a workflow automation with a design document analysing the manual process, justifying tool selection and naming residual risks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Individual; take-home; graded; Viva/Presentation: Viva-defence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LO1, LO2, LO4</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40%</w:t>
            </w:r>
          </w:p>
        </w:tc>
      </w:tr>
      <w:t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Practical</w:t>
            </w:r>
          </w:p>
        </w:tc>
        <w:tc>
          <w:tcPr>
            <w:tcW w:type="dxa" w:w="38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Timed automation tasks at the workstation: scripts written and run against supplied laboratory infrastructure</w:t>
            </w:r>
          </w:p>
        </w:tc>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Individual; in-class; graded</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LO1, LO2</w:t>
            </w:r>
          </w:p>
        </w:tc>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30%</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Examination</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Written examination: script reading and construction in Bash and Python, automation design reasoning, infrastructure-as-code concepts; 2 hours, closed resources, invigilated</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Graded</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LO1, LO3, LO4</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30%</w:t>
            </w:r>
          </w:p>
        </w:tc>
      </w:tr>
    </w:tbl>
    <w:p>
      <w:pPr>
        <w:spacing w:after="120" w:before="120"/>
      </w:pPr>
      <w:r>
        <w:rPr>
          <w:rFonts w:ascii="Open Sans" w:cs="Open Sans" w:eastAsia="Open Sans" w:hAnsi="Open Sans"/>
          <w:b w:val="false"/>
          <w:bCs w:val="false"/>
          <w:i w:val="false"/>
          <w:iCs w:val="false"/>
          <w:color w:val="000000"/>
          <w:sz w:val="20"/>
          <w:szCs w:val="20"/>
        </w:rPr>
        <w:t xml:space="preserve">Weightings are confirmed at specification sign-off. Reassessment is by the failed component only, with an equivalent task, per School regulations. All assessment falls under the academic integrity policy, including its provisions on generative AI; the module-level position on AI use is set at teaching-plan stage.</w:t>
      </w:r>
    </w:p>
    <w:p>
      <w:pPr>
        <w:spacing w:after="140" w:before="240"/>
      </w:pPr>
      <w:r>
        <w:rPr>
          <w:rFonts w:ascii="Open Sans" w:cs="Open Sans" w:eastAsia="Open Sans" w:hAnsi="Open Sans"/>
          <w:b/>
          <w:bCs/>
          <w:i w:val="false"/>
          <w:iCs w:val="false"/>
          <w:color w:val="404040"/>
          <w:sz w:val="24"/>
          <w:szCs w:val="24"/>
        </w:rPr>
        <w:t xml:space="preserve">6. Resources, Staff and Governance</w:t>
      </w:r>
    </w:p>
    <w:p>
      <w:pPr>
        <w:spacing w:after="120" w:before="180"/>
      </w:pPr>
      <w:r>
        <w:rPr>
          <w:rFonts w:ascii="Open Sans" w:cs="Open Sans" w:eastAsia="Open Sans" w:hAnsi="Open Sans"/>
          <w:b/>
          <w:bCs/>
          <w:i w:val="false"/>
          <w:iCs w:val="false"/>
          <w:color w:val="404040"/>
          <w:sz w:val="21"/>
          <w:szCs w:val="21"/>
        </w:rPr>
        <w:t xml:space="preserve">Indicative Reading</w:t>
      </w:r>
    </w:p>
    <w:p>
      <w:pPr>
        <w:spacing w:after="80" w:before="0"/>
      </w:pPr>
      <w:r>
        <w:rPr>
          <w:rFonts w:ascii="Open Sans" w:cs="Open Sans" w:eastAsia="Open Sans" w:hAnsi="Open Sans"/>
          <w:b w:val="false"/>
          <w:bCs w:val="false"/>
          <w:i w:val="false"/>
          <w:iCs w:val="false"/>
          <w:color w:val="000000"/>
          <w:sz w:val="20"/>
          <w:szCs w:val="20"/>
        </w:rPr>
        <w:t xml:space="preserve">-  </w:t>
      </w:r>
      <w:r>
        <w:rPr>
          <w:rFonts w:ascii="Open Sans" w:cs="Open Sans" w:eastAsia="Open Sans" w:hAnsi="Open Sans"/>
          <w:b w:val="false"/>
          <w:bCs w:val="false"/>
          <w:i w:val="false"/>
          <w:iCs w:val="false"/>
          <w:color w:val="000000"/>
          <w:sz w:val="20"/>
          <w:szCs w:val="20"/>
        </w:rPr>
        <w:t xml:space="preserve">Edelman, J., Lowe, S. S. and Oswalt, M., Network Programmability and Automation (O'Reilly) - primary text for the network-automation core.</w:t>
      </w:r>
    </w:p>
    <w:p>
      <w:pPr>
        <w:spacing w:after="80" w:before="0"/>
      </w:pPr>
      <w:r>
        <w:rPr>
          <w:rFonts w:ascii="Open Sans" w:cs="Open Sans" w:eastAsia="Open Sans" w:hAnsi="Open Sans"/>
          <w:b w:val="false"/>
          <w:bCs w:val="false"/>
          <w:i w:val="false"/>
          <w:iCs w:val="false"/>
          <w:color w:val="000000"/>
          <w:sz w:val="20"/>
          <w:szCs w:val="20"/>
        </w:rPr>
        <w:t xml:space="preserve">-  </w:t>
      </w:r>
      <w:r>
        <w:rPr>
          <w:rFonts w:ascii="Open Sans" w:cs="Open Sans" w:eastAsia="Open Sans" w:hAnsi="Open Sans"/>
          <w:b w:val="false"/>
          <w:bCs w:val="false"/>
          <w:i w:val="false"/>
          <w:iCs w:val="false"/>
          <w:color w:val="000000"/>
          <w:sz w:val="20"/>
          <w:szCs w:val="20"/>
        </w:rPr>
        <w:t xml:space="preserve">Sweigart, A., Automate the Boring Stuff with Python (No Starch Press) - carried forward from Year 1, now read at workflow scale.</w:t>
      </w:r>
    </w:p>
    <w:p>
      <w:pPr>
        <w:spacing w:after="80" w:before="0"/>
      </w:pPr>
      <w:r>
        <w:rPr>
          <w:rFonts w:ascii="Open Sans" w:cs="Open Sans" w:eastAsia="Open Sans" w:hAnsi="Open Sans"/>
          <w:b w:val="false"/>
          <w:bCs w:val="false"/>
          <w:i w:val="false"/>
          <w:iCs w:val="false"/>
          <w:color w:val="000000"/>
          <w:sz w:val="20"/>
          <w:szCs w:val="20"/>
        </w:rPr>
        <w:t xml:space="preserve">-  </w:t>
      </w:r>
      <w:r>
        <w:rPr>
          <w:rFonts w:ascii="Open Sans" w:cs="Open Sans" w:eastAsia="Open Sans" w:hAnsi="Open Sans"/>
          <w:b w:val="false"/>
          <w:bCs w:val="false"/>
          <w:i w:val="false"/>
          <w:iCs w:val="false"/>
          <w:color w:val="000000"/>
          <w:sz w:val="20"/>
          <w:szCs w:val="20"/>
        </w:rPr>
        <w:t xml:space="preserve">Morris, K., Infrastructure as Code (O'Reilly) - selected chapters for the concepts strand; read at concept level, not as a platform commitment.</w:t>
      </w:r>
    </w:p>
    <w:p>
      <w:pPr>
        <w:spacing w:after="80" w:before="0"/>
      </w:pPr>
      <w:r>
        <w:rPr>
          <w:rFonts w:ascii="Open Sans" w:cs="Open Sans" w:eastAsia="Open Sans" w:hAnsi="Open Sans"/>
          <w:b w:val="false"/>
          <w:bCs w:val="false"/>
          <w:i w:val="false"/>
          <w:iCs w:val="false"/>
          <w:color w:val="000000"/>
          <w:sz w:val="20"/>
          <w:szCs w:val="20"/>
        </w:rPr>
        <w:t xml:space="preserve">-  </w:t>
      </w:r>
      <w:r>
        <w:rPr>
          <w:rFonts w:ascii="Open Sans" w:cs="Open Sans" w:eastAsia="Open Sans" w:hAnsi="Open Sans"/>
          <w:b w:val="false"/>
          <w:bCs w:val="false"/>
          <w:i w:val="false"/>
          <w:iCs w:val="false"/>
          <w:color w:val="000000"/>
          <w:sz w:val="20"/>
          <w:szCs w:val="20"/>
        </w:rPr>
        <w:t xml:space="preserve">Shotts, W., The Linux Command Line (No Starch Press) - the Bash operational strand; Bash-environment dependency stated.</w:t>
      </w:r>
    </w:p>
    <w:p>
      <w:pPr>
        <w:spacing w:after="80" w:before="0"/>
      </w:pPr>
      <w:r>
        <w:rPr>
          <w:rFonts w:ascii="Open Sans" w:cs="Open Sans" w:eastAsia="Open Sans" w:hAnsi="Open Sans"/>
          <w:b w:val="false"/>
          <w:bCs w:val="false"/>
          <w:i w:val="false"/>
          <w:iCs w:val="false"/>
          <w:color w:val="000000"/>
          <w:sz w:val="20"/>
          <w:szCs w:val="20"/>
        </w:rPr>
        <w:t xml:space="preserve">-  </w:t>
      </w:r>
      <w:r>
        <w:rPr>
          <w:rFonts w:ascii="Open Sans" w:cs="Open Sans" w:eastAsia="Open Sans" w:hAnsi="Open Sans"/>
          <w:b w:val="false"/>
          <w:bCs w:val="false"/>
          <w:i w:val="false"/>
          <w:iCs w:val="false"/>
          <w:color w:val="000000"/>
          <w:sz w:val="20"/>
          <w:szCs w:val="20"/>
        </w:rPr>
        <w:t xml:space="preserve">School-produced laboratory infrastructure and exercise sets (environment-specific), confirmed at teaching-plan stage.</w:t>
      </w:r>
    </w:p>
    <w:p>
      <w:pPr>
        <w:spacing w:after="120" w:before="180"/>
      </w:pPr>
      <w:r>
        <w:rPr>
          <w:rFonts w:ascii="Open Sans" w:cs="Open Sans" w:eastAsia="Open Sans" w:hAnsi="Open Sans"/>
          <w:b/>
          <w:bCs/>
          <w:i w:val="false"/>
          <w:iCs w:val="false"/>
          <w:color w:val="404040"/>
          <w:sz w:val="21"/>
          <w:szCs w:val="21"/>
        </w:rPr>
        <w:t xml:space="preserve">Staffing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338"/>
      </w:tblGrid>
      <w:tr>
        <w:trPr>
          <w:tblHeader/>
        </w:trPr>
        <w:tc>
          <w:tcPr>
            <w:tcW w:type="dxa" w:w="3000"/>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Role</w:t>
            </w:r>
          </w:p>
        </w:tc>
        <w:tc>
          <w:tcPr>
            <w:tcW w:type="dxa" w:w="3300"/>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Name</w:t>
            </w:r>
          </w:p>
        </w:tc>
        <w:tc>
          <w:tcPr>
            <w:tcW w:type="dxa" w:w="3338"/>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Domain credential</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Module leader 1</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
            </w:r>
          </w:p>
        </w:tc>
      </w:tr>
      <w:tr>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Module leader 2</w:t>
            </w:r>
          </w:p>
        </w:tc>
        <w:tc>
          <w:tcPr>
            <w:tcW w:type="dxa" w:w="3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
            </w:r>
          </w:p>
        </w:tc>
        <w:tc>
          <w:tcPr>
            <w:tcW w:type="dxa" w:w="33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External module auditor</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
            </w:r>
          </w:p>
        </w:tc>
      </w:tr>
    </w:tbl>
    <w:p>
      <w:pPr>
        <w:spacing w:after="120" w:before="120"/>
      </w:pPr>
      <w:r>
        <w:rPr>
          <w:rFonts w:ascii="Open Sans" w:cs="Open Sans" w:eastAsia="Open Sans" w:hAnsi="Open Sans"/>
          <w:b/>
          <w:bCs/>
          <w:i w:val="false"/>
          <w:iCs w:val="false"/>
          <w:color w:val="000000"/>
          <w:sz w:val="20"/>
          <w:szCs w:val="20"/>
        </w:rPr>
        <w:t xml:space="preserve">Domain-expertise statement: </w:t>
      </w:r>
      <w:r>
        <w:rPr>
          <w:rFonts w:ascii="Open Sans" w:cs="Open Sans" w:eastAsia="Open Sans" w:hAnsi="Open Sans"/>
          <w:b w:val="false"/>
          <w:bCs w:val="false"/>
          <w:i w:val="false"/>
          <w:iCs w:val="false"/>
          <w:color w:val="000000"/>
          <w:sz w:val="20"/>
          <w:szCs w:val="20"/>
        </w:rPr>
        <w:t xml:space="preserve">Taught from an automation domain; generic delivery is non-compliant with the School's staffing governance.</w:t>
      </w:r>
    </w:p>
    <w:p>
      <w:pPr>
        <w:spacing w:after="120" w:before="180"/>
      </w:pPr>
      <w:r>
        <w:rPr>
          <w:rFonts w:ascii="Open Sans" w:cs="Open Sans" w:eastAsia="Open Sans" w:hAnsi="Open Sans"/>
          <w:b/>
          <w:bCs/>
          <w:i w:val="false"/>
          <w:iCs w:val="false"/>
          <w:color w:val="404040"/>
          <w:sz w:val="21"/>
          <w:szCs w:val="21"/>
        </w:rPr>
        <w:t xml:space="preserve">Version and Sign-off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438"/>
      </w:tblGrid>
      <w:tr>
        <w:trPr>
          <w:tblHeader/>
        </w:trPr>
        <w:tc>
          <w:tcPr>
            <w:tcW w:type="dxa" w:w="1600"/>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Version</w:t>
            </w:r>
          </w:p>
        </w:tc>
        <w:tc>
          <w:tcPr>
            <w:tcW w:type="dxa" w:w="2600"/>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Date</w:t>
            </w:r>
          </w:p>
        </w:tc>
        <w:tc>
          <w:tcPr>
            <w:tcW w:type="dxa" w:w="5438"/>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Status</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1.0</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20 Jul 2026</w:t>
            </w:r>
          </w:p>
        </w:tc>
        <w:tc>
          <w:tcPr>
            <w:tcW w:type="dxa" w:w="5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Draft for Review</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2026-07-20T15:06:20.203Z</dcterms:created>
  <dcterms:modified xsi:type="dcterms:W3CDTF">2026-07-20T15:06:20.203Z</dcterms:modified>
</cp:coreProperties>
</file>

<file path=docProps/custom.xml><?xml version="1.0" encoding="utf-8"?>
<Properties xmlns="http://schemas.openxmlformats.org/officeDocument/2006/custom-properties" xmlns:vt="http://schemas.openxmlformats.org/officeDocument/2006/docPropsVTypes"/>
</file>