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pPr>
      <w:r>
        <w:rPr>
          <w:rFonts w:ascii="Open Sans" w:cs="Open Sans" w:eastAsia="Open Sans" w:hAnsi="Open Sans"/>
          <w:b/>
          <w:bCs/>
          <w:i w:val="false"/>
          <w:iCs w:val="false"/>
          <w:color w:val="404040"/>
          <w:sz w:val="32"/>
          <w:szCs w:val="32"/>
        </w:rPr>
        <w:t xml:space="preserve">Module Descriptor - Data Management and Security</w:t>
      </w:r>
    </w:p>
    <w:p>
      <w:pPr>
        <w:spacing w:after="12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NB-SOCE-L4-NEC-TT-09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 Network Engineering and Cybersecurity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    </w:t>
      </w: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  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the School's SLQF reference (Sri Lanka Qualifications Framework, 2015).</w:t>
      </w:r>
    </w:p>
    <w:p>
      <w:pPr>
        <w:spacing w:after="140" w:before="240"/>
      </w:pPr>
      <w:r>
        <w:rPr>
          <w:rFonts w:ascii="Open Sans" w:cs="Open Sans" w:eastAsia="Open Sans" w:hAnsi="Open Sans"/>
          <w:b/>
          <w:bCs/>
          <w:i w:val="false"/>
          <w:iCs w:val="false"/>
          <w:color w:val="404040"/>
          <w:sz w:val="24"/>
          <w:szCs w:val="24"/>
        </w:rPr>
        <w:t xml:space="preserve">1. Module Identity and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code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NB-SOCE-L4-NEC-TT-09</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title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Data Management and Security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Scope / type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Pathway: Network Engineering and Cybersecurity  ·  Pathway / Taught</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SLQF level / credits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4 (Year 2)  ·  3 credits  ·  150 notional hours (1 credit = 50 hours). The discipline is data, read through a data-security lens; the security in the title is the lens, not a separate security block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Progression targets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5 Digital Forensics and Incident Analysis (data handling); Level 5 Cyber Law and Legal Frameworks (the privacy and regulatory seed); Level 6 AI-Augmented Security Operations (security-data literacy)</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Prerequisites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Applied Programming for Networks and Security (the SQL strand continues here as applied use)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Delivery mode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Session-based delivery in 3-hour blocks per the School's session pattern; 16 lecture sessions plus tutorials, practicals and demonstration per the hours profile</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Hours profile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Taught 3-credit profile (150 notional hours)</w:t>
            </w:r>
          </w:p>
        </w:tc>
      </w:tr>
    </w:tbl>
    <w:p>
      <w:pPr>
        <w:spacing w:after="140" w:before="240"/>
      </w:pPr>
      <w:r>
        <w:rPr>
          <w:rFonts w:ascii="Open Sans" w:cs="Open Sans" w:eastAsia="Open Sans" w:hAnsi="Open Sans"/>
          <w:b/>
          <w:bCs/>
          <w:i w:val="false"/>
          <w:iCs w:val="false"/>
          <w:color w:val="404040"/>
          <w:sz w:val="24"/>
          <w:szCs w:val="24"/>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To make data something the security practitioner can hold, query and above all protect. The module's discipline is data, read through a security lens: enough data modelling and database use to work with data competently, then the protection that is the point - classification, data-level access control, encryption at rest, backup and recovery - and the privacy and regulatory awareness that frames all lawful data handling. In the programme's identity vocabulary, this module owns what data you may touch, the counterpart to the directory module's who you are. It is deliberately not a data-modelling module of the common kind: modelling is taught only to the applied-use level a security practitioner needs, never as standalone data-modelling instruction.</w:t>
      </w:r>
    </w:p>
    <w:p>
      <w:pPr>
        <w:spacing w:after="120" w:before="180"/>
      </w:pPr>
      <w:r>
        <w:rPr>
          <w:rFonts w:ascii="Open Sans" w:cs="Open Sans" w:eastAsia="Open Sans" w:hAnsi="Open Sans"/>
          <w:b/>
          <w:bCs/>
          <w:i w:val="false"/>
          <w:iCs w:val="false"/>
          <w:color w:val="404040"/>
          <w:sz w:val="21"/>
          <w:szCs w:val="21"/>
        </w:rPr>
        <w:t xml:space="preserve">Specification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7F7" w:sz="2"/>
              <w:left w:val="single" w:color="595959" w:sz="24"/>
              <w:bottom w:val="single" w:color="F7F7F7" w:sz="2"/>
              <w:right w:val="single" w:color="F7F7F7" w:sz="2"/>
            </w:tcBorders>
            <w:shd w:fill="F7F7F7"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Covers: </w:t>
            </w:r>
            <w:r>
              <w:rPr>
                <w:rFonts w:ascii="Open Sans" w:cs="Open Sans" w:eastAsia="Open Sans" w:hAnsi="Open Sans"/>
                <w:b w:val="false"/>
                <w:bCs w:val="false"/>
                <w:i w:val="false"/>
                <w:iCs w:val="false"/>
                <w:color w:val="000000"/>
                <w:sz w:val="19"/>
                <w:szCs w:val="19"/>
              </w:rPr>
              <w:t xml:space="preserve">data modelling and database use; securing data - classification, data-level access control, encryption at rest, backup and recovery; privacy and regulatory awareness.</w:t>
            </w:r>
          </w:p>
          <w:p>
            <w:pPr>
              <w:spacing w:after="100"/>
            </w:pPr>
            <w:r>
              <w:rPr>
                <w:rFonts w:ascii="Open Sans" w:cs="Open Sans" w:eastAsia="Open Sans" w:hAnsi="Open Sans"/>
                <w:b/>
                <w:bCs/>
                <w:i w:val="false"/>
                <w:iCs w:val="false"/>
                <w:color w:val="000000"/>
                <w:sz w:val="19"/>
                <w:szCs w:val="19"/>
              </w:rPr>
              <w:t xml:space="preserve">Does NOT cover: </w:t>
            </w:r>
            <w:r>
              <w:rPr>
                <w:rFonts w:ascii="Open Sans" w:cs="Open Sans" w:eastAsia="Open Sans" w:hAnsi="Open Sans"/>
                <w:b w:val="false"/>
                <w:bCs w:val="false"/>
                <w:i w:val="false"/>
                <w:iCs w:val="false"/>
                <w:color w:val="000000"/>
                <w:sz w:val="19"/>
                <w:szCs w:val="19"/>
              </w:rPr>
              <w:t xml:space="preserve">security operations (Network and Security Operations); offensive testing (Ethical Hacking and Application Security); directory identity (Windows Server and Directory Services owns who you are; this module owns what data you may touch); production database administration. For validation readers: this is a pathway data-security module, distinct from the institution-wide common Data Models and Management Systems, which this pathway does not carry, and it is not a data-modelling common.</w:t>
            </w:r>
          </w:p>
          <w:p>
            <w:pPr>
              <w:spacing w:after="100"/>
            </w:pPr>
            <w:r>
              <w:rPr>
                <w:rFonts w:ascii="Open Sans" w:cs="Open Sans" w:eastAsia="Open Sans" w:hAnsi="Open Sans"/>
                <w:b w:val="false"/>
                <w:bCs w:val="false"/>
                <w:i/>
                <w:iCs/>
                <w:color w:val="000000"/>
                <w:sz w:val="19"/>
                <w:szCs w:val="19"/>
              </w:rPr>
              <w:t xml:space="preserve">Changes to this boundary are made only through the School's formal change-control process.</w:t>
            </w:r>
          </w:p>
        </w:tc>
      </w:tr>
    </w:tbl>
    <w:p>
      <w:pPr>
        <w:spacing w:after="120" w:before="180"/>
      </w:pPr>
      <w:r>
        <w:rPr>
          <w:rFonts w:ascii="Open Sans" w:cs="Open Sans" w:eastAsia="Open Sans" w:hAnsi="Open Sans"/>
          <w:b/>
          <w:bCs/>
          <w:i w:val="false"/>
          <w:iCs w:val="false"/>
          <w:color w:val="404040"/>
          <w:sz w:val="21"/>
          <w:szCs w:val="21"/>
        </w:rPr>
        <w:t xml:space="preserve">Data and Identity: Position in the Programme</w:t>
      </w:r>
    </w:p>
    <w:p>
      <w:pPr>
        <w:spacing w:after="120" w:before="0"/>
      </w:pPr>
      <w:r>
        <w:rPr>
          <w:rFonts w:ascii="Open Sans" w:cs="Open Sans" w:eastAsia="Open Sans" w:hAnsi="Open Sans"/>
          <w:b w:val="false"/>
          <w:bCs w:val="false"/>
          <w:i w:val="false"/>
          <w:iCs w:val="false"/>
          <w:color w:val="000000"/>
          <w:sz w:val="20"/>
          <w:szCs w:val="20"/>
        </w:rPr>
        <w:t xml:space="preserve">This module completes the programme's data-and-identity pairing: Windows Server and Directory Services owns who you are, and this module owns what data you may touch. Authenticated identity is assumed from the directory module; this module governs the reach of that identity over data through classification, access control and encryption. Modelling and querying are taught only to the applied-use level a security practitioner needs; the standalone data-modelling instruction carried by the institution-wide common is not part of this module, and the two are not interchangeable for validation purposes.</w:t>
      </w:r>
    </w:p>
    <w:p>
      <w:pPr>
        <w:spacing w:after="140" w:before="240"/>
      </w:pPr>
      <w:r>
        <w:rPr>
          <w:rFonts w:ascii="Open Sans" w:cs="Open Sans" w:eastAsia="Open Sans" w:hAnsi="Open Sans"/>
          <w:b/>
          <w:bCs/>
          <w:i w:val="false"/>
          <w:iCs w:val="false"/>
          <w:color w:val="404040"/>
          <w:sz w:val="24"/>
          <w:szCs w:val="24"/>
        </w:rPr>
        <w:t xml:space="preserve">3. Learning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9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Level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Model and query data for applied tasks.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 data-security controls - classification, access, encryption at rest.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LO3</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Explain privacy and regulatory obligations for data handling.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Understand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LO4</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Analyse a data holding for security and privacy risk and design proportionate controls.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Analyse / Design</w:t>
            </w:r>
          </w:p>
        </w:tc>
      </w:tr>
    </w:tbl>
    <w:p>
      <w:pPr>
        <w:spacing w:after="140" w:before="240"/>
      </w:pPr>
      <w:r>
        <w:rPr>
          <w:rFonts w:ascii="Open Sans" w:cs="Open Sans" w:eastAsia="Open Sans" w:hAnsi="Open Sans"/>
          <w:b/>
          <w:bCs/>
          <w:i w:val="false"/>
          <w:iCs w:val="false"/>
          <w:color w:val="404040"/>
          <w:sz w:val="24"/>
          <w:szCs w:val="24"/>
        </w:rPr>
        <w:t xml:space="preserve">4. Curriculum and Delivery</w:t>
      </w:r>
    </w:p>
    <w:p>
      <w:pPr>
        <w:spacing w:after="120" w:before="180"/>
      </w:pPr>
      <w:r>
        <w:rPr>
          <w:rFonts w:ascii="Open Sans" w:cs="Open Sans" w:eastAsia="Open Sans" w:hAnsi="Open Sans"/>
          <w:b/>
          <w:bCs/>
          <w:i w:val="false"/>
          <w:iCs w:val="false"/>
          <w:color w:val="404040"/>
          <w:sz w:val="21"/>
          <w:szCs w:val="21"/>
        </w:rPr>
        <w:t xml:space="preserve">Indicative Syllabus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238"/>
        <w:gridCol w:w="1600"/>
      </w:tblGrid>
      <w:tr>
        <w:trPr>
          <w:tblHeader/>
        </w:trPr>
        <w:tc>
          <w:tcPr>
            <w:tcW w:type="dxa" w:w="8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72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U1</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Data modelling for applied use: the relational model at working depth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U2</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Database use and querying: applied SQL continued</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U3</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Data classification and data-level access control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U4</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Encryption at rest</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U5</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Backup and recovery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U6</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Privacy and regulatory awareness for data handling</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U7</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Data protection in practice: assessing a holding and designing controls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w:t>
            </w:r>
          </w:p>
        </w:tc>
      </w:tr>
      <w:tr>
        <w:tc>
          <w:tcPr>
            <w:tcW w:type="dxa" w:w="8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
            </w:r>
          </w:p>
        </w:tc>
        <w:tc>
          <w:tcPr>
            <w:tcW w:type="dxa" w:w="72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 lecture hours</w:t>
            </w:r>
          </w:p>
        </w:tc>
        <w:tc>
          <w:tcPr>
            <w:tcW w:type="dxa" w:w="1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48</w:t>
            </w:r>
          </w:p>
        </w:tc>
      </w:tr>
    </w:tbl>
    <w:p>
      <w:pPr>
        <w:spacing w:after="60" w:before="0"/>
      </w:pPr>
      <w:r>
        <w:rPr>
          <w:rFonts w:ascii="Open Sans" w:cs="Open Sans" w:eastAsia="Open Sans" w:hAnsi="Open Sans"/>
          <w:b w:val="false"/>
          <w:bCs w:val="false"/>
          <w:i w:val="false"/>
          <w:iCs w:val="false"/>
          <w:color w:val="000000"/>
          <w:sz w:val="20"/>
          <w:szCs w:val="20"/>
        </w:rPr>
        <w:t xml:space="preserve"/>
      </w:r>
    </w:p>
    <w:p>
      <w:pPr>
        <w:spacing w:after="120" w:before="0"/>
      </w:pPr>
      <w:r>
        <w:rPr>
          <w:rFonts w:ascii="Open Sans" w:cs="Open Sans" w:eastAsia="Open Sans" w:hAnsi="Open Sans"/>
          <w:b w:val="false"/>
          <w:bCs w:val="false"/>
          <w:i w:val="false"/>
          <w:iCs w:val="false"/>
          <w:color w:val="000000"/>
          <w:sz w:val="20"/>
          <w:szCs w:val="20"/>
        </w:rPr>
        <w:t xml:space="preserve">The 48 lecture hours are delivered as 16 three-hour sessions per the School's session pattern; U2 through U5 run laboratory-integrated against supplied datasets, and the practicals component carries the applied data-security time. The modelling and querying units are held at applied-use level by design: they are taught to the working depth a security practitioner needs, not as standalone data-modelling instruction.</w:t>
      </w:r>
    </w:p>
    <w:p>
      <w:pPr>
        <w:spacing w:after="120" w:before="180"/>
      </w:pPr>
      <w:r>
        <w:rPr>
          <w:rFonts w:ascii="Open Sans" w:cs="Open Sans" w:eastAsia="Open Sans" w:hAnsi="Open Sans"/>
          <w:b/>
          <w:bCs/>
          <w:i w:val="false"/>
          <w:iCs w:val="false"/>
          <w:color w:val="404040"/>
          <w:sz w:val="21"/>
          <w:szCs w:val="21"/>
        </w:rPr>
        <w:t xml:space="preserve">Teaching and Learning Hours (SLQF)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tblHeader/>
        </w:trPr>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Lectures (fixed)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48</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Tutorials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12</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Practicals / Laboratory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24</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In-class assignments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Demonstration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Self-guided study</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54</w:t>
            </w:r>
          </w:p>
        </w:tc>
      </w:tr>
      <w:tr>
        <w:tc>
          <w:tcPr>
            <w:tcW w:type="dxa" w:w="70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w:t>
            </w:r>
          </w:p>
        </w:tc>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150</w:t>
            </w:r>
          </w:p>
        </w:tc>
      </w:tr>
    </w:tbl>
    <w:p>
      <w:pPr>
        <w:spacing w:after="140" w:before="240"/>
      </w:pPr>
      <w:r>
        <w:rPr>
          <w:rFonts w:ascii="Open Sans" w:cs="Open Sans" w:eastAsia="Open Sans" w:hAnsi="Open Sans"/>
          <w:b/>
          <w:bCs/>
          <w:i w:val="false"/>
          <w:iCs w:val="false"/>
          <w:color w:val="404040"/>
          <w:sz w:val="24"/>
          <w:szCs w:val="24"/>
        </w:rPr>
        <w:t xml:space="preserve">5. Assessment</w:t>
      </w:r>
    </w:p>
    <w:p>
      <w:pPr>
        <w:spacing w:after="120" w:before="0"/>
      </w:pPr>
      <w:r>
        <w:rPr>
          <w:rFonts w:ascii="Open Sans" w:cs="Open Sans" w:eastAsia="Open Sans" w:hAnsi="Open Sans"/>
          <w:b w:val="false"/>
          <w:bCs w:val="false"/>
          <w:i w:val="false"/>
          <w:iCs w:val="false"/>
          <w:color w:val="000000"/>
          <w:sz w:val="20"/>
          <w:szCs w:val="20"/>
        </w:rPr>
        <w:t xml:space="preserve">The examination is carried for breadth across data use, the security controls and the privacy and regulatory strand. The analytical requirement at this level is carried by LO4 and assessed through the data-protection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38"/>
        <w:gridCol w:w="2300"/>
        <w:gridCol w:w="1100"/>
        <w:gridCol w:w="900"/>
      </w:tblGrid>
      <w:tr>
        <w:trPr>
          <w:tblHeader/>
        </w:trPr>
        <w:tc>
          <w:tcPr>
            <w:tcW w:type="dxa" w:w="15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8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ILOs</w:t>
            </w:r>
          </w:p>
        </w:tc>
        <w:tc>
          <w:tcPr>
            <w:tcW w:type="dxa" w:w="9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Timed applied tasks at the workstation: data queried, classification and access controls applied, encryption at rest configured against a supplied dataset, with a maintained evidence log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in-class; graded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30%</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Data-protection case: a supplied data holding assessed for security and privacy risk, with a designed set of proportionate controls and a justification referencing the regulatory obligations</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graded; Viva/Presentation: Viva-defence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 LO4</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Examination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Written examination: applied data modelling and querying, data-security controls, privacy and regulatory obligations; 2 hours, closed resources, invigilated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Graded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35%</w:t>
            </w:r>
          </w:p>
        </w:tc>
      </w:tr>
    </w:tbl>
    <w:p>
      <w:pPr>
        <w:spacing w:after="120" w:before="120"/>
      </w:pPr>
      <w:r>
        <w:rPr>
          <w:rFonts w:ascii="Open Sans" w:cs="Open Sans" w:eastAsia="Open Sans" w:hAnsi="Open Sans"/>
          <w:b w:val="false"/>
          <w:bCs w:val="false"/>
          <w:i w:val="false"/>
          <w:iCs w:val="false"/>
          <w:color w:val="000000"/>
          <w:sz w:val="20"/>
          <w:szCs w:val="20"/>
        </w:rPr>
        <w:t xml:space="preserve">Weightings are confirmed at specification sign-off. Reassessment is by the failed component only, with an equivalent task, per School regulations. All assessment falls under the academic integrity policy, including its provisions on generative AI; the module-level position on AI use is set at teaching-plan stage.</w:t>
      </w:r>
    </w:p>
    <w:p>
      <w:pPr>
        <w:spacing w:after="140" w:before="240"/>
      </w:pPr>
      <w:r>
        <w:rPr>
          <w:rFonts w:ascii="Open Sans" w:cs="Open Sans" w:eastAsia="Open Sans" w:hAnsi="Open Sans"/>
          <w:b/>
          <w:bCs/>
          <w:i w:val="false"/>
          <w:iCs w:val="false"/>
          <w:color w:val="404040"/>
          <w:sz w:val="24"/>
          <w:szCs w:val="24"/>
        </w:rPr>
        <w:t xml:space="preserve">6. Resources, Staff and Governance</w:t>
      </w:r>
    </w:p>
    <w:p>
      <w:pPr>
        <w:spacing w:after="120" w:before="180"/>
      </w:pPr>
      <w:r>
        <w:rPr>
          <w:rFonts w:ascii="Open Sans" w:cs="Open Sans" w:eastAsia="Open Sans" w:hAnsi="Open Sans"/>
          <w:b/>
          <w:bCs/>
          <w:i w:val="false"/>
          <w:iCs w:val="false"/>
          <w:color w:val="404040"/>
          <w:sz w:val="21"/>
          <w:szCs w:val="21"/>
        </w:rPr>
        <w:t xml:space="preserve">Indicative Reading</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Hoffer, J. A., Ramesh, V. and Topi, H., Modern Database Management (Pearson) - selected chapters only, for the applied-use modelling and querying strand; not read as a full data-modelling course.</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Harrington, J. L., Relational Database Design and Implementation (Morgan Kaufmann) - applied-use support.</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ISO/IEC 27001 and 27002 guidance materials - named reference for the classification and controls strand.</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Voigt, P. and von dem Bussche, A., The EU General Data Protection Regulation (GDPR): A Practical Guide (Springer) - the privacy and regulatory strand, read alongside applicable local data-protection law confirmed at teaching-plan stage.</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School-produced dataset and laboratory guides (environment-specific), confirmed at teaching-plan stage.</w:t>
      </w:r>
    </w:p>
    <w:p>
      <w:pPr>
        <w:spacing w:after="120" w:before="180"/>
      </w:pPr>
      <w:r>
        <w:rPr>
          <w:rFonts w:ascii="Open Sans" w:cs="Open Sans" w:eastAsia="Open Sans" w:hAnsi="Open Sans"/>
          <w:b/>
          <w:bCs/>
          <w:i w:val="false"/>
          <w:iCs w:val="false"/>
          <w:color w:val="404040"/>
          <w:sz w:val="21"/>
          <w:szCs w:val="21"/>
        </w:rPr>
        <w:t xml:space="preserve">Staffing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3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2</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External module auditor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a data-management domain with a data-security emphasis; generic delivery is non-compliant with the School's staffing governance.</w:t>
      </w:r>
    </w:p>
    <w:p>
      <w:pPr>
        <w:spacing w:after="120" w:before="180"/>
      </w:pPr>
      <w:r>
        <w:rPr>
          <w:rFonts w:ascii="Open Sans" w:cs="Open Sans" w:eastAsia="Open Sans" w:hAnsi="Open Sans"/>
          <w:b/>
          <w:bCs/>
          <w:i w:val="false"/>
          <w:iCs w:val="false"/>
          <w:color w:val="404040"/>
          <w:sz w:val="21"/>
          <w:szCs w:val="21"/>
        </w:rPr>
        <w:t xml:space="preserve">Version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Version</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Status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20 Jul 2026</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Draft for Review</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2026-07-20T15:22:45.929Z</dcterms:created>
  <dcterms:modified xsi:type="dcterms:W3CDTF">2026-07-20T15:22:45.929Z</dcterms:modified>
</cp:coreProperties>
</file>

<file path=docProps/custom.xml><?xml version="1.0" encoding="utf-8"?>
<Properties xmlns="http://schemas.openxmlformats.org/officeDocument/2006/custom-properties" xmlns:vt="http://schemas.openxmlformats.org/officeDocument/2006/docPropsVTypes"/>
</file>