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Xa3f156937c94a010b79a0ba61c104afc7829f3e"/>
    <w:p>
      <w:pPr>
        <w:pStyle w:val="Heading1"/>
        <w:spacing w:line="480" w:lineRule="exact" w:after="0"/>
      </w:pPr>
      <w:r>
        <w:rPr>
          <w:rFonts w:ascii="Times New Roman" w:hAnsi="Times New Roman"/>
          <w:sz w:val="24"/>
        </w:rPr>
        <w:t xml:space="preserve">Sustainability Models in Practice: Singapore Green Plan 2030</w:t>
      </w:r>
    </w:p>
    <w:p>
      <w:pPr>
        <w:pStyle w:val="FirstParagraph"/>
        <w:spacing w:line="480" w:lineRule="exact" w:after="0"/>
      </w:pPr>
      <w:r>
        <w:rPr>
          <w:rFonts w:ascii="Times New Roman" w:hAnsi="Times New Roman"/>
          <w:b/>
          <w:bCs/>
          <w:sz w:val="24"/>
        </w:rPr>
        <w:t xml:space="preserve">Student</w:t>
      </w:r>
      <w:r>
        <w:rPr>
          <w:rFonts w:ascii="Times New Roman" w:hAnsi="Times New Roman"/>
          <w:sz w:val="24"/>
        </w:rPr>
        <w:t xml:space="preserve">: Nicanor Kyamba</w:t>
      </w:r>
      <w:r>
        <w:rPr>
          <w:rFonts w:ascii="Times New Roman" w:hAnsi="Times New Roman"/>
          <w:sz w:val="24"/>
        </w:rPr>
        <w:t xml:space="preserve"> </w:t>
      </w:r>
      <w:r>
        <w:rPr>
          <w:rFonts w:ascii="Times New Roman" w:hAnsi="Times New Roman"/>
          <w:b/>
          <w:bCs/>
          <w:sz w:val="24"/>
        </w:rPr>
        <w:t xml:space="preserve">Course</w:t>
      </w:r>
      <w:r>
        <w:rPr>
          <w:rFonts w:ascii="Times New Roman" w:hAnsi="Times New Roman"/>
          <w:sz w:val="24"/>
        </w:rPr>
        <w:t xml:space="preserve">: ECON 1580 — Applied Economics: Theory and Practice</w:t>
      </w:r>
      <w:r>
        <w:rPr>
          <w:rFonts w:ascii="Times New Roman" w:hAnsi="Times New Roman"/>
          <w:sz w:val="24"/>
        </w:rPr>
        <w:t xml:space="preserve"> </w:t>
      </w:r>
      <w:r>
        <w:rPr>
          <w:rFonts w:ascii="Times New Roman" w:hAnsi="Times New Roman"/>
          <w:b/>
          <w:bCs/>
          <w:sz w:val="24"/>
        </w:rPr>
        <w:t xml:space="preserve">Unit</w:t>
      </w:r>
      <w:r>
        <w:rPr>
          <w:rFonts w:ascii="Times New Roman" w:hAnsi="Times New Roman"/>
          <w:sz w:val="24"/>
        </w:rPr>
        <w:t xml:space="preserve">: 4 — Environmental Policies and Sustainability</w:t>
      </w:r>
    </w:p>
    <w:p>
      <w:pPr>
        <w:spacing w:line="480" w:lineRule="exact" w:after="0"/>
      </w:pPr>
      <w:r>
        <w:rPr>
          <w:rFonts w:ascii="Times New Roman" w:hAnsi="Times New Roman"/>
          <w:sz w:val="24"/>
        </w:rPr>
        <w:pict>
          <v:rect style="width:0;height:1.5pt" o:hralign="center" o:hrstd="t" o:hr="t"/>
        </w:pict>
      </w:r>
    </w:p>
    <w:bookmarkStart w:id="9" w:name="introduction"/>
    <w:p>
      <w:pPr>
        <w:pStyle w:val="Heading2"/>
        <w:spacing w:line="480" w:lineRule="exact" w:after="0"/>
      </w:pPr>
      <w:r>
        <w:rPr>
          <w:rFonts w:ascii="Times New Roman" w:hAnsi="Times New Roman"/>
          <w:sz w:val="24"/>
        </w:rPr>
        <w:t xml:space="preserve">Introduction</w:t>
      </w:r>
    </w:p>
    <w:p>
      <w:pPr>
        <w:pStyle w:val="FirstParagraph"/>
        <w:spacing w:line="480" w:lineRule="exact" w:after="0"/>
      </w:pPr>
      <w:r>
        <w:rPr>
          <w:rFonts w:ascii="Times New Roman" w:hAnsi="Times New Roman"/>
          <w:sz w:val="24"/>
        </w:rPr>
        <w:t xml:space="preserve">Singapore’s Green Plan 2030 is one of the most comprehensive national sustainability frameworks in Asia. Launched in 2021 and updated in 2024, it represents a whole-of-government commitment to achieving net-zero emissions by 2050 while maintaining Singapore’s status as one of the world’s most competitive business environments. This paper examines the Green Plan’s core ideas, its real-world application, and how it balances economic growth with environmental protection.</w:t>
      </w:r>
    </w:p>
    <w:p>
      <w:pPr>
        <w:spacing w:line="480" w:lineRule="exact" w:after="0"/>
      </w:pPr>
      <w:r>
        <w:rPr>
          <w:rFonts w:ascii="Times New Roman" w:hAnsi="Times New Roman"/>
          <w:sz w:val="24"/>
        </w:rPr>
        <w:pict>
          <v:rect style="width:0;height:1.5pt" o:hralign="center" o:hrstd="t" o:hr="t"/>
        </w:pict>
      </w:r>
    </w:p>
    <w:bookmarkEnd w:id="9"/>
    <w:bookmarkStart w:id="10" w:name="Xc2e4743f1c5e9f232d7fe47e83ae747ca41b59c"/>
    <w:p>
      <w:pPr>
        <w:pStyle w:val="Heading2"/>
        <w:spacing w:line="480" w:lineRule="exact" w:after="0"/>
      </w:pPr>
      <w:r>
        <w:rPr>
          <w:rFonts w:ascii="Times New Roman" w:hAnsi="Times New Roman"/>
          <w:sz w:val="24"/>
        </w:rPr>
        <w:t xml:space="preserve">Question 1: Main Ideas and Market Failure Reduction</w:t>
      </w:r>
    </w:p>
    <w:p>
      <w:pPr>
        <w:pStyle w:val="FirstParagraph"/>
        <w:spacing w:line="480" w:lineRule="exact" w:after="0"/>
      </w:pPr>
      <w:r>
        <w:rPr>
          <w:rFonts w:ascii="Times New Roman" w:hAnsi="Times New Roman"/>
          <w:sz w:val="24"/>
        </w:rPr>
        <w:t xml:space="preserve">The Singapore Green Plan 2030 is organized around five pillars: City in Nature, Sustainable Living, Energy Reset, Green Economy, and Resilient Future (Ministry of Sustainability and the Environment, 2024). Together, these pillars address the two primary market failures that environmental economics identifies as the root causes of environmental degradation: negative externalities and public goods problems.</w:t>
      </w:r>
    </w:p>
    <w:p>
      <w:pPr>
        <w:pStyle w:val="BodyText"/>
        <w:spacing w:line="480" w:lineRule="exact" w:after="0"/>
      </w:pPr>
      <w:r>
        <w:rPr>
          <w:rFonts w:ascii="Times New Roman" w:hAnsi="Times New Roman"/>
          <w:b/>
          <w:bCs/>
          <w:sz w:val="24"/>
        </w:rPr>
        <w:t xml:space="preserve">Addressing negative externalities</w:t>
      </w:r>
      <w:r>
        <w:rPr>
          <w:rFonts w:ascii="Times New Roman" w:hAnsi="Times New Roman"/>
          <w:sz w:val="24"/>
        </w:rPr>
        <w:t xml:space="preserve">: Carbon emissions are a classic negative externality — firms and consumers impose costs on society through pollution without bearing those costs themselves. The Green Plan addresses this through Singapore’s carbon tax, raised to S$25 per tonne of CO₂ in 2024, with planned increases to S$50–80 per tonne by 2030. By pricing carbon, the policy forces emitters to internalize the social cost of their emissions. Greenlaw et al. (2022) explain that when negative externalities exist, markets overproduce the harmful activity — a carbon tax corrects this by aligning private and social costs (Section 12.4).</w:t>
      </w:r>
    </w:p>
    <w:p>
      <w:pPr>
        <w:pStyle w:val="BodyText"/>
        <w:spacing w:line="480" w:lineRule="exact" w:after="0"/>
      </w:pPr>
      <w:r>
        <w:rPr>
          <w:rFonts w:ascii="Times New Roman" w:hAnsi="Times New Roman"/>
          <w:b/>
          <w:bCs/>
          <w:sz w:val="24"/>
        </w:rPr>
        <w:t xml:space="preserve">Addressing public goods problems</w:t>
      </w:r>
      <w:r>
        <w:rPr>
          <w:rFonts w:ascii="Times New Roman" w:hAnsi="Times New Roman"/>
          <w:sz w:val="24"/>
        </w:rPr>
        <w:t xml:space="preserve">: Clean air, biodiversity, and climate stability are public goods — non-excludable and non-rival. Private markets underprovide them because firms cannot charge for the benefits they generate. The Green Plan’s City in Nature pillar commits to increasing green spaces and planting one million trees. These are investments in public goods that the private market would not make at the socially optimal level. The free rider problem is addressed through government funding and mandatory participation requirements (Greenlaw et al., 2022, Section 13.3).</w:t>
      </w:r>
    </w:p>
    <w:p>
      <w:pPr>
        <w:pStyle w:val="BodyText"/>
        <w:spacing w:line="480" w:lineRule="exact" w:after="0"/>
      </w:pPr>
      <w:r>
        <w:rPr>
          <w:rFonts w:ascii="Times New Roman" w:hAnsi="Times New Roman"/>
          <w:b/>
          <w:bCs/>
          <w:sz w:val="24"/>
        </w:rPr>
        <w:t xml:space="preserve">Addressing the tragedy of the commons</w:t>
      </w:r>
      <w:r>
        <w:rPr>
          <w:rFonts w:ascii="Times New Roman" w:hAnsi="Times New Roman"/>
          <w:sz w:val="24"/>
        </w:rPr>
        <w:t xml:space="preserve">: Singapore’s water and energy resources are finite shared goods. The Green Plan’s Sustainable Living pillar sets targets to reduce household energy and water consumption, using public education, pricing signals, and building standards to prevent the overuse that characterizes the tragedy of the commons.</w:t>
      </w:r>
    </w:p>
    <w:p>
      <w:pPr>
        <w:spacing w:line="480" w:lineRule="exact" w:after="0"/>
      </w:pPr>
      <w:r>
        <w:rPr>
          <w:rFonts w:ascii="Times New Roman" w:hAnsi="Times New Roman"/>
          <w:sz w:val="24"/>
        </w:rPr>
        <w:pict>
          <v:rect style="width:0;height:1.5pt" o:hralign="center" o:hrstd="t" o:hr="t"/>
        </w:pict>
      </w:r>
    </w:p>
    <w:bookmarkEnd w:id="10"/>
    <w:bookmarkStart w:id="11" w:name="question-2-real-world-application"/>
    <w:p>
      <w:pPr>
        <w:pStyle w:val="Heading2"/>
        <w:spacing w:line="480" w:lineRule="exact" w:after="0"/>
      </w:pPr>
      <w:r>
        <w:rPr>
          <w:rFonts w:ascii="Times New Roman" w:hAnsi="Times New Roman"/>
          <w:sz w:val="24"/>
        </w:rPr>
        <w:t xml:space="preserve">Question 2: Real-World Application</w:t>
      </w:r>
    </w:p>
    <w:p>
      <w:pPr>
        <w:pStyle w:val="FirstParagraph"/>
        <w:spacing w:line="480" w:lineRule="exact" w:after="0"/>
      </w:pPr>
      <w:r>
        <w:rPr>
          <w:rFonts w:ascii="Times New Roman" w:hAnsi="Times New Roman"/>
          <w:sz w:val="24"/>
        </w:rPr>
        <w:t xml:space="preserve">The most concrete real-world application of the Singapore Green Plan is the</w:t>
      </w:r>
      <w:r>
        <w:rPr>
          <w:rFonts w:ascii="Times New Roman" w:hAnsi="Times New Roman"/>
          <w:sz w:val="24"/>
        </w:rPr>
        <w:t xml:space="preserve"> </w:t>
      </w:r>
      <w:r>
        <w:rPr>
          <w:rFonts w:ascii="Times New Roman" w:hAnsi="Times New Roman"/>
          <w:b/>
          <w:bCs/>
          <w:sz w:val="24"/>
        </w:rPr>
        <w:t xml:space="preserve">Green Mark certification scheme</w:t>
      </w:r>
      <w:r>
        <w:rPr>
          <w:rFonts w:ascii="Times New Roman" w:hAnsi="Times New Roman"/>
          <w:sz w:val="24"/>
        </w:rPr>
        <w:t xml:space="preserve"> </w:t>
      </w:r>
      <w:r>
        <w:rPr>
          <w:rFonts w:ascii="Times New Roman" w:hAnsi="Times New Roman"/>
          <w:sz w:val="24"/>
        </w:rPr>
        <w:t xml:space="preserve">for buildings, administered by the Building and Construction Authority (BCA). Singapore’s built environment accounts for approximately 20% of the country’s total carbon emissions, making building energy efficiency a critical lever for achieving the Green Plan’s targets.</w:t>
      </w:r>
    </w:p>
    <w:p>
      <w:pPr>
        <w:pStyle w:val="BodyText"/>
        <w:spacing w:line="480" w:lineRule="exact" w:after="0"/>
      </w:pPr>
      <w:r>
        <w:rPr>
          <w:rFonts w:ascii="Times New Roman" w:hAnsi="Times New Roman"/>
          <w:sz w:val="24"/>
        </w:rPr>
        <w:t xml:space="preserve">Under the Green Mark scheme, all new buildings and major retrofits must meet minimum energy efficiency standards, with higher-tier certifications available for buildings that exceed the baseline. The government provides grants of up to S$3 million for Super Low Energy buildings. By 2030, the Green Plan targets 80% of all buildings in Singapore to be Green Mark certified (Ministry of Sustainability and the Environment, 2024).</w:t>
      </w:r>
    </w:p>
    <w:p>
      <w:pPr>
        <w:pStyle w:val="BodyText"/>
        <w:spacing w:line="480" w:lineRule="exact" w:after="0"/>
      </w:pPr>
      <w:r>
        <w:rPr>
          <w:rFonts w:ascii="Times New Roman" w:hAnsi="Times New Roman"/>
          <w:sz w:val="24"/>
        </w:rPr>
        <w:t xml:space="preserve">This initiative reflects the three-pronged government approach to encouraging innovation that Greenlaw et al. (2022) describe: mandatory standards, financial incentives, and collaborative research between the BCA, universities, and private developers (Section 13.2). The scheme has driven significant private sector investment in green building technology, creating a domestic industry that now exports expertise to other Asian markets.</w:t>
      </w:r>
    </w:p>
    <w:p>
      <w:pPr>
        <w:pStyle w:val="BodyText"/>
        <w:spacing w:line="480" w:lineRule="exact" w:after="0"/>
      </w:pPr>
      <w:r>
        <w:rPr>
          <w:rFonts w:ascii="Times New Roman" w:hAnsi="Times New Roman"/>
          <w:sz w:val="24"/>
        </w:rPr>
        <w:t xml:space="preserve">A corporate example is CapitaLand, one of Asia’s largest real estate companies, which has committed to achieving net-zero carbon emissions by 2050 across its entire portfolio, directly aligned with the Green Plan’s targets. CapitaLand has retrofitted existing buildings with solar panels, smart energy management systems, and green roofs, demonstrating how government policy frameworks can catalyze private sector sustainability commitments (Hutajulu et al., 2024).</w:t>
      </w:r>
    </w:p>
    <w:p>
      <w:pPr>
        <w:spacing w:line="480" w:lineRule="exact" w:after="0"/>
      </w:pPr>
      <w:r>
        <w:rPr>
          <w:rFonts w:ascii="Times New Roman" w:hAnsi="Times New Roman"/>
          <w:sz w:val="24"/>
        </w:rPr>
        <w:pict>
          <v:rect style="width:0;height:1.5pt" o:hralign="center" o:hrstd="t" o:hr="t"/>
        </w:pict>
      </w:r>
    </w:p>
    <w:bookmarkEnd w:id="11"/>
    <w:bookmarkStart w:id="12" w:name="Xf0320f2af02e4d15003a0f5349a5b458093f634"/>
    <w:p>
      <w:pPr>
        <w:pStyle w:val="Heading2"/>
        <w:spacing w:line="480" w:lineRule="exact" w:after="0"/>
      </w:pPr>
      <w:r>
        <w:rPr>
          <w:rFonts w:ascii="Times New Roman" w:hAnsi="Times New Roman"/>
          <w:sz w:val="24"/>
        </w:rPr>
        <w:t xml:space="preserve">Question 3: Balancing Economic Growth and Environmental Protection</w:t>
      </w:r>
    </w:p>
    <w:p>
      <w:pPr>
        <w:pStyle w:val="FirstParagraph"/>
        <w:spacing w:line="480" w:lineRule="exact" w:after="0"/>
      </w:pPr>
      <w:r>
        <w:rPr>
          <w:rFonts w:ascii="Times New Roman" w:hAnsi="Times New Roman"/>
          <w:sz w:val="24"/>
        </w:rPr>
        <w:t xml:space="preserve">The Singapore Green Plan explicitly frames environmental sustainability as an economic opportunity rather than a constraint. This reflects the green growth paradigm that Hutajulu et al. (2024) identify as the dominant approach in contemporary sustainability policy — the argument that environmental protection and economic growth are complementary rather than competing goals.</w:t>
      </w:r>
    </w:p>
    <w:p>
      <w:pPr>
        <w:pStyle w:val="BodyText"/>
        <w:spacing w:line="480" w:lineRule="exact" w:after="0"/>
      </w:pPr>
      <w:r>
        <w:rPr>
          <w:rFonts w:ascii="Times New Roman" w:hAnsi="Times New Roman"/>
          <w:b/>
          <w:bCs/>
          <w:sz w:val="24"/>
        </w:rPr>
        <w:t xml:space="preserve">Strategy 1 — Green economy development</w:t>
      </w:r>
      <w:r>
        <w:rPr>
          <w:rFonts w:ascii="Times New Roman" w:hAnsi="Times New Roman"/>
          <w:sz w:val="24"/>
        </w:rPr>
        <w:t xml:space="preserve">: The Green Economy pillar targets Singapore as a hub for green finance, sustainable trade, and clean technology. Singapore’s Monetary Authority has introduced a Green and Sustainability-Linked Loan Grant Scheme to reduce the cost of green financing for businesses. By positioning Singapore as a regional center for green finance, the government creates new economic activity while channeling capital toward sustainable investments. This addresses the market failure of underinvestment in innovation that Greenlaw et al. (2022) identify — private firms underinvest in clean technology because they cannot capture the full social benefit, so government subsidies and financing schemes correct this gap (Section 13.1).</w:t>
      </w:r>
    </w:p>
    <w:p>
      <w:pPr>
        <w:pStyle w:val="BodyText"/>
        <w:spacing w:line="480" w:lineRule="exact" w:after="0"/>
      </w:pPr>
      <w:r>
        <w:rPr>
          <w:rFonts w:ascii="Times New Roman" w:hAnsi="Times New Roman"/>
          <w:b/>
          <w:bCs/>
          <w:sz w:val="24"/>
        </w:rPr>
        <w:t xml:space="preserve">Strategy 2 — Just transition</w:t>
      </w:r>
      <w:r>
        <w:rPr>
          <w:rFonts w:ascii="Times New Roman" w:hAnsi="Times New Roman"/>
          <w:sz w:val="24"/>
        </w:rPr>
        <w:t xml:space="preserve">: The Green Plan acknowledges that the shift to a green economy creates winners and losers. Workers in carbon-intensive industries face displacement, and lower-income households face higher energy costs from carbon pricing. The plan includes workforce retraining programs and utility rebates to ensure an equitable transition. This reflects the trade-off that Adanma and Ogunbiyi (2024) identify as central to environmental policy design: achieving environmental goals while maintaining social equity and economic competitiveness.</w:t>
      </w:r>
    </w:p>
    <w:p>
      <w:pPr>
        <w:pStyle w:val="BodyText"/>
        <w:spacing w:line="480" w:lineRule="exact" w:after="0"/>
      </w:pPr>
      <w:r>
        <w:rPr>
          <w:rFonts w:ascii="Times New Roman" w:hAnsi="Times New Roman"/>
          <w:b/>
          <w:bCs/>
          <w:sz w:val="24"/>
        </w:rPr>
        <w:t xml:space="preserve">Strategy 3 — International positioning</w:t>
      </w:r>
      <w:r>
        <w:rPr>
          <w:rFonts w:ascii="Times New Roman" w:hAnsi="Times New Roman"/>
          <w:sz w:val="24"/>
        </w:rPr>
        <w:t xml:space="preserve">: Singapore’s small size means its domestic emissions are globally insignificant, but its influence as a financial and trade hub is substantial. By becoming a model of green urban development, Singapore attracts green investment and builds expertise in sustainability services. The trade-off is that ambitious environmental targets impose short-term costs on businesses — higher energy prices and compliance costs — that must be managed carefully to avoid undermining Singapore’s attractiveness as a business location.</w:t>
      </w:r>
    </w:p>
    <w:p>
      <w:pPr>
        <w:spacing w:line="480" w:lineRule="exact" w:after="0"/>
      </w:pPr>
      <w:r>
        <w:rPr>
          <w:rFonts w:ascii="Times New Roman" w:hAnsi="Times New Roman"/>
          <w:sz w:val="24"/>
        </w:rPr>
        <w:pict>
          <v:rect style="width:0;height:1.5pt" o:hralign="center" o:hrstd="t" o:hr="t"/>
        </w:pict>
      </w:r>
    </w:p>
    <w:bookmarkEnd w:id="12"/>
    <w:bookmarkStart w:id="13" w:name="conclusion"/>
    <w:p>
      <w:pPr>
        <w:pStyle w:val="Heading2"/>
        <w:spacing w:line="480" w:lineRule="exact" w:after="0"/>
      </w:pPr>
      <w:r>
        <w:rPr>
          <w:rFonts w:ascii="Times New Roman" w:hAnsi="Times New Roman"/>
          <w:sz w:val="24"/>
        </w:rPr>
        <w:t xml:space="preserve">Conclusion</w:t>
      </w:r>
    </w:p>
    <w:p>
      <w:pPr>
        <w:pStyle w:val="FirstParagraph"/>
        <w:spacing w:line="480" w:lineRule="exact" w:after="0"/>
      </w:pPr>
      <w:r>
        <w:rPr>
          <w:rFonts w:ascii="Times New Roman" w:hAnsi="Times New Roman"/>
          <w:sz w:val="24"/>
        </w:rPr>
        <w:t xml:space="preserve">The Singapore Green Plan 2030 demonstrates that a well-designed sustainability model can simultaneously address market failures, drive economic innovation, and maintain competitiveness. By combining carbon pricing, public investment in green infrastructure, mandatory building standards, and financial incentives for private sector innovation, Singapore treats environmental protection as an economic strategy rather than a burden. The key insight is that market failures — not environmental ambition — are the real constraint on sustainable development, and targeted policy interventions can correct those failures while creating new economic opportunities.</w:t>
      </w:r>
    </w:p>
    <w:p>
      <w:pPr>
        <w:spacing w:line="480" w:lineRule="exact" w:after="0"/>
      </w:pPr>
      <w:r>
        <w:rPr>
          <w:rFonts w:ascii="Times New Roman" w:hAnsi="Times New Roman"/>
          <w:sz w:val="24"/>
        </w:rPr>
        <w:pict>
          <v:rect style="width:0;height:1.5pt" o:hralign="center" o:hrstd="t" o:hr="t"/>
        </w:pict>
      </w:r>
    </w:p>
    <w:bookmarkEnd w:id="13"/>
    <w:bookmarkStart w:id="14" w:name="references"/>
    <w:p>
      <w:pPr>
        <w:pStyle w:val="Heading2"/>
        <w:spacing w:line="480" w:lineRule="exact" w:after="0"/>
      </w:pPr>
      <w:r>
        <w:rPr>
          <w:rFonts w:ascii="Times New Roman" w:hAnsi="Times New Roman"/>
          <w:sz w:val="24"/>
        </w:rPr>
        <w:t xml:space="preserve">References</w:t>
      </w:r>
    </w:p>
    <w:p>
      <w:pPr>
        <w:pStyle w:val="FirstParagraph"/>
        <w:spacing w:line="480" w:lineRule="exact" w:after="0"/>
      </w:pPr>
      <w:r>
        <w:rPr>
          <w:rFonts w:ascii="Times New Roman" w:hAnsi="Times New Roman"/>
          <w:sz w:val="24"/>
        </w:rPr>
        <w:t xml:space="preserve">Adanma, N. U. M., &amp; Ogunbiyi, N. E. O. (2024). A comparative review of global environmental policies for promoting sustainable development and economic growth.</w:t>
      </w:r>
      <w:r>
        <w:rPr>
          <w:rFonts w:ascii="Times New Roman" w:hAnsi="Times New Roman"/>
          <w:sz w:val="24"/>
        </w:rPr>
        <w:t xml:space="preserve"> </w:t>
      </w:r>
      <w:r>
        <w:rPr>
          <w:rFonts w:ascii="Times New Roman" w:hAnsi="Times New Roman"/>
          <w:i/>
          <w:iCs/>
          <w:sz w:val="24"/>
        </w:rPr>
        <w:t xml:space="preserve">International Journal of Applied Research in Social Sciences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6</w:t>
      </w:r>
      <w:r>
        <w:rPr>
          <w:rFonts w:ascii="Times New Roman" w:hAnsi="Times New Roman"/>
          <w:sz w:val="24"/>
        </w:rPr>
        <w:t xml:space="preserve">(5), 954–977. https://doi.org/10.51594/ijarss.v6i5.1147</w:t>
      </w:r>
    </w:p>
    <w:p>
      <w:pPr>
        <w:pStyle w:val="BodyText"/>
        <w:spacing w:line="480" w:lineRule="exact" w:after="0"/>
      </w:pPr>
      <w:r>
        <w:rPr>
          <w:rFonts w:ascii="Times New Roman" w:hAnsi="Times New Roman"/>
          <w:sz w:val="24"/>
        </w:rPr>
        <w:t xml:space="preserve">Greenlaw, S., Shapiro, D., &amp; MacDonald, D. (2022).</w:t>
      </w:r>
      <w:r>
        <w:rPr>
          <w:rFonts w:ascii="Times New Roman" w:hAnsi="Times New Roman"/>
          <w:sz w:val="24"/>
        </w:rPr>
        <w:t xml:space="preserve"> </w:t>
      </w:r>
      <w:r>
        <w:rPr>
          <w:rFonts w:ascii="Times New Roman" w:hAnsi="Times New Roman"/>
          <w:i/>
          <w:iCs/>
          <w:sz w:val="24"/>
        </w:rPr>
        <w:t xml:space="preserve">Principles of economics</w:t>
      </w:r>
      <w:r>
        <w:rPr>
          <w:rFonts w:ascii="Times New Roman" w:hAnsi="Times New Roman"/>
          <w:sz w:val="24"/>
        </w:rPr>
        <w:t xml:space="preserve"> </w:t>
      </w:r>
      <w:r>
        <w:rPr>
          <w:rFonts w:ascii="Times New Roman" w:hAnsi="Times New Roman"/>
          <w:sz w:val="24"/>
        </w:rPr>
        <w:t xml:space="preserve">(3rd ed.). OpenStax. https://openstax.org/books/principles-economics-3e/pages/1-introduction</w:t>
      </w:r>
    </w:p>
    <w:p>
      <w:pPr>
        <w:pStyle w:val="BodyText"/>
        <w:spacing w:line="480" w:lineRule="exact" w:after="0"/>
      </w:pPr>
      <w:r>
        <w:rPr>
          <w:rFonts w:ascii="Times New Roman" w:hAnsi="Times New Roman"/>
          <w:sz w:val="24"/>
        </w:rPr>
        <w:t xml:space="preserve">Hutajulu, H., Tahir, U., Utami, E. Y., Harsono, I., &amp; Yuniarti, T. (2024). Green growth strategy and environmental policy integration in sustainable economic development.</w:t>
      </w:r>
      <w:r>
        <w:rPr>
          <w:rFonts w:ascii="Times New Roman" w:hAnsi="Times New Roman"/>
          <w:sz w:val="24"/>
        </w:rPr>
        <w:t xml:space="preserve"> </w:t>
      </w:r>
      <w:r>
        <w:rPr>
          <w:rFonts w:ascii="Times New Roman" w:hAnsi="Times New Roman"/>
          <w:i/>
          <w:iCs/>
          <w:sz w:val="24"/>
        </w:rPr>
        <w:t xml:space="preserve">West Science Social and Humanities Studies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w:t>
      </w:r>
      <w:r>
        <w:rPr>
          <w:rFonts w:ascii="Times New Roman" w:hAnsi="Times New Roman"/>
          <w:sz w:val="24"/>
        </w:rPr>
        <w:t xml:space="preserve">(03), 474–482. https://doi.org/10.58812/wsshs.v2i03.761</w:t>
      </w:r>
    </w:p>
    <w:p>
      <w:pPr>
        <w:pStyle w:val="BodyText"/>
        <w:spacing w:line="480" w:lineRule="exact" w:after="0"/>
      </w:pPr>
      <w:r>
        <w:rPr>
          <w:rFonts w:ascii="Times New Roman" w:hAnsi="Times New Roman"/>
          <w:sz w:val="24"/>
        </w:rPr>
        <w:t xml:space="preserve">Ministry of Sustainability and the Environment. (2024).</w:t>
      </w:r>
      <w:r>
        <w:rPr>
          <w:rFonts w:ascii="Times New Roman" w:hAnsi="Times New Roman"/>
          <w:sz w:val="24"/>
        </w:rPr>
        <w:t xml:space="preserve"> </w:t>
      </w:r>
      <w:r>
        <w:rPr>
          <w:rFonts w:ascii="Times New Roman" w:hAnsi="Times New Roman"/>
          <w:i/>
          <w:iCs/>
          <w:sz w:val="24"/>
        </w:rPr>
        <w:t xml:space="preserve">Singapore Green Plan 2030</w:t>
      </w:r>
      <w:r>
        <w:rPr>
          <w:rFonts w:ascii="Times New Roman" w:hAnsi="Times New Roman"/>
          <w:sz w:val="24"/>
        </w:rPr>
        <w:t xml:space="preserve"> </w:t>
      </w:r>
      <w:r>
        <w:rPr>
          <w:rFonts w:ascii="Times New Roman" w:hAnsi="Times New Roman"/>
          <w:sz w:val="24"/>
        </w:rPr>
        <w:t xml:space="preserve">(2024 update). https://www.greenplan.gov.sg</w:t>
      </w:r>
    </w:p>
    <w:bookmarkEnd w:id="14"/>
    <w:bookmarkEnd w:id="15"/>
    <w:sectPr>
      <w:footnotePr>
        <w:numRestart w:val="eachSect"/>
      </w:footnote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2026-05-02T04:20:05Z</dcterms:created>
  <dcterms:modified xsi:type="dcterms:W3CDTF">2026-05-02T04:20:05Z</dcterms:modified>
</cp:coreProperties>
</file>

<file path=docProps/custom.xml><?xml version="1.0" encoding="utf-8"?>
<Properties xmlns="http://schemas.openxmlformats.org/officeDocument/2006/custom-properties" xmlns:vt="http://schemas.openxmlformats.org/officeDocument/2006/docPropsVTypes"/>
</file>