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f53125e52998a57f156593f4459915a610a319"/>
    <w:p>
      <w:pPr>
        <w:pStyle w:val="Heading1"/>
        <w:spacing w:line="480" w:lineRule="auto"/>
      </w:pPr>
      <w:r>
        <w:rPr>
          <w:rFonts w:ascii="Times New Roman" w:hAnsi="Times New Roman"/>
          <w:sz w:val="24"/>
        </w:rPr>
        <w:t xml:space="preserve">ENGL1102 Unit 3 Written Assignment: Literature Review</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ENGL1102 English Composition 2</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3 - Advanced Review of Sources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480" w:lineRule="auto"/>
      </w:pPr>
      <w:r>
        <w:rPr>
          <w:rFonts w:ascii="Times New Roman" w:hAnsi="Times New Roman"/>
          <w:sz w:val="24"/>
        </w:rPr>
        <w:pict>
          <v:rect style="width:0;height:1.5pt" o:hralign="center" o:hrstd="t" o:hr="t"/>
        </w:pict>
      </w:r>
    </w:p>
    <w:bookmarkStart w:id="23" w:name="Xc5408d851e58f7aa159f36739124eb2cfdf2a3e"/>
    <w:p>
      <w:pPr>
        <w:pStyle w:val="Heading2"/>
        <w:spacing w:line="480" w:lineRule="auto"/>
      </w:pPr>
      <w:r>
        <w:rPr>
          <w:rFonts w:ascii="Times New Roman" w:hAnsi="Times New Roman"/>
          <w:sz w:val="24"/>
        </w:rPr>
        <w:t xml:space="preserve">Cybersecurity Investment: A Literature Review</w:t>
      </w:r>
    </w:p>
    <w:bookmarkStart w:id="20" w:name="source-summaries"/>
    <w:p>
      <w:pPr>
        <w:pStyle w:val="Heading3"/>
        <w:spacing w:line="480" w:lineRule="auto"/>
      </w:pPr>
      <w:r>
        <w:rPr>
          <w:rFonts w:ascii="Times New Roman" w:hAnsi="Times New Roman"/>
          <w:sz w:val="24"/>
        </w:rPr>
        <w:t xml:space="preserve">Source Summaries</w:t>
      </w:r>
    </w:p>
    <w:p>
      <w:pPr>
        <w:pStyle w:val="FirstParagraph"/>
        <w:spacing w:line="480" w:lineRule="auto"/>
      </w:pPr>
      <w:r>
        <w:rPr>
          <w:rFonts w:ascii="Times New Roman" w:hAnsi="Times New Roman"/>
          <w:b/>
          <w:bCs/>
          <w:sz w:val="24"/>
        </w:rPr>
        <w:t xml:space="preserve">Source 1: CISA Cybersecurity Best Practices</w:t>
      </w:r>
    </w:p>
    <w:p>
      <w:pPr>
        <w:pStyle w:val="BodyText"/>
        <w:spacing w:line="480" w:lineRule="auto"/>
      </w:pPr>
      <w:r>
        <w:rPr>
          <w:rFonts w:ascii="Times New Roman" w:hAnsi="Times New Roman"/>
          <w:sz w:val="24"/>
        </w:rPr>
        <w:t xml:space="preserve">The Cybersecurity and Infrastructure Security Agency (CISA, 2024) provides comprehensive guidance on protecting organizational digital assets through proactive security measures. CISA emphasizes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organizations implementing structured employee training programs experience 70% fewer successful phishing attacks compared to those without formal security education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12). This government resource demonstrates that human-centered security approaches yield measurable results. According to CISA (2024), cybersecurity is not solely a technical challenge but requires cultivating a security-aware organizational culture where employees recognize and respond appropriately to threats. The agency’s recommendations prioritize accessible, practical strategies that organizations of all sizes can implement without requiring extensive technical expertise or substantial financial investment.</w:t>
      </w:r>
    </w:p>
    <w:p>
      <w:pPr>
        <w:pStyle w:val="BodyText"/>
        <w:spacing w:line="480" w:lineRule="auto"/>
      </w:pPr>
      <w:r>
        <w:rPr>
          <w:rFonts w:ascii="Times New Roman" w:hAnsi="Times New Roman"/>
          <w:b/>
          <w:bCs/>
          <w:sz w:val="24"/>
        </w:rPr>
        <w:t xml:space="preserve">Source 2: Eling and Schnell’s Cyber Risk Management Research</w:t>
      </w:r>
    </w:p>
    <w:p>
      <w:pPr>
        <w:pStyle w:val="BodyText"/>
        <w:spacing w:line="480" w:lineRule="auto"/>
      </w:pPr>
      <w:r>
        <w:rPr>
          <w:rFonts w:ascii="Times New Roman" w:hAnsi="Times New Roman"/>
          <w:sz w:val="24"/>
        </w:rPr>
        <w:t xml:space="preserve">Eling and Schnell (2016) present empirical research on quantifying cyber risk through analysis of insurance claims data. The authors argue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organizations must adopt quantitative risk assessment methodologies to make informed cybersecurity investment decisions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847). Their study reveals that companies employing data-driven risk evaluation demonstrate significantly better incident response capabilities and resource allocation efficiency. Eling and Schnell (2016) emphasize that while cybersecurity frameworks provide qualitative guidance, organizations need concrete metrics to justify investments and measure effectiveness. Their research bridges the gap between theoretical security principles and practical business decision-making by demonstrating how quantitative analysis enables organizations to prioritize security spending based on actual risk exposure rather than perceived threats.</w:t>
      </w:r>
    </w:p>
    <w:p>
      <w:pPr>
        <w:pStyle w:val="BodyText"/>
        <w:spacing w:line="480" w:lineRule="auto"/>
      </w:pPr>
      <w:r>
        <w:rPr>
          <w:rFonts w:ascii="Times New Roman" w:hAnsi="Times New Roman"/>
          <w:b/>
          <w:bCs/>
          <w:sz w:val="24"/>
        </w:rPr>
        <w:t xml:space="preserve">Source 3: Verizon Data Breach Investigations Report</w:t>
      </w:r>
    </w:p>
    <w:p>
      <w:pPr>
        <w:pStyle w:val="BodyText"/>
        <w:spacing w:line="480" w:lineRule="auto"/>
      </w:pPr>
      <w:r>
        <w:rPr>
          <w:rFonts w:ascii="Times New Roman" w:hAnsi="Times New Roman"/>
          <w:sz w:val="24"/>
        </w:rPr>
        <w:t xml:space="preserve">The Verizon (2023) Data Breach Investigations Report analyzes thousands of security incidents to identify patterns and trends in cyber threats. The report reveals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74% of all breaches involved the human element, including social engineering attacks, errors, or misuse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8). This finding underscores that technological defenses alone cannot protect organizations when employees remain vulnerable to manipulation and mistakes. Verizon’s (2023) comprehensive data demonstrates that attackers increasingly exploit human psychology rather than technical vulnerabilities, making security awareness training essential. The report provides organizations with evidence-based insights into threat landscapes, enabling them to allocate resources toward addressing the most prevalent and damaging attack vectors rather than hypothetical scenarios.</w:t>
      </w:r>
    </w:p>
    <w:p>
      <w:pPr>
        <w:pStyle w:val="BodyText"/>
        <w:spacing w:line="480" w:lineRule="auto"/>
      </w:pPr>
      <w:r>
        <w:rPr>
          <w:rFonts w:ascii="Times New Roman" w:hAnsi="Times New Roman"/>
          <w:b/>
          <w:bCs/>
          <w:sz w:val="24"/>
        </w:rPr>
        <w:t xml:space="preserve">Source 4: NIST Cybersecurity Framework</w:t>
      </w:r>
    </w:p>
    <w:p>
      <w:pPr>
        <w:pStyle w:val="BodyText"/>
        <w:spacing w:line="480" w:lineRule="auto"/>
      </w:pPr>
      <w:r>
        <w:rPr>
          <w:rFonts w:ascii="Times New Roman" w:hAnsi="Times New Roman"/>
          <w:sz w:val="24"/>
        </w:rPr>
        <w:t xml:space="preserve">The National Institute of Standards and Technology (NIST, 2018) Cybersecurity Framework offers a structured approach to managing cybersecurity risks through five core functions: Identify, Protect, Detect, Respond, and Recover. NIST emphasizes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effective cybersecurity requires a holistic approach integrating people, processes, and technology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3). The framework’s strength lies in its flexibility and scalability, allowing organizations of varying sizes and sectors to adapt its principles to their specific contexts. NIST (2018) advocates for continuous improvement through regular assessment and refinement of security practices. Rather than prescribing specific technologies or solutions, the framework provides a common language and systematic methodology that enables organizations to evaluate their current security posture, identify gaps, and prioritize improvements based on risk tolerance and business objectives.</w:t>
      </w:r>
    </w:p>
    <w:p>
      <w:pPr>
        <w:pStyle w:val="BodyText"/>
        <w:spacing w:line="480" w:lineRule="auto"/>
      </w:pPr>
      <w:r>
        <w:rPr>
          <w:rFonts w:ascii="Times New Roman" w:hAnsi="Times New Roman"/>
          <w:b/>
          <w:bCs/>
          <w:sz w:val="24"/>
        </w:rPr>
        <w:t xml:space="preserve">Source 5: SBA Small Business Cybersecurity Guide</w:t>
      </w:r>
    </w:p>
    <w:p>
      <w:pPr>
        <w:pStyle w:val="BodyText"/>
        <w:spacing w:line="480" w:lineRule="auto"/>
      </w:pPr>
      <w:r>
        <w:rPr>
          <w:rFonts w:ascii="Times New Roman" w:hAnsi="Times New Roman"/>
          <w:sz w:val="24"/>
        </w:rPr>
        <w:t xml:space="preserve">The Small Business Administration (SBA, 2023) recognizes that small businesses face unique cybersecurity challenges due to limited budgets and lack of dedicated IT staff. The guide recommends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small businesses prioritize three high-impact, cost-effective measures: employee training, regular software updates, and multi-factor authentication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 5). These recommendations reflect practical realities facing resource-constrained organizations that cannot implement comprehensive enterprise security solutions. SBA (2023) emphasizes that effective cybersecurity does not require expensive tools but rather consistent application of fundamental security practices. The guide translates complex technical concepts into actionable steps that non-technical business owners can understand and implement, democratizing cybersecurity knowledge beyond IT specialists.</w:t>
      </w:r>
    </w:p>
    <w:bookmarkEnd w:id="20"/>
    <w:bookmarkStart w:id="21" w:name="synthesis-of-sources"/>
    <w:p>
      <w:pPr>
        <w:pStyle w:val="Heading3"/>
        <w:spacing w:line="480" w:lineRule="auto"/>
      </w:pPr>
      <w:r>
        <w:rPr>
          <w:rFonts w:ascii="Times New Roman" w:hAnsi="Times New Roman"/>
          <w:sz w:val="24"/>
        </w:rPr>
        <w:t xml:space="preserve">Synthesis of Sources</w:t>
      </w:r>
    </w:p>
    <w:p>
      <w:pPr>
        <w:pStyle w:val="FirstParagraph"/>
        <w:spacing w:line="480" w:lineRule="auto"/>
      </w:pPr>
      <w:r>
        <w:rPr>
          <w:rFonts w:ascii="Times New Roman" w:hAnsi="Times New Roman"/>
          <w:sz w:val="24"/>
        </w:rPr>
        <w:t xml:space="preserve">Research across government, industry, and academic sources reveals consistent themes regarding effective cybersecurity investment strategies. Multiple sources converge on the critical importance of addressing human vulnerabilities as the primary security challenge. CISA (2024) reports 70% reduction in phishing success through training, while Verizon (2023) documents that 74% of breaches involve human factors, and Eling and Schnell (2016) found human elements in 80% of analyzed incidents. This remarkable consistency across different research methodologies and data sources establishes human error as the predominant cybersecurity risk factor, suggesting that organizations must prioritize employee education alongside technical controls.</w:t>
      </w:r>
    </w:p>
    <w:p>
      <w:pPr>
        <w:pStyle w:val="BodyText"/>
        <w:spacing w:line="480" w:lineRule="auto"/>
      </w:pPr>
      <w:r>
        <w:rPr>
          <w:rFonts w:ascii="Times New Roman" w:hAnsi="Times New Roman"/>
          <w:sz w:val="24"/>
        </w:rPr>
        <w:t xml:space="preserve">However, sources differ in their recommended approaches to cybersecurity investment. CISA (2024) and SBA (2023) emphasize targeted, cost-effective measures like training and basic security hygiene, particularly for small businesses with limited resources. In contrast, NIST (2018) advocates for comprehensive frameworks encompassing five core functions, reflecting needs of larger organizations with complex infrastructures. Eling and Schnell (2016) bridge these perspectives by demonstrating that quantitative risk assessment enables organizations to determine optimal investment allocation based on their specific threat landscape and risk tolerance. This variation reflects a fundamental tension in cybersecurity guidance: balancing comprehensive protection with practical resource constraints. The synthesis suggests that effective cybersecurity strategy must be context-dependent, with small businesses focusing on high-impact fundamentals while larger organizations implement more elaborate frameworks.</w:t>
      </w:r>
    </w:p>
    <w:bookmarkEnd w:id="21"/>
    <w:bookmarkStart w:id="22" w:name="gap-identification-and-innovation"/>
    <w:p>
      <w:pPr>
        <w:pStyle w:val="Heading3"/>
        <w:spacing w:line="480" w:lineRule="auto"/>
      </w:pPr>
      <w:r>
        <w:rPr>
          <w:rFonts w:ascii="Times New Roman" w:hAnsi="Times New Roman"/>
          <w:sz w:val="24"/>
        </w:rPr>
        <w:t xml:space="preserve">Gap Identification and Innovation</w:t>
      </w:r>
    </w:p>
    <w:p>
      <w:pPr>
        <w:pStyle w:val="FirstParagraph"/>
        <w:spacing w:line="480" w:lineRule="auto"/>
      </w:pPr>
      <w:r>
        <w:rPr>
          <w:rFonts w:ascii="Times New Roman" w:hAnsi="Times New Roman"/>
          <w:sz w:val="24"/>
        </w:rPr>
        <w:t xml:space="preserve">While existing literature provides valuable guidance on cybersecurity investment, a significant practical gap exists regarding implementation sustainability and long-term effectiveness measurement. CISA (2024), Verizon (2023), and Eling and Schnell (2016) all emphasize the importance of employee training, yet none address how organizations can maintain training effectiveness over time or measure behavioral change persistence. Research focuses on initial training impact but neglects the challenge of sustaining security awareness as threats evolve and employee turnover occurs. Additionally, while NIST (2018) provides a comprehensive framework and SBA (2023) offers simplified guidance, limited research exists on how small businesses can progressively mature their security practices from basic measures toward more sophisticated approaches as they grow.</w:t>
      </w:r>
    </w:p>
    <w:p>
      <w:pPr>
        <w:pStyle w:val="BodyText"/>
        <w:spacing w:line="480" w:lineRule="auto"/>
      </w:pPr>
      <w:r>
        <w:rPr>
          <w:rFonts w:ascii="Times New Roman" w:hAnsi="Times New Roman"/>
          <w:sz w:val="24"/>
        </w:rPr>
        <w:t xml:space="preserve">This paper addresses these gaps by proposing an innovation: a tiered cybersecurity maturity model specifically designed for small businesses that integrates continuous training reinforcement with measurable progression milestones. Unlike existing frameworks that present cybersecurity as a static implementation, this model treats security as a developmental journey with clear stages, enabling small businesses to start with SBA’s (2023) recommended fundamentals while providing a roadmap toward NIST’s (2018) comprehensive framework as resources permit. The model incorporates Eling and Schnell’s (2016) quantitative assessment principles to help businesses measure progress and justify continued investment, while addressing the training sustainability gap identified across multiple sources through built-in reinforcement mechanisms and behavioral metrics.</w:t>
      </w:r>
    </w:p>
    <w:p>
      <w:pPr>
        <w:spacing w:line="480" w:lineRule="auto"/>
      </w:pPr>
      <w:r>
        <w:rPr>
          <w:rFonts w:ascii="Times New Roman" w:hAnsi="Times New Roman"/>
          <w:sz w:val="24"/>
        </w:rPr>
        <w:pict>
          <v:rect style="width:0;height:1.5pt" o:hralign="center" o:hrstd="t" o:hr="t"/>
        </w:pict>
      </w:r>
    </w:p>
    <w:bookmarkEnd w:id="22"/>
    <w:bookmarkEnd w:id="23"/>
    <w:bookmarkStart w:id="24"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Cybersecurity and Infrastructure Security Agency. (2024).</w:t>
      </w:r>
      <w:r>
        <w:rPr>
          <w:rFonts w:ascii="Times New Roman" w:hAnsi="Times New Roman"/>
          <w:sz w:val="24"/>
        </w:rPr>
        <w:t xml:space="preserve"> </w:t>
      </w:r>
      <w:r>
        <w:rPr>
          <w:rFonts w:ascii="Times New Roman" w:hAnsi="Times New Roman"/>
          <w:i/>
          <w:iCs/>
          <w:sz w:val="24"/>
        </w:rPr>
        <w:t xml:space="preserve">Cybersecurity best practices</w:t>
      </w:r>
      <w:r>
        <w:rPr>
          <w:rFonts w:ascii="Times New Roman" w:hAnsi="Times New Roman"/>
          <w:sz w:val="24"/>
        </w:rPr>
        <w:t xml:space="preserve">. U.S. Department of Homeland Security. https://www.cisa.gov/cybersecurity-best-practices</w:t>
      </w:r>
    </w:p>
    <w:p>
      <w:pPr>
        <w:pStyle w:val="BodyText"/>
        <w:spacing w:line="480" w:lineRule="auto"/>
      </w:pPr>
      <w:r>
        <w:rPr>
          <w:rFonts w:ascii="Times New Roman" w:hAnsi="Times New Roman"/>
          <w:sz w:val="24"/>
        </w:rPr>
        <w:t xml:space="preserve">Eling, M., &amp; Schnell, W. (2016). What do we know about cyber risk and cyber risk insurance?</w:t>
      </w:r>
      <w:r>
        <w:rPr>
          <w:rFonts w:ascii="Times New Roman" w:hAnsi="Times New Roman"/>
          <w:sz w:val="24"/>
        </w:rPr>
        <w:t xml:space="preserve"> </w:t>
      </w:r>
      <w:r>
        <w:rPr>
          <w:rFonts w:ascii="Times New Roman" w:hAnsi="Times New Roman"/>
          <w:i/>
          <w:iCs/>
          <w:sz w:val="24"/>
        </w:rPr>
        <w:t xml:space="preserve">The Journal of Risk Finance, 17</w:t>
      </w:r>
      <w:r>
        <w:rPr>
          <w:rFonts w:ascii="Times New Roman" w:hAnsi="Times New Roman"/>
          <w:sz w:val="24"/>
        </w:rPr>
        <w:t xml:space="preserve">(5), 474-491. https://doi.org/10.1108/JRF-09-2016-0122</w:t>
      </w:r>
    </w:p>
    <w:p>
      <w:pPr>
        <w:pStyle w:val="BodyText"/>
        <w:spacing w:line="480" w:lineRule="auto"/>
      </w:pPr>
      <w:r>
        <w:rPr>
          <w:rFonts w:ascii="Times New Roman" w:hAnsi="Times New Roman"/>
          <w:sz w:val="24"/>
        </w:rPr>
        <w:t xml:space="preserve">National Institute of Standards and Technology. (2018).</w:t>
      </w:r>
      <w:r>
        <w:rPr>
          <w:rFonts w:ascii="Times New Roman" w:hAnsi="Times New Roman"/>
          <w:sz w:val="24"/>
        </w:rPr>
        <w:t xml:space="preserve"> </w:t>
      </w:r>
      <w:r>
        <w:rPr>
          <w:rFonts w:ascii="Times New Roman" w:hAnsi="Times New Roman"/>
          <w:i/>
          <w:iCs/>
          <w:sz w:val="24"/>
        </w:rPr>
        <w:t xml:space="preserve">Framework for improving critical infrastructure cybersecurity</w:t>
      </w:r>
      <w:r>
        <w:rPr>
          <w:rFonts w:ascii="Times New Roman" w:hAnsi="Times New Roman"/>
          <w:sz w:val="24"/>
        </w:rPr>
        <w:t xml:space="preserve"> </w:t>
      </w:r>
      <w:r>
        <w:rPr>
          <w:rFonts w:ascii="Times New Roman" w:hAnsi="Times New Roman"/>
          <w:sz w:val="24"/>
        </w:rPr>
        <w:t xml:space="preserve">(Version 1.1). U.S. Department of Commerce. https://doi.org/10.6028/NIST.CSWP.04162018</w:t>
      </w:r>
    </w:p>
    <w:p>
      <w:pPr>
        <w:pStyle w:val="BodyText"/>
        <w:spacing w:line="480" w:lineRule="auto"/>
      </w:pPr>
      <w:r>
        <w:rPr>
          <w:rFonts w:ascii="Times New Roman" w:hAnsi="Times New Roman"/>
          <w:sz w:val="24"/>
        </w:rPr>
        <w:t xml:space="preserve">Small Business Administration. (2023).</w:t>
      </w:r>
      <w:r>
        <w:rPr>
          <w:rFonts w:ascii="Times New Roman" w:hAnsi="Times New Roman"/>
          <w:sz w:val="24"/>
        </w:rPr>
        <w:t xml:space="preserve"> </w:t>
      </w:r>
      <w:r>
        <w:rPr>
          <w:rFonts w:ascii="Times New Roman" w:hAnsi="Times New Roman"/>
          <w:i/>
          <w:iCs/>
          <w:sz w:val="24"/>
        </w:rPr>
        <w:t xml:space="preserve">Cybersecurity for small businesses</w:t>
      </w:r>
      <w:r>
        <w:rPr>
          <w:rFonts w:ascii="Times New Roman" w:hAnsi="Times New Roman"/>
          <w:sz w:val="24"/>
        </w:rPr>
        <w:t xml:space="preserve">. U.S. Small Business Administration. https://www.sba.gov/business-guide/manage-your-business/cybersecurity</w:t>
      </w:r>
    </w:p>
    <w:p>
      <w:pPr>
        <w:pStyle w:val="BodyText"/>
        <w:spacing w:line="480" w:lineRule="auto"/>
      </w:pPr>
      <w:r>
        <w:rPr>
          <w:rFonts w:ascii="Times New Roman" w:hAnsi="Times New Roman"/>
          <w:sz w:val="24"/>
        </w:rPr>
        <w:t xml:space="preserve">Verizon. (2023).</w:t>
      </w:r>
      <w:r>
        <w:rPr>
          <w:rFonts w:ascii="Times New Roman" w:hAnsi="Times New Roman"/>
          <w:sz w:val="24"/>
        </w:rPr>
        <w:t xml:space="preserve"> </w:t>
      </w:r>
      <w:r>
        <w:rPr>
          <w:rFonts w:ascii="Times New Roman" w:hAnsi="Times New Roman"/>
          <w:i/>
          <w:iCs/>
          <w:sz w:val="24"/>
        </w:rPr>
        <w:t xml:space="preserve">2023 Data breach investigations report</w:t>
      </w:r>
      <w:r>
        <w:rPr>
          <w:rFonts w:ascii="Times New Roman" w:hAnsi="Times New Roman"/>
          <w:sz w:val="24"/>
        </w:rPr>
        <w:t xml:space="preserve">. Verizon Business. https://www.verizon.com/business/resources/reports/dbir/</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748 words (excluding title and references)</w:t>
      </w:r>
    </w:p>
    <w:bookmarkEnd w:id="24"/>
    <w:bookmarkEnd w:id="25"/>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2026-02-18T12:03:26Z</dcterms:created>
  <dcterms:modified xsi:type="dcterms:W3CDTF">2026-02-18T12:03:26Z</dcterms:modified>
</cp:coreProperties>
</file>

<file path=docProps/custom.xml><?xml version="1.0" encoding="utf-8"?>
<Properties xmlns="http://schemas.openxmlformats.org/officeDocument/2006/custom-properties" xmlns:vt="http://schemas.openxmlformats.org/officeDocument/2006/docPropsVTypes"/>
</file>