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A7B4A6" wp14:paraId="1FB3C839" wp14:textId="24A987FD">
      <w:pPr>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Technology Integration for Community Center Modernization</w:t>
      </w:r>
    </w:p>
    <w:p xmlns:wp14="http://schemas.microsoft.com/office/word/2010/wordml" w:rsidP="20A7B4A6" wp14:paraId="775E367B" wp14:textId="7052AACB">
      <w:pPr>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Introduction</w:t>
      </w:r>
    </w:p>
    <w:p xmlns:wp14="http://schemas.microsoft.com/office/word/2010/wordml" w:rsidP="20A7B4A6" wp14:paraId="5C0C83E3" wp14:textId="3C20C6F8">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Community centers serve as vital hubs for local engagement, learning, and support. With technological advancements such as Machine Learning (ML), Cloud Computing, Big Data, Blockchain, the Internet of Things (IoT), Robotics, and Virtual Reality (VR), community centers have unprecedented opportunities to enhance their operations and better serve their communities. This paper explores these technologies, their potential impacts, and practical applications within a community center context.</w:t>
      </w:r>
    </w:p>
    <w:p xmlns:wp14="http://schemas.microsoft.com/office/word/2010/wordml" w:rsidP="20A7B4A6" wp14:paraId="1231C710" wp14:textId="7D0066C1">
      <w:pPr>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Machine Learning for Resource Optimization</w:t>
      </w:r>
    </w:p>
    <w:p xmlns:wp14="http://schemas.microsoft.com/office/word/2010/wordml" w:rsidP="20A7B4A6" wp14:paraId="03B42F18" wp14:textId="29B8C448">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 xml:space="preserve">Machine Learning is a subset of artificial intelligence (AI) that enables computer systems to learn from data and improve performance without explicit programming (Russell &amp; Norvig, 2021). In a community center, ML can </w:t>
      </w:r>
      <w:r w:rsidRPr="20A7B4A6" w:rsidR="0281E8CE">
        <w:rPr>
          <w:rFonts w:ascii="Times New Roman" w:hAnsi="Times New Roman" w:eastAsia="Times New Roman" w:cs="Times New Roman"/>
          <w:noProof w:val="0"/>
          <w:sz w:val="24"/>
          <w:szCs w:val="24"/>
          <w:lang w:val="en-US"/>
        </w:rPr>
        <w:t>optimize</w:t>
      </w:r>
      <w:r w:rsidRPr="20A7B4A6" w:rsidR="0281E8CE">
        <w:rPr>
          <w:rFonts w:ascii="Times New Roman" w:hAnsi="Times New Roman" w:eastAsia="Times New Roman" w:cs="Times New Roman"/>
          <w:noProof w:val="0"/>
          <w:sz w:val="24"/>
          <w:szCs w:val="24"/>
          <w:lang w:val="en-US"/>
        </w:rPr>
        <w:t xml:space="preserve"> scheduling and resource allocation by predicting popular classes from attendance records. It can also </w:t>
      </w:r>
      <w:r w:rsidRPr="20A7B4A6" w:rsidR="0281E8CE">
        <w:rPr>
          <w:rFonts w:ascii="Times New Roman" w:hAnsi="Times New Roman" w:eastAsia="Times New Roman" w:cs="Times New Roman"/>
          <w:noProof w:val="0"/>
          <w:sz w:val="24"/>
          <w:szCs w:val="24"/>
          <w:lang w:val="en-US"/>
        </w:rPr>
        <w:t>identify</w:t>
      </w:r>
      <w:r w:rsidRPr="20A7B4A6" w:rsidR="0281E8CE">
        <w:rPr>
          <w:rFonts w:ascii="Times New Roman" w:hAnsi="Times New Roman" w:eastAsia="Times New Roman" w:cs="Times New Roman"/>
          <w:noProof w:val="0"/>
          <w:sz w:val="24"/>
          <w:szCs w:val="24"/>
          <w:lang w:val="en-US"/>
        </w:rPr>
        <w:t xml:space="preserve"> at-risk youth based on participation trends, enabling staff to offer targeted support and foster a more inclusive environment. As the system </w:t>
      </w:r>
      <w:r w:rsidRPr="20A7B4A6" w:rsidR="452DB23B">
        <w:rPr>
          <w:rFonts w:ascii="Times New Roman" w:hAnsi="Times New Roman" w:eastAsia="Times New Roman" w:cs="Times New Roman"/>
          <w:noProof w:val="0"/>
          <w:sz w:val="24"/>
          <w:szCs w:val="24"/>
          <w:lang w:val="en-US"/>
        </w:rPr>
        <w:t>learns</w:t>
      </w:r>
      <w:r w:rsidRPr="20A7B4A6" w:rsidR="0281E8CE">
        <w:rPr>
          <w:rFonts w:ascii="Times New Roman" w:hAnsi="Times New Roman" w:eastAsia="Times New Roman" w:cs="Times New Roman"/>
          <w:noProof w:val="0"/>
          <w:sz w:val="24"/>
          <w:szCs w:val="24"/>
          <w:lang w:val="en-US"/>
        </w:rPr>
        <w:t xml:space="preserve"> </w:t>
      </w:r>
      <w:r w:rsidRPr="20A7B4A6" w:rsidR="0CA35600">
        <w:rPr>
          <w:rFonts w:ascii="Times New Roman" w:hAnsi="Times New Roman" w:eastAsia="Times New Roman" w:cs="Times New Roman"/>
          <w:noProof w:val="0"/>
          <w:sz w:val="24"/>
          <w:szCs w:val="24"/>
          <w:lang w:val="en-US"/>
        </w:rPr>
        <w:t xml:space="preserve">from </w:t>
      </w:r>
      <w:r w:rsidRPr="20A7B4A6" w:rsidR="0281E8CE">
        <w:rPr>
          <w:rFonts w:ascii="Times New Roman" w:hAnsi="Times New Roman" w:eastAsia="Times New Roman" w:cs="Times New Roman"/>
          <w:noProof w:val="0"/>
          <w:sz w:val="24"/>
          <w:szCs w:val="24"/>
          <w:lang w:val="en-US"/>
        </w:rPr>
        <w:t>data over time, the center can refine its offerings to meet changing needs.</w:t>
      </w:r>
    </w:p>
    <w:p xmlns:wp14="http://schemas.microsoft.com/office/word/2010/wordml" w:rsidP="20A7B4A6" wp14:paraId="7A2C1C8B" wp14:textId="09780E9C">
      <w:pPr>
        <w:pStyle w:val="Normal"/>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Cloud Computing for Enhanced Communication and Collaboration</w:t>
      </w:r>
    </w:p>
    <w:p xmlns:wp14="http://schemas.microsoft.com/office/word/2010/wordml" w:rsidP="20A7B4A6" wp14:paraId="3A2B3AAC" wp14:textId="34E1293C">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Cloud Computing delivers computing services—such as storage and software—over the Internet, providing flexible access without local infrastructure (Mell &amp; Grance, 2011). Community centers benefit through improved communication, centralized scheduling, document sharing, and real-time updates accessible on any device. Cloud-hosted workshops enable remote participation and expand reach to those unable to attend in person. Centralized resources in the cloud reduce costs, increase accessibility, and help ensure continuity during disruptions.</w:t>
      </w:r>
    </w:p>
    <w:p xmlns:wp14="http://schemas.microsoft.com/office/word/2010/wordml" w:rsidP="20A7B4A6" wp14:paraId="6DBA4AC0" wp14:textId="1018A9B9">
      <w:pPr>
        <w:pStyle w:val="Normal"/>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Big Data and Blockchain for Informed Decision-Making</w:t>
      </w:r>
    </w:p>
    <w:p xmlns:wp14="http://schemas.microsoft.com/office/word/2010/wordml" w:rsidP="20A7B4A6" wp14:paraId="5EDC8A79" wp14:textId="026389ED">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Big Data is characterized by large, complex datasets that traditional data processing tools cannot handle efficiently. It allows organizations to extract valuable insights by analyzing patterns and trends (Mayer-</w:t>
      </w:r>
      <w:r w:rsidRPr="20A7B4A6" w:rsidR="0281E8CE">
        <w:rPr>
          <w:rFonts w:ascii="Times New Roman" w:hAnsi="Times New Roman" w:eastAsia="Times New Roman" w:cs="Times New Roman"/>
          <w:noProof w:val="0"/>
          <w:sz w:val="24"/>
          <w:szCs w:val="24"/>
          <w:lang w:val="en-US"/>
        </w:rPr>
        <w:t>Schönberger</w:t>
      </w:r>
      <w:r w:rsidRPr="20A7B4A6" w:rsidR="0281E8CE">
        <w:rPr>
          <w:rFonts w:ascii="Times New Roman" w:hAnsi="Times New Roman" w:eastAsia="Times New Roman" w:cs="Times New Roman"/>
          <w:noProof w:val="0"/>
          <w:sz w:val="24"/>
          <w:szCs w:val="24"/>
          <w:lang w:val="en-US"/>
        </w:rPr>
        <w:t xml:space="preserve"> &amp; Cukier, 2013).</w:t>
      </w:r>
    </w:p>
    <w:p xmlns:wp14="http://schemas.microsoft.com/office/word/2010/wordml" w:rsidP="20A7B4A6" wp14:paraId="07AC7BF2" wp14:textId="00CFC1C8">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Blockchain is a decentralized digital ledger that records transactions across multiple computers in a secure, tamper-proof manner (Nakamoto, 2008).</w:t>
      </w:r>
    </w:p>
    <w:p xmlns:wp14="http://schemas.microsoft.com/office/word/2010/wordml" w:rsidP="20A7B4A6" wp14:paraId="6F32FA34" wp14:textId="3A38185D">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 xml:space="preserve">In a community center, Big Data could be used to assess community needs by aggregating feedback and service-use data, thereby guiding strategic decisions. For example, analyzing large volumes of survey responses and attendance patterns can reveal what programs are most valued, which demographics are underserved, and how resources should be </w:t>
      </w:r>
      <w:r w:rsidRPr="20A7B4A6" w:rsidR="0281E8CE">
        <w:rPr>
          <w:rFonts w:ascii="Times New Roman" w:hAnsi="Times New Roman" w:eastAsia="Times New Roman" w:cs="Times New Roman"/>
          <w:noProof w:val="0"/>
          <w:sz w:val="24"/>
          <w:szCs w:val="24"/>
          <w:lang w:val="en-US"/>
        </w:rPr>
        <w:t>allocated</w:t>
      </w:r>
      <w:r w:rsidRPr="20A7B4A6" w:rsidR="0281E8CE">
        <w:rPr>
          <w:rFonts w:ascii="Times New Roman" w:hAnsi="Times New Roman" w:eastAsia="Times New Roman" w:cs="Times New Roman"/>
          <w:noProof w:val="0"/>
          <w:sz w:val="24"/>
          <w:szCs w:val="24"/>
          <w:lang w:val="en-US"/>
        </w:rPr>
        <w:t xml:space="preserve">. These insights support evidence-based planning and can help justify funding requests. Blockchain can be </w:t>
      </w:r>
      <w:r w:rsidRPr="20A7B4A6" w:rsidR="0281E8CE">
        <w:rPr>
          <w:rFonts w:ascii="Times New Roman" w:hAnsi="Times New Roman" w:eastAsia="Times New Roman" w:cs="Times New Roman"/>
          <w:noProof w:val="0"/>
          <w:sz w:val="24"/>
          <w:szCs w:val="24"/>
          <w:lang w:val="en-US"/>
        </w:rPr>
        <w:t>leveraged</w:t>
      </w:r>
      <w:r w:rsidRPr="20A7B4A6" w:rsidR="0281E8CE">
        <w:rPr>
          <w:rFonts w:ascii="Times New Roman" w:hAnsi="Times New Roman" w:eastAsia="Times New Roman" w:cs="Times New Roman"/>
          <w:noProof w:val="0"/>
          <w:sz w:val="24"/>
          <w:szCs w:val="24"/>
          <w:lang w:val="en-US"/>
        </w:rPr>
        <w:t xml:space="preserve"> for transparent management of donations or memberships, ensuring trust among stakeholders. For example, a blockchain-based system could track and publicly verify the allocation of donated funds, enhancing accountability and donor confidence. This transparency can also simplify reporting to grant providers or government agencies and encourage greater community participation in governance and fundraising initiatives.</w:t>
      </w:r>
    </w:p>
    <w:p xmlns:wp14="http://schemas.microsoft.com/office/word/2010/wordml" w:rsidP="20A7B4A6" wp14:paraId="3C2B528E" wp14:textId="4132D5E7">
      <w:pPr>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IoT, Robotics, and Virtual Reality Integration</w:t>
      </w:r>
    </w:p>
    <w:p xmlns:wp14="http://schemas.microsoft.com/office/word/2010/wordml" w:rsidP="20A7B4A6" wp14:paraId="4AFBBD16" wp14:textId="42FA118A">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 xml:space="preserve">Sensors and actuators are key components of the Internet of Things (IoT), enabling devices to collect data and interact with their environment (Ashton, 2009). In community centers, IoT devices can </w:t>
      </w:r>
      <w:r w:rsidRPr="20A7B4A6" w:rsidR="0281E8CE">
        <w:rPr>
          <w:rFonts w:ascii="Times New Roman" w:hAnsi="Times New Roman" w:eastAsia="Times New Roman" w:cs="Times New Roman"/>
          <w:noProof w:val="0"/>
          <w:sz w:val="24"/>
          <w:szCs w:val="24"/>
          <w:lang w:val="en-US"/>
        </w:rPr>
        <w:t>monitor</w:t>
      </w:r>
      <w:r w:rsidRPr="20A7B4A6" w:rsidR="0281E8CE">
        <w:rPr>
          <w:rFonts w:ascii="Times New Roman" w:hAnsi="Times New Roman" w:eastAsia="Times New Roman" w:cs="Times New Roman"/>
          <w:noProof w:val="0"/>
          <w:sz w:val="24"/>
          <w:szCs w:val="24"/>
          <w:lang w:val="en-US"/>
        </w:rPr>
        <w:t xml:space="preserve"> room occupancy, energy usage, and environmental conditions, improving safety and efficiency. For example, smart thermostats and lighting systems can automatically adjust based on activity, reducing energy costs. Robotics can </w:t>
      </w:r>
      <w:r w:rsidRPr="20A7B4A6" w:rsidR="0281E8CE">
        <w:rPr>
          <w:rFonts w:ascii="Times New Roman" w:hAnsi="Times New Roman" w:eastAsia="Times New Roman" w:cs="Times New Roman"/>
          <w:noProof w:val="0"/>
          <w:sz w:val="24"/>
          <w:szCs w:val="24"/>
          <w:lang w:val="en-US"/>
        </w:rPr>
        <w:t>assist</w:t>
      </w:r>
      <w:r w:rsidRPr="20A7B4A6" w:rsidR="0281E8CE">
        <w:rPr>
          <w:rFonts w:ascii="Times New Roman" w:hAnsi="Times New Roman" w:eastAsia="Times New Roman" w:cs="Times New Roman"/>
          <w:noProof w:val="0"/>
          <w:sz w:val="24"/>
          <w:szCs w:val="24"/>
          <w:lang w:val="en-US"/>
        </w:rPr>
        <w:t xml:space="preserve"> with routine maintenance, such as automated floor cleaning, or provide interactive learning experiences for children, like coding workshops with programmable robots. Virtual Reality (VR) offers immersive educational or recreational activities, such as virtual museum tours, language learning, or fitness classes. VR can also help bridge generational gaps by allowing seniors and youth to engage in shared virtual activities. Despite these benefits, challenges include ensuring data privacy, managing costs, and providing staff training. An innovative idea would be to integrate IoT-based health-monitoring devices for seniors, alert staff to emergencies in real time, or offer VR-driven mental wellness programs. Thoughtful implementation is </w:t>
      </w:r>
      <w:r w:rsidRPr="20A7B4A6" w:rsidR="0281E8CE">
        <w:rPr>
          <w:rFonts w:ascii="Times New Roman" w:hAnsi="Times New Roman" w:eastAsia="Times New Roman" w:cs="Times New Roman"/>
          <w:noProof w:val="0"/>
          <w:sz w:val="24"/>
          <w:szCs w:val="24"/>
          <w:lang w:val="en-US"/>
        </w:rPr>
        <w:t>required</w:t>
      </w:r>
      <w:r w:rsidRPr="20A7B4A6" w:rsidR="0281E8CE">
        <w:rPr>
          <w:rFonts w:ascii="Times New Roman" w:hAnsi="Times New Roman" w:eastAsia="Times New Roman" w:cs="Times New Roman"/>
          <w:noProof w:val="0"/>
          <w:sz w:val="24"/>
          <w:szCs w:val="24"/>
          <w:lang w:val="en-US"/>
        </w:rPr>
        <w:t xml:space="preserve"> to ensure all members have </w:t>
      </w:r>
      <w:r w:rsidRPr="20A7B4A6" w:rsidR="0281E8CE">
        <w:rPr>
          <w:rFonts w:ascii="Times New Roman" w:hAnsi="Times New Roman" w:eastAsia="Times New Roman" w:cs="Times New Roman"/>
          <w:noProof w:val="0"/>
          <w:sz w:val="24"/>
          <w:szCs w:val="24"/>
          <w:lang w:val="en-US"/>
        </w:rPr>
        <w:t>equitable</w:t>
      </w:r>
      <w:r w:rsidRPr="20A7B4A6" w:rsidR="0281E8CE">
        <w:rPr>
          <w:rFonts w:ascii="Times New Roman" w:hAnsi="Times New Roman" w:eastAsia="Times New Roman" w:cs="Times New Roman"/>
          <w:noProof w:val="0"/>
          <w:sz w:val="24"/>
          <w:szCs w:val="24"/>
          <w:lang w:val="en-US"/>
        </w:rPr>
        <w:t xml:space="preserve"> access to these </w:t>
      </w:r>
      <w:r w:rsidRPr="20A7B4A6" w:rsidR="0281E8CE">
        <w:rPr>
          <w:rFonts w:ascii="Times New Roman" w:hAnsi="Times New Roman" w:eastAsia="Times New Roman" w:cs="Times New Roman"/>
          <w:noProof w:val="0"/>
          <w:sz w:val="24"/>
          <w:szCs w:val="24"/>
          <w:lang w:val="en-US"/>
        </w:rPr>
        <w:t>new technologies</w:t>
      </w:r>
      <w:r w:rsidRPr="20A7B4A6" w:rsidR="0281E8CE">
        <w:rPr>
          <w:rFonts w:ascii="Times New Roman" w:hAnsi="Times New Roman" w:eastAsia="Times New Roman" w:cs="Times New Roman"/>
          <w:noProof w:val="0"/>
          <w:sz w:val="24"/>
          <w:szCs w:val="24"/>
          <w:lang w:val="en-US"/>
        </w:rPr>
        <w:t>.</w:t>
      </w:r>
    </w:p>
    <w:p xmlns:wp14="http://schemas.microsoft.com/office/word/2010/wordml" w:rsidP="20A7B4A6" wp14:paraId="212A5A0E" wp14:textId="0E083067">
      <w:pPr>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p>
    <w:p xmlns:wp14="http://schemas.microsoft.com/office/word/2010/wordml" w:rsidP="20A7B4A6" wp14:paraId="0BABAED2" wp14:textId="07982B96">
      <w:pPr>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Conclusion</w:t>
      </w:r>
    </w:p>
    <w:p xmlns:wp14="http://schemas.microsoft.com/office/word/2010/wordml" w:rsidP="20A7B4A6" wp14:paraId="0D9DF185" wp14:textId="16EECF89">
      <w:pPr>
        <w:spacing w:before="120" w:beforeAutospacing="off" w:after="120" w:afterAutospacing="off" w:line="360" w:lineRule="auto"/>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 xml:space="preserve">Adopting emerging technologies can significantly enhance the effectiveness and inclusivity of community centers. By </w:t>
      </w:r>
      <w:r w:rsidRPr="20A7B4A6" w:rsidR="0281E8CE">
        <w:rPr>
          <w:rFonts w:ascii="Times New Roman" w:hAnsi="Times New Roman" w:eastAsia="Times New Roman" w:cs="Times New Roman"/>
          <w:noProof w:val="0"/>
          <w:sz w:val="24"/>
          <w:szCs w:val="24"/>
          <w:lang w:val="en-US"/>
        </w:rPr>
        <w:t>leveraging</w:t>
      </w:r>
      <w:r w:rsidRPr="20A7B4A6" w:rsidR="0281E8CE">
        <w:rPr>
          <w:rFonts w:ascii="Times New Roman" w:hAnsi="Times New Roman" w:eastAsia="Times New Roman" w:cs="Times New Roman"/>
          <w:noProof w:val="0"/>
          <w:sz w:val="24"/>
          <w:szCs w:val="24"/>
          <w:lang w:val="en-US"/>
        </w:rPr>
        <w:t xml:space="preserve"> ML, Cloud Computing, Big Data, Blockchain, IoT, Robotics, and VR, community centers can better </w:t>
      </w:r>
      <w:r w:rsidRPr="20A7B4A6" w:rsidR="0281E8CE">
        <w:rPr>
          <w:rFonts w:ascii="Times New Roman" w:hAnsi="Times New Roman" w:eastAsia="Times New Roman" w:cs="Times New Roman"/>
          <w:noProof w:val="0"/>
          <w:sz w:val="24"/>
          <w:szCs w:val="24"/>
          <w:lang w:val="en-US"/>
        </w:rPr>
        <w:t>anticipate</w:t>
      </w:r>
      <w:r w:rsidRPr="20A7B4A6" w:rsidR="0281E8CE">
        <w:rPr>
          <w:rFonts w:ascii="Times New Roman" w:hAnsi="Times New Roman" w:eastAsia="Times New Roman" w:cs="Times New Roman"/>
          <w:noProof w:val="0"/>
          <w:sz w:val="24"/>
          <w:szCs w:val="24"/>
          <w:lang w:val="en-US"/>
        </w:rPr>
        <w:t xml:space="preserve"> community needs, foster engagement, and provide innovative services. However, careful planning and consideration of challenges such as privacy and </w:t>
      </w:r>
      <w:r w:rsidRPr="20A7B4A6" w:rsidR="0281E8CE">
        <w:rPr>
          <w:rFonts w:ascii="Times New Roman" w:hAnsi="Times New Roman" w:eastAsia="Times New Roman" w:cs="Times New Roman"/>
          <w:noProof w:val="0"/>
          <w:sz w:val="24"/>
          <w:szCs w:val="24"/>
          <w:lang w:val="en-US"/>
        </w:rPr>
        <w:t>equitable</w:t>
      </w:r>
      <w:r w:rsidRPr="20A7B4A6" w:rsidR="0281E8CE">
        <w:rPr>
          <w:rFonts w:ascii="Times New Roman" w:hAnsi="Times New Roman" w:eastAsia="Times New Roman" w:cs="Times New Roman"/>
          <w:noProof w:val="0"/>
          <w:sz w:val="24"/>
          <w:szCs w:val="24"/>
          <w:lang w:val="en-US"/>
        </w:rPr>
        <w:t xml:space="preserve"> access are essential for successful implementation.</w:t>
      </w:r>
    </w:p>
    <w:p xmlns:wp14="http://schemas.microsoft.com/office/word/2010/wordml" w:rsidP="20A7B4A6" wp14:paraId="74417A3B" wp14:textId="7A011FE7">
      <w:pPr>
        <w:spacing w:before="120" w:beforeAutospacing="off" w:after="120" w:afterAutospacing="off" w:line="360" w:lineRule="auto"/>
        <w:jc w:val="left"/>
        <w:rPr>
          <w:rFonts w:ascii="Times New Roman" w:hAnsi="Times New Roman" w:eastAsia="Times New Roman" w:cs="Times New Roman"/>
          <w:b w:val="1"/>
          <w:bCs w:val="1"/>
          <w:noProof w:val="0"/>
          <w:sz w:val="24"/>
          <w:szCs w:val="24"/>
          <w:lang w:val="en-US"/>
        </w:rPr>
      </w:pPr>
      <w:r w:rsidRPr="20A7B4A6" w:rsidR="0281E8CE">
        <w:rPr>
          <w:rFonts w:ascii="Times New Roman" w:hAnsi="Times New Roman" w:eastAsia="Times New Roman" w:cs="Times New Roman"/>
          <w:b w:val="1"/>
          <w:bCs w:val="1"/>
          <w:noProof w:val="0"/>
          <w:sz w:val="24"/>
          <w:szCs w:val="24"/>
          <w:lang w:val="en-US"/>
        </w:rPr>
        <w:t>References</w:t>
      </w:r>
    </w:p>
    <w:p xmlns:wp14="http://schemas.microsoft.com/office/word/2010/wordml" w:rsidP="20A7B4A6" wp14:paraId="508E93B0" wp14:textId="59AF685B">
      <w:pPr>
        <w:spacing w:before="120" w:beforeAutospacing="off" w:after="120" w:afterAutospacing="off" w:line="360" w:lineRule="auto"/>
        <w:ind w:left="720" w:hanging="720"/>
        <w:jc w:val="left"/>
        <w:rPr>
          <w:rFonts w:ascii="Times New Roman" w:hAnsi="Times New Roman" w:eastAsia="Times New Roman" w:cs="Times New Roman"/>
          <w:sz w:val="24"/>
          <w:szCs w:val="24"/>
        </w:rPr>
      </w:pPr>
      <w:r w:rsidRPr="20A7B4A6" w:rsidR="0281E8CE">
        <w:rPr>
          <w:rFonts w:ascii="Times New Roman" w:hAnsi="Times New Roman" w:eastAsia="Times New Roman" w:cs="Times New Roman"/>
          <w:noProof w:val="0"/>
          <w:sz w:val="24"/>
          <w:szCs w:val="24"/>
          <w:lang w:val="en-US"/>
        </w:rPr>
        <w:t xml:space="preserve">Ashton, K. (2009). That ‘Internet of Things’ thing. RFID Journal. </w:t>
      </w:r>
      <w:hyperlink r:id="Ra841623022e9424e">
        <w:r w:rsidRPr="20A7B4A6" w:rsidR="0281E8CE">
          <w:rPr>
            <w:rStyle w:val="Hyperlink"/>
            <w:rFonts w:ascii="Times New Roman" w:hAnsi="Times New Roman" w:eastAsia="Times New Roman" w:cs="Times New Roman"/>
            <w:noProof w:val="0"/>
            <w:sz w:val="24"/>
            <w:szCs w:val="24"/>
            <w:lang w:val="en-US"/>
          </w:rPr>
          <w:t>https://www.rfidjournal.com/that-internet-of-things-thing</w:t>
        </w:r>
      </w:hyperlink>
    </w:p>
    <w:p xmlns:wp14="http://schemas.microsoft.com/office/word/2010/wordml" w:rsidP="20A7B4A6" wp14:paraId="21E10F04" wp14:textId="4B43C322">
      <w:pPr>
        <w:spacing w:before="120" w:beforeAutospacing="off" w:after="120" w:afterAutospacing="off" w:line="360" w:lineRule="auto"/>
        <w:ind w:left="720" w:hanging="720"/>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Mayer-</w:t>
      </w:r>
      <w:r w:rsidRPr="20A7B4A6" w:rsidR="0281E8CE">
        <w:rPr>
          <w:rFonts w:ascii="Times New Roman" w:hAnsi="Times New Roman" w:eastAsia="Times New Roman" w:cs="Times New Roman"/>
          <w:noProof w:val="0"/>
          <w:sz w:val="24"/>
          <w:szCs w:val="24"/>
          <w:lang w:val="en-US"/>
        </w:rPr>
        <w:t>Schönberger</w:t>
      </w:r>
      <w:r w:rsidRPr="20A7B4A6" w:rsidR="0281E8CE">
        <w:rPr>
          <w:rFonts w:ascii="Times New Roman" w:hAnsi="Times New Roman" w:eastAsia="Times New Roman" w:cs="Times New Roman"/>
          <w:noProof w:val="0"/>
          <w:sz w:val="24"/>
          <w:szCs w:val="24"/>
          <w:lang w:val="en-US"/>
        </w:rPr>
        <w:t>, V., &amp; Cukier, K. (2013). Big data: A revolution that will transform how we live, work, and think. Houghton Mifflin Harcourt.</w:t>
      </w:r>
    </w:p>
    <w:p xmlns:wp14="http://schemas.microsoft.com/office/word/2010/wordml" w:rsidP="20A7B4A6" wp14:paraId="79EB1102" wp14:textId="6E932C79">
      <w:pPr>
        <w:spacing w:before="120" w:beforeAutospacing="off" w:after="120" w:afterAutospacing="off" w:line="360" w:lineRule="auto"/>
        <w:ind w:left="720" w:hanging="720"/>
        <w:jc w:val="left"/>
        <w:rPr>
          <w:rFonts w:ascii="Times New Roman" w:hAnsi="Times New Roman" w:eastAsia="Times New Roman" w:cs="Times New Roman"/>
          <w:sz w:val="24"/>
          <w:szCs w:val="24"/>
        </w:rPr>
      </w:pPr>
      <w:r w:rsidRPr="20A7B4A6" w:rsidR="0281E8CE">
        <w:rPr>
          <w:rFonts w:ascii="Times New Roman" w:hAnsi="Times New Roman" w:eastAsia="Times New Roman" w:cs="Times New Roman"/>
          <w:noProof w:val="0"/>
          <w:sz w:val="24"/>
          <w:szCs w:val="24"/>
          <w:lang w:val="en-US"/>
        </w:rPr>
        <w:t xml:space="preserve">Mell, P., &amp; Grance, T. (2011). The NIST definition of cloud computing (NIST Special Publication 800-145). National Institute of Standards and Technology. </w:t>
      </w:r>
      <w:hyperlink r:id="Rc5c3f2f509ad4129">
        <w:r w:rsidRPr="20A7B4A6" w:rsidR="0281E8CE">
          <w:rPr>
            <w:rStyle w:val="Hyperlink"/>
            <w:rFonts w:ascii="Times New Roman" w:hAnsi="Times New Roman" w:eastAsia="Times New Roman" w:cs="Times New Roman"/>
            <w:noProof w:val="0"/>
            <w:sz w:val="24"/>
            <w:szCs w:val="24"/>
            <w:lang w:val="en-US"/>
          </w:rPr>
          <w:t>https://doi.org/10.6028/NIST.SP.800-145</w:t>
        </w:r>
      </w:hyperlink>
    </w:p>
    <w:p xmlns:wp14="http://schemas.microsoft.com/office/word/2010/wordml" w:rsidP="20A7B4A6" wp14:paraId="5E150406" wp14:textId="3FF09288">
      <w:pPr>
        <w:spacing w:before="120" w:beforeAutospacing="off" w:after="120" w:afterAutospacing="off" w:line="360" w:lineRule="auto"/>
        <w:ind w:left="720" w:hanging="720"/>
        <w:jc w:val="left"/>
        <w:rPr>
          <w:rFonts w:ascii="Times New Roman" w:hAnsi="Times New Roman" w:eastAsia="Times New Roman" w:cs="Times New Roman"/>
          <w:sz w:val="24"/>
          <w:szCs w:val="24"/>
        </w:rPr>
      </w:pPr>
      <w:r w:rsidRPr="20A7B4A6" w:rsidR="0281E8CE">
        <w:rPr>
          <w:rFonts w:ascii="Times New Roman" w:hAnsi="Times New Roman" w:eastAsia="Times New Roman" w:cs="Times New Roman"/>
          <w:noProof w:val="0"/>
          <w:sz w:val="24"/>
          <w:szCs w:val="24"/>
          <w:lang w:val="en-US"/>
        </w:rPr>
        <w:t xml:space="preserve">Nakamoto, S. (2008). Bitcoin: A peer-to-peer electronic cash system. </w:t>
      </w:r>
      <w:hyperlink r:id="R4d94818caf6043e3">
        <w:r w:rsidRPr="20A7B4A6" w:rsidR="0281E8CE">
          <w:rPr>
            <w:rStyle w:val="Hyperlink"/>
            <w:rFonts w:ascii="Times New Roman" w:hAnsi="Times New Roman" w:eastAsia="Times New Roman" w:cs="Times New Roman"/>
            <w:noProof w:val="0"/>
            <w:sz w:val="24"/>
            <w:szCs w:val="24"/>
            <w:lang w:val="en-US"/>
          </w:rPr>
          <w:t>https://bitcoin.org/bitcoin.pdf</w:t>
        </w:r>
      </w:hyperlink>
    </w:p>
    <w:p xmlns:wp14="http://schemas.microsoft.com/office/word/2010/wordml" w:rsidP="20A7B4A6" wp14:paraId="2C078E63" wp14:textId="7500301D">
      <w:pPr>
        <w:spacing w:before="120" w:beforeAutospacing="off" w:after="120" w:afterAutospacing="off" w:line="360" w:lineRule="auto"/>
        <w:ind w:left="720" w:hanging="720"/>
        <w:jc w:val="left"/>
        <w:rPr>
          <w:rFonts w:ascii="Times New Roman" w:hAnsi="Times New Roman" w:eastAsia="Times New Roman" w:cs="Times New Roman"/>
          <w:noProof w:val="0"/>
          <w:sz w:val="24"/>
          <w:szCs w:val="24"/>
          <w:lang w:val="en-US"/>
        </w:rPr>
      </w:pPr>
      <w:r w:rsidRPr="20A7B4A6" w:rsidR="0281E8CE">
        <w:rPr>
          <w:rFonts w:ascii="Times New Roman" w:hAnsi="Times New Roman" w:eastAsia="Times New Roman" w:cs="Times New Roman"/>
          <w:noProof w:val="0"/>
          <w:sz w:val="24"/>
          <w:szCs w:val="24"/>
          <w:lang w:val="en-US"/>
        </w:rPr>
        <w:t>Russell, S., &amp; Norvig, P. (2021). Artificial intelligence: A modern approach (4th ed.). Pearson.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CBBC2C"/>
    <w:rsid w:val="0281E8CE"/>
    <w:rsid w:val="0C67A101"/>
    <w:rsid w:val="0CA35600"/>
    <w:rsid w:val="10F2B323"/>
    <w:rsid w:val="20A7B4A6"/>
    <w:rsid w:val="316DF6BA"/>
    <w:rsid w:val="452DB23B"/>
    <w:rsid w:val="61CBBC2C"/>
    <w:rsid w:val="62DAA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BBC2C"/>
  <w15:chartTrackingRefBased/>
  <w15:docId w15:val="{342C1A2F-3948-43E3-97C2-3FF51B9411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0A7B4A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rfidjournal.com/that-internet-of-things-thing" TargetMode="External" Id="Ra841623022e9424e" /><Relationship Type="http://schemas.openxmlformats.org/officeDocument/2006/relationships/hyperlink" Target="https://doi.org/10.6028/NIST.SP.800-145" TargetMode="External" Id="Rc5c3f2f509ad4129" /><Relationship Type="http://schemas.openxmlformats.org/officeDocument/2006/relationships/hyperlink" Target="https://bitcoin.org/bitcoin.pdf" TargetMode="External" Id="R4d94818caf6043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2026-01-03T06:17:11.1784637Z</dcterms:created>
  <dcterms:modified xsi:type="dcterms:W3CDTF">2026-01-03T06:22:38.2438960Z</dcterms:modified>
  <dc:creator>Nicanor  Maswili</dc:creator>
  <lastModifiedBy>Nicanor  Maswili</lastModifiedBy>
</coreProperties>
</file>