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2b61741dc45ecbaf4617816275168d157e0a294"/>
    <w:p>
      <w:pPr>
        <w:pStyle w:val="Heading1"/>
      </w:pPr>
      <w:r>
        <w:t xml:space="preserve">Public Goods and Government Interventions in Air Quality Management</w:t>
      </w:r>
    </w:p>
    <w:p>
      <w:pPr>
        <w:pStyle w:val="FirstParagraph"/>
      </w:pPr>
      <w:r>
        <w:rPr>
          <w:b/>
          <w:bCs/>
        </w:rPr>
        <w:t xml:space="preserve">Student</w:t>
      </w:r>
      <w:r>
        <w:t xml:space="preserve">: Nicanor Kyamba</w:t>
      </w:r>
      <w:r>
        <w:br/>
      </w:r>
      <w:r>
        <w:rPr>
          <w:b/>
          <w:bCs/>
        </w:rPr>
        <w:t xml:space="preserve">Course</w:t>
      </w:r>
      <w:r>
        <w:t xml:space="preserve">: ECON 1580 — Applied Economics: Theory and Practice</w:t>
      </w:r>
      <w:r>
        <w:br/>
      </w:r>
      <w:r>
        <w:rPr>
          <w:b/>
          <w:bCs/>
        </w:rPr>
        <w:t xml:space="preserve">Unit</w:t>
      </w:r>
      <w:r>
        <w:t xml:space="preserve">: 3 — Externalities, Public Goods, and Government Intervention</w:t>
      </w:r>
    </w:p>
    <w:p>
      <w:r>
        <w:pict>
          <v:rect style="width:0;height:1.5pt" o:hralign="center" o:hrstd="t" o:hr="t"/>
        </w:pict>
      </w:r>
    </w:p>
    <w:bookmarkStart w:id="9" w:name="introduction"/>
    <w:p>
      <w:pPr>
        <w:pStyle w:val="Heading2"/>
      </w:pPr>
      <w:r>
        <w:t xml:space="preserve">Introduction</w:t>
      </w:r>
    </w:p>
    <w:p>
      <w:pPr>
        <w:pStyle w:val="FirstParagraph"/>
      </w:pPr>
      <w:r>
        <w:t xml:space="preserve">Air quality policy is one of the clearest applications of externality theory and public goods analysis. Air pollution creates costs for people outside the market transaction that generates emissions, so private decision-makers typically do not bear the full social damage. Clean air, by contrast, is broadly shared and difficult to restrict to paying users, which makes underprovision likely in unregulated markets. For this reason, governments use legal standards, taxation, subsidies, and market-based instruments to correct market failure.</w:t>
      </w:r>
    </w:p>
    <w:p>
      <w:pPr>
        <w:pStyle w:val="BodyText"/>
      </w:pPr>
      <w:r>
        <w:t xml:space="preserve">This paper addresses two issues: how clean air reflects core public good characteristics, and how effectively a major policy intervention, the U.S. Clean Air Act, has addressed air pollution externalities.</w:t>
      </w:r>
    </w:p>
    <w:p>
      <w:r>
        <w:pict>
          <v:rect style="width:0;height:1.5pt" o:hralign="center" o:hrstd="t" o:hr="t"/>
        </w:pict>
      </w:r>
    </w:p>
    <w:bookmarkEnd w:id="9"/>
    <w:bookmarkStart w:id="10" w:name="Xb067cec1a912cb6f82c1faea5246a7bbc80f85b"/>
    <w:p>
      <w:pPr>
        <w:pStyle w:val="Heading2"/>
      </w:pPr>
      <w:r>
        <w:t xml:space="preserve">Question 1: How Public Good Characteristics Apply to Clean Air</w:t>
      </w:r>
    </w:p>
    <w:p>
      <w:pPr>
        <w:pStyle w:val="FirstParagraph"/>
      </w:pPr>
      <w:r>
        <w:t xml:space="preserve">A public good is usually defined by two characteristics:</w:t>
      </w:r>
      <w:r>
        <w:t xml:space="preserve"> </w:t>
      </w:r>
      <w:r>
        <w:rPr>
          <w:b/>
          <w:bCs/>
        </w:rPr>
        <w:t xml:space="preserve">non-rivalry</w:t>
      </w:r>
      <w:r>
        <w:t xml:space="preserve"> </w:t>
      </w:r>
      <w:r>
        <w:t xml:space="preserve">and</w:t>
      </w:r>
      <w:r>
        <w:t xml:space="preserve"> </w:t>
      </w:r>
      <w:r>
        <w:rPr>
          <w:b/>
          <w:bCs/>
        </w:rPr>
        <w:t xml:space="preserve">non-excludability</w:t>
      </w:r>
      <w:r>
        <w:t xml:space="preserve">. Clean air closely matches both.</w:t>
      </w:r>
    </w:p>
    <w:p>
      <w:pPr>
        <w:pStyle w:val="BodyText"/>
      </w:pPr>
      <w:r>
        <w:t xml:space="preserve">First, clean air is largely</w:t>
      </w:r>
      <w:r>
        <w:t xml:space="preserve"> </w:t>
      </w:r>
      <w:r>
        <w:rPr>
          <w:b/>
          <w:bCs/>
        </w:rPr>
        <w:t xml:space="preserve">non-rivalrous</w:t>
      </w:r>
      <w:r>
        <w:t xml:space="preserve"> </w:t>
      </w:r>
      <w:r>
        <w:t xml:space="preserve">at normal levels of use. One person’s breathing clean air does not significantly reduce the amount available to others. Unlike private goods such as food or fuel, consumption by one person does not substantially diminish consumption opportunities for another person. This means the marginal cost of one additional person’s consumption of cleaner air is close to zero in many contexts.</w:t>
      </w:r>
    </w:p>
    <w:p>
      <w:pPr>
        <w:pStyle w:val="BodyText"/>
      </w:pPr>
      <w:r>
        <w:t xml:space="preserve">Second, clean air is largely</w:t>
      </w:r>
      <w:r>
        <w:t xml:space="preserve"> </w:t>
      </w:r>
      <w:r>
        <w:rPr>
          <w:b/>
          <w:bCs/>
        </w:rPr>
        <w:t xml:space="preserve">non-excludable</w:t>
      </w:r>
      <w:r>
        <w:t xml:space="preserve">. It is difficult, and usually undesirable, to prevent people from benefiting from improved air quality once it is provided. If emissions are reduced in a city, all residents benefit, including those who did not directly pay for mitigation measures. This creates a classic free-rider problem: individuals and firms may prefer to let others bear the costs of pollution control while they still enjoy cleaner air.</w:t>
      </w:r>
    </w:p>
    <w:p>
      <w:pPr>
        <w:pStyle w:val="BodyText"/>
      </w:pPr>
      <w:r>
        <w:t xml:space="preserve">These features shape provision in predictable ways. Because polluters do not automatically face full social costs, and because benefits of cleaner air are hard to restrict to payers, markets tend to underprovide environmental quality relative to the social optimum (Greenlaw et al., 2022, sec. 12.1). The result is allocative inefficiency: too much pollution-intensive activity and too little abatement.</w:t>
      </w:r>
    </w:p>
    <w:p>
      <w:pPr>
        <w:pStyle w:val="BodyText"/>
      </w:pPr>
      <w:r>
        <w:t xml:space="preserve">Economic implications are substantial. Poor air quality raises health expenditure, reduces labor productivity, and increases absenteeism. It also weakens long-run competitiveness when firms and workers operate in unhealthy environments. In welfare terms, resources are misallocated because private price signals omit external damages.</w:t>
      </w:r>
    </w:p>
    <w:p>
      <w:pPr>
        <w:pStyle w:val="BodyText"/>
      </w:pPr>
      <w:r>
        <w:t xml:space="preserve">Clean air therefore demonstrates why public goods and externalities are linked in practice: when benefits are shared and exclusion is difficult, collective institutions are required for adequate provision.</w:t>
      </w:r>
    </w:p>
    <w:p>
      <w:r>
        <w:pict>
          <v:rect style="width:0;height:1.5pt" o:hralign="center" o:hrstd="t" o:hr="t"/>
        </w:pict>
      </w:r>
    </w:p>
    <w:bookmarkEnd w:id="10"/>
    <w:bookmarkStart w:id="15" w:name="Xf76005ffddba963558c01c9a9f82c9976b45bb2"/>
    <w:p>
      <w:pPr>
        <w:pStyle w:val="Heading2"/>
      </w:pPr>
      <w:r>
        <w:t xml:space="preserve">Question 2: Policy Example and Effectiveness — The U.S. Clean Air Act</w:t>
      </w:r>
    </w:p>
    <w:p>
      <w:pPr>
        <w:pStyle w:val="FirstParagraph"/>
      </w:pPr>
      <w:r>
        <w:t xml:space="preserve">A major policy aimed at reducing air pollution is the</w:t>
      </w:r>
      <w:r>
        <w:t xml:space="preserve"> </w:t>
      </w:r>
      <w:r>
        <w:rPr>
          <w:b/>
          <w:bCs/>
        </w:rPr>
        <w:t xml:space="preserve">U.S. Clean Air Act (CAA)</w:t>
      </w:r>
      <w:r>
        <w:t xml:space="preserve">, first enacted in 1970 and implemented mainly through the Environmental Protection Agency (EPA). The Act establishes national ambient air quality standards, regulates emissions from stationary and mobile sources, and enables federal-state implementation mechanisms (U.S. EPA, 2024).</w:t>
      </w:r>
    </w:p>
    <w:bookmarkStart w:id="11" w:name="policy-design"/>
    <w:p>
      <w:pPr>
        <w:pStyle w:val="Heading3"/>
      </w:pPr>
      <w:r>
        <w:t xml:space="preserve">Policy Design</w:t>
      </w:r>
    </w:p>
    <w:p>
      <w:pPr>
        <w:pStyle w:val="FirstParagraph"/>
      </w:pPr>
      <w:r>
        <w:t xml:space="preserve">The CAA combines several intervention tools:</w:t>
      </w:r>
      <w:r>
        <w:t xml:space="preserve"> </w:t>
      </w:r>
      <w:r>
        <w:t xml:space="preserve">-</w:t>
      </w:r>
      <w:r>
        <w:t xml:space="preserve"> </w:t>
      </w:r>
      <w:r>
        <w:rPr>
          <w:b/>
          <w:bCs/>
        </w:rPr>
        <w:t xml:space="preserve">Command-and-control regulation</w:t>
      </w:r>
      <w:r>
        <w:t xml:space="preserve"> </w:t>
      </w:r>
      <w:r>
        <w:t xml:space="preserve">through enforceable emissions standards and technology requirements.</w:t>
      </w:r>
      <w:r>
        <w:t xml:space="preserve"> </w:t>
      </w:r>
      <w:r>
        <w:t xml:space="preserve">-</w:t>
      </w:r>
      <w:r>
        <w:t xml:space="preserve"> </w:t>
      </w:r>
      <w:r>
        <w:rPr>
          <w:b/>
          <w:bCs/>
        </w:rPr>
        <w:t xml:space="preserve">Monitoring and enforcement systems</w:t>
      </w:r>
      <w:r>
        <w:t xml:space="preserve"> </w:t>
      </w:r>
      <w:r>
        <w:t xml:space="preserve">that require reporting and compliance checks.</w:t>
      </w:r>
      <w:r>
        <w:t xml:space="preserve"> </w:t>
      </w:r>
      <w:r>
        <w:t xml:space="preserve">-</w:t>
      </w:r>
      <w:r>
        <w:t xml:space="preserve"> </w:t>
      </w:r>
      <w:r>
        <w:rPr>
          <w:b/>
          <w:bCs/>
        </w:rPr>
        <w:t xml:space="preserve">Market-oriented elements</w:t>
      </w:r>
      <w:r>
        <w:t xml:space="preserve"> </w:t>
      </w:r>
      <w:r>
        <w:t xml:space="preserve">in some domains (e.g., tradable permit approaches used for specific pollutants over time).</w:t>
      </w:r>
    </w:p>
    <w:p>
      <w:pPr>
        <w:pStyle w:val="BodyText"/>
      </w:pPr>
      <w:r>
        <w:t xml:space="preserve">This mixed architecture reflects a core environmental economics insight: standards can secure minimum quality thresholds, while market instruments reduce compliance costs when firms face different abatement costs (Greenlaw et al., 2022, sec. 12.2-12.3; Siddiqui et al., 2023).</w:t>
      </w:r>
    </w:p>
    <w:bookmarkEnd w:id="11"/>
    <w:bookmarkStart w:id="12" w:name="X58029788b23380312fbe2697e3caed2d03a66b8"/>
    <w:p>
      <w:pPr>
        <w:pStyle w:val="Heading3"/>
      </w:pPr>
      <w:r>
        <w:t xml:space="preserve">Effectiveness in Addressing Externalities</w:t>
      </w:r>
    </w:p>
    <w:p>
      <w:pPr>
        <w:pStyle w:val="FirstParagraph"/>
      </w:pPr>
      <w:r>
        <w:t xml:space="preserve">The CAA has been broadly effective in reducing major pollutants while the economy continued to expand. EPA evidence indicates that aggregate emissions of key pollutants fell significantly over decades even as GDP and population increased (U.S. EPA, 2024). This weakens the claim that environmental regulation necessarily blocks growth.</w:t>
      </w:r>
    </w:p>
    <w:p>
      <w:pPr>
        <w:pStyle w:val="BodyText"/>
      </w:pPr>
      <w:r>
        <w:t xml:space="preserve">From an externality-correction perspective, the Act improves outcomes through three channels.</w:t>
      </w:r>
    </w:p>
    <w:p>
      <w:pPr>
        <w:pStyle w:val="Compact"/>
        <w:numPr>
          <w:ilvl w:val="0"/>
          <w:numId w:val="1001"/>
        </w:numPr>
      </w:pPr>
      <w:r>
        <w:rPr>
          <w:b/>
          <w:bCs/>
        </w:rPr>
        <w:t xml:space="preserve">Internalization pressure</w:t>
      </w:r>
      <w:r>
        <w:t xml:space="preserve">: standards and penalties force firms to account for pollution costs they would otherwise externalize.</w:t>
      </w:r>
    </w:p>
    <w:p>
      <w:pPr>
        <w:pStyle w:val="Compact"/>
        <w:numPr>
          <w:ilvl w:val="0"/>
          <w:numId w:val="1001"/>
        </w:numPr>
      </w:pPr>
      <w:r>
        <w:rPr>
          <w:b/>
          <w:bCs/>
        </w:rPr>
        <w:t xml:space="preserve">Innovation incentives</w:t>
      </w:r>
      <w:r>
        <w:t xml:space="preserve">: once compliance rules are predictable, firms invest in cleaner processes and technologies.</w:t>
      </w:r>
    </w:p>
    <w:p>
      <w:pPr>
        <w:pStyle w:val="Compact"/>
        <w:numPr>
          <w:ilvl w:val="0"/>
          <w:numId w:val="1001"/>
        </w:numPr>
      </w:pPr>
      <w:r>
        <w:rPr>
          <w:b/>
          <w:bCs/>
        </w:rPr>
        <w:t xml:space="preserve">Public health gains</w:t>
      </w:r>
      <w:r>
        <w:t xml:space="preserve">: lower pollution reduces mortality and morbidity risks, generating social benefits beyond private market transactions.</w:t>
      </w:r>
    </w:p>
    <w:bookmarkEnd w:id="12"/>
    <w:bookmarkStart w:id="13" w:name="limitations-and-ongoing-challenges"/>
    <w:p>
      <w:pPr>
        <w:pStyle w:val="Heading3"/>
      </w:pPr>
      <w:r>
        <w:t xml:space="preserve">Limitations and Ongoing Challenges</w:t>
      </w:r>
    </w:p>
    <w:p>
      <w:pPr>
        <w:pStyle w:val="FirstParagraph"/>
      </w:pPr>
      <w:r>
        <w:t xml:space="preserve">Even with strong design, limitations remain. Enforcement quality can vary by jurisdiction, regulatory capture is a persistent risk, and some pollutants involve cross-border spillovers that domestic law alone cannot solve. Climate-related externalities, in particular, require international coordination.</w:t>
      </w:r>
    </w:p>
    <w:p>
      <w:pPr>
        <w:pStyle w:val="BodyText"/>
      </w:pPr>
      <w:r>
        <w:t xml:space="preserve">India’s National Clean Air Programme (NCAP) is a useful comparative case. It shows that setting ambitious targets is not sufficient unless city-level implementation capacity, emissions monitoring, and institutional coordination are strong (Ganguly et al., 2020). The comparison reinforces a broader lesson: policy effectiveness depends on both instrument design and implementation quality.</w:t>
      </w:r>
    </w:p>
    <w:bookmarkEnd w:id="13"/>
    <w:bookmarkStart w:id="14" w:name="overall-assessment"/>
    <w:p>
      <w:pPr>
        <w:pStyle w:val="Heading3"/>
      </w:pPr>
      <w:r>
        <w:t xml:space="preserve">Overall Assessment</w:t>
      </w:r>
    </w:p>
    <w:p>
      <w:pPr>
        <w:pStyle w:val="FirstParagraph"/>
      </w:pPr>
      <w:r>
        <w:t xml:space="preserve">The Clean Air Act is an effective intervention against air pollution externalities. It does not remove all market failures, but it materially reduces them and improves welfare. Its core strength is institutional credibility: clear standards, enforceable obligations, and adaptive implementation mechanisms.</w:t>
      </w:r>
    </w:p>
    <w:p>
      <w:r>
        <w:pict>
          <v:rect style="width:0;height:1.5pt" o:hralign="center" o:hrstd="t" o:hr="t"/>
        </w:pict>
      </w:r>
    </w:p>
    <w:bookmarkEnd w:id="14"/>
    <w:bookmarkEnd w:id="15"/>
    <w:bookmarkStart w:id="16" w:name="conclusion"/>
    <w:p>
      <w:pPr>
        <w:pStyle w:val="Heading2"/>
      </w:pPr>
      <w:r>
        <w:t xml:space="preserve">Conclusion</w:t>
      </w:r>
    </w:p>
    <w:p>
      <w:pPr>
        <w:pStyle w:val="FirstParagraph"/>
      </w:pPr>
      <w:r>
        <w:t xml:space="preserve">Clean air has core public good features, so private markets alone underprovide it. Government intervention is therefore economically justified, not only politically desirable. The U.S. Clean Air Act shows that policy can reduce negative externalities through a practical mix of standards, enforcement, and selective market tools. Evidence from the U.S. and comparative experience from India indicate that outcomes improve when regulation is paired with credible implementation capacity. For applied economics, the broader lesson is that environmental governance is central to efficient market design, public health, and sustainable growth.</w:t>
      </w:r>
    </w:p>
    <w:p>
      <w:r>
        <w:pict>
          <v:rect style="width:0;height:1.5pt" o:hralign="center" o:hrstd="t" o:hr="t"/>
        </w:pict>
      </w:r>
    </w:p>
    <w:bookmarkEnd w:id="16"/>
    <w:bookmarkStart w:id="17" w:name="references"/>
    <w:p>
      <w:pPr>
        <w:pStyle w:val="Heading2"/>
      </w:pPr>
      <w:r>
        <w:t xml:space="preserve">References</w:t>
      </w:r>
    </w:p>
    <w:p>
      <w:pPr>
        <w:pStyle w:val="FirstParagraph"/>
      </w:pPr>
      <w:r>
        <w:t xml:space="preserve">Ganguly, T., Selvaraj, K. L., &amp; Guttikunda, S. K. (2020). National clean air programme (NCAP) for Indian cities: Review and outlook of clean air action plans.</w:t>
      </w:r>
      <w:r>
        <w:t xml:space="preserve"> </w:t>
      </w:r>
      <w:r>
        <w:rPr>
          <w:i/>
          <w:iCs/>
        </w:rPr>
        <w:t xml:space="preserve">Atmospheric Environment X, 8</w:t>
      </w:r>
      <w:r>
        <w:t xml:space="preserve">, 100096. https://doi.org/10.1016/j.aeaoa.2020.100096</w:t>
      </w:r>
    </w:p>
    <w:p>
      <w:pPr>
        <w:pStyle w:val="BodyText"/>
      </w:pPr>
      <w:r>
        <w:t xml:space="preserve">Greenlaw, S., Shapiro, D., &amp; MacDonald, D. (2022).</w:t>
      </w:r>
      <w:r>
        <w:t xml:space="preserve"> </w:t>
      </w:r>
      <w:r>
        <w:rPr>
          <w:i/>
          <w:iCs/>
        </w:rPr>
        <w:t xml:space="preserve">Principles of economics</w:t>
      </w:r>
      <w:r>
        <w:t xml:space="preserve"> </w:t>
      </w:r>
      <w:r>
        <w:t xml:space="preserve">(3rd ed.). OpenStax. https://openstax.org/books/principles-economics-3e/pages/1-introduction</w:t>
      </w:r>
    </w:p>
    <w:p>
      <w:pPr>
        <w:pStyle w:val="BodyText"/>
      </w:pPr>
      <w:r>
        <w:t xml:space="preserve">Siddiqui, A. S., Tanaka, M., &amp; Chen, Y. (2023). Market-based environmental policies in the power sector.</w:t>
      </w:r>
      <w:r>
        <w:t xml:space="preserve"> </w:t>
      </w:r>
      <w:r>
        <w:rPr>
          <w:i/>
          <w:iCs/>
        </w:rPr>
        <w:t xml:space="preserve">Current Sustainable/Renewable Energy Reports, 10</w:t>
      </w:r>
      <w:r>
        <w:t xml:space="preserve">(3), 59-74. https://doi.org/10.1007/s40518-023-00211-8</w:t>
      </w:r>
    </w:p>
    <w:p>
      <w:pPr>
        <w:pStyle w:val="BodyText"/>
      </w:pPr>
      <w:r>
        <w:t xml:space="preserve">U.S. Environmental Protection Agency. (2024, July 31).</w:t>
      </w:r>
      <w:r>
        <w:t xml:space="preserve"> </w:t>
      </w:r>
      <w:r>
        <w:rPr>
          <w:i/>
          <w:iCs/>
        </w:rPr>
        <w:t xml:space="preserve">Summary of the Clean Air Act</w:t>
      </w:r>
      <w:r>
        <w:t xml:space="preserve">. https://www.epa.gov/laws-regulations/summary-clean-air-act</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2026-04-27T17:10:54Z</dcterms:created>
  <dcterms:modified xsi:type="dcterms:W3CDTF">2026-04-27T17:10:54Z</dcterms:modified>
</cp:coreProperties>
</file>

<file path=docProps/custom.xml><?xml version="1.0" encoding="utf-8"?>
<Properties xmlns="http://schemas.openxmlformats.org/officeDocument/2006/custom-properties" xmlns:vt="http://schemas.openxmlformats.org/officeDocument/2006/docPropsVTypes"/>
</file>