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econ-1580-unit-3-discussion-assignment"/>
    <w:p>
      <w:pPr>
        <w:pStyle w:val="Heading1"/>
      </w:pPr>
      <w:r>
        <w:t xml:space="preserve">ECON 1580 — Unit 3 Discussion Assignment</w:t>
      </w:r>
    </w:p>
    <w:bookmarkStart w:id="9" w:name="X0c3afa53d713bb916f561a8627ca26ab6b0f7db"/>
    <w:p>
      <w:pPr>
        <w:pStyle w:val="Heading2"/>
      </w:pPr>
      <w:r>
        <w:t xml:space="preserve">Exploring Externalities in Real-World Contexts</w:t>
      </w:r>
    </w:p>
    <w:p>
      <w:pPr>
        <w:pStyle w:val="FirstParagraph"/>
      </w:pPr>
      <w:r>
        <w:rPr>
          <w:b/>
          <w:bCs/>
        </w:rPr>
        <w:t xml:space="preserve">Student</w:t>
      </w:r>
      <w:r>
        <w:t xml:space="preserve">: Nicanor Kyamba</w:t>
      </w:r>
      <w:r>
        <w:br/>
      </w:r>
      <w:r>
        <w:rPr>
          <w:b/>
          <w:bCs/>
        </w:rPr>
        <w:t xml:space="preserve">Course</w:t>
      </w:r>
      <w:r>
        <w:t xml:space="preserve">: ECON 1580 — Applied Economics: Theory and Practice</w:t>
      </w:r>
      <w:r>
        <w:br/>
      </w:r>
      <w:r>
        <w:rPr>
          <w:b/>
          <w:bCs/>
        </w:rPr>
        <w:t xml:space="preserve">Word Count</w:t>
      </w:r>
      <w:r>
        <w:t xml:space="preserve">: 398</w:t>
      </w:r>
    </w:p>
    <w:p>
      <w:r>
        <w:pict>
          <v:rect style="width:0;height:1.5pt" o:hralign="center" o:hrstd="t" o:hr="t"/>
        </w:pict>
      </w:r>
    </w:p>
    <w:bookmarkEnd w:id="9"/>
    <w:bookmarkStart w:id="10" w:name="identified-externality"/>
    <w:p>
      <w:pPr>
        <w:pStyle w:val="Heading2"/>
      </w:pPr>
      <w:r>
        <w:t xml:space="preserve">Identified Externality</w:t>
      </w:r>
    </w:p>
    <w:p>
      <w:pPr>
        <w:pStyle w:val="FirstParagraph"/>
      </w:pPr>
      <w:r>
        <w:t xml:space="preserve">The externality I selected is</w:t>
      </w:r>
      <w:r>
        <w:t xml:space="preserve"> </w:t>
      </w:r>
      <w:r>
        <w:rPr>
          <w:b/>
          <w:bCs/>
        </w:rPr>
        <w:t xml:space="preserve">urban transport-related air pollution in Nairobi</w:t>
      </w:r>
      <w:r>
        <w:t xml:space="preserve">, which is a</w:t>
      </w:r>
      <w:r>
        <w:t xml:space="preserve"> </w:t>
      </w:r>
      <w:r>
        <w:rPr>
          <w:b/>
          <w:bCs/>
        </w:rPr>
        <w:t xml:space="preserve">negative externality</w:t>
      </w:r>
      <w:r>
        <w:t xml:space="preserve">. The private transaction is between transport providers and passengers (or freight clients), but part of the cost is shifted to third parties through respiratory illness, lost productivity, and environmental damage. In economic terms, this creates a divergence between private and social cost: operators consider fuel and maintenance costs, but not the full health and environmental costs imposed on non-users. As a result, market output for pollution-intensive transport tends to be higher than the socially efficient level (Greenlaw et al., 2022, sec. 12.1).</w:t>
      </w:r>
    </w:p>
    <w:bookmarkEnd w:id="10"/>
    <w:bookmarkStart w:id="11" w:name="impact-on-local-markets"/>
    <w:p>
      <w:pPr>
        <w:pStyle w:val="Heading2"/>
      </w:pPr>
      <w:r>
        <w:t xml:space="preserve">Impact on Local Markets</w:t>
      </w:r>
    </w:p>
    <w:p>
      <w:pPr>
        <w:pStyle w:val="FirstParagraph"/>
      </w:pPr>
      <w:r>
        <w:t xml:space="preserve">At the</w:t>
      </w:r>
      <w:r>
        <w:t xml:space="preserve"> </w:t>
      </w:r>
      <w:r>
        <w:rPr>
          <w:b/>
          <w:bCs/>
        </w:rPr>
        <w:t xml:space="preserve">local market</w:t>
      </w:r>
      <w:r>
        <w:t xml:space="preserve"> </w:t>
      </w:r>
      <w:r>
        <w:t xml:space="preserve">level, this externality affects both efficiency and equity. First, it produces allocative inefficiency because prices for transport services do not include full social damage, so households and firms overconsume pollution-intensive transport options relative to cleaner alternatives. Second, it reallocates welfare regressively: low-income communities living near major roads bear disproportionate health burdens, while polluters are not fully charged for those damages. Third, health impacts reduce labor productivity and raise household medical expenditures, which indirectly suppresses local business performance and purchasing power. These outcomes reflect a classic market failure where private incentives and social welfare diverge.</w:t>
      </w:r>
    </w:p>
    <w:bookmarkEnd w:id="11"/>
    <w:bookmarkStart w:id="12" w:name="impact-on-global-markets"/>
    <w:p>
      <w:pPr>
        <w:pStyle w:val="Heading2"/>
      </w:pPr>
      <w:r>
        <w:t xml:space="preserve">Impact on Global Markets</w:t>
      </w:r>
    </w:p>
    <w:p>
      <w:pPr>
        <w:pStyle w:val="FirstParagraph"/>
      </w:pPr>
      <w:r>
        <w:t xml:space="preserve">At the</w:t>
      </w:r>
      <w:r>
        <w:t xml:space="preserve"> </w:t>
      </w:r>
      <w:r>
        <w:rPr>
          <w:b/>
          <w:bCs/>
        </w:rPr>
        <w:t xml:space="preserve">global market</w:t>
      </w:r>
      <w:r>
        <w:t xml:space="preserve"> </w:t>
      </w:r>
      <w:r>
        <w:t xml:space="preserve">level, transport emissions contribute to greenhouse gases and black carbon, linking local mobility decisions to climate-related damages across borders. This matters for global trade and investment because climate risk increasingly shapes market access, insurance costs, and capital allocation. Economies with persistent emissions externalities may face stricter standards in export markets or higher transition costs as decarbonization accelerates. Greenlaw et al. (2022) note that international externalities require coordinated responses because benefits are global while policy costs are often local and immediate (sec. 12.5).</w:t>
      </w:r>
    </w:p>
    <w:bookmarkEnd w:id="12"/>
    <w:bookmarkStart w:id="13" w:name="policy-implications"/>
    <w:p>
      <w:pPr>
        <w:pStyle w:val="Heading2"/>
      </w:pPr>
      <w:r>
        <w:t xml:space="preserve">Policy Implications</w:t>
      </w:r>
    </w:p>
    <w:p>
      <w:pPr>
        <w:pStyle w:val="FirstParagraph"/>
      </w:pPr>
      <w:r>
        <w:t xml:space="preserve">Policy-wise, command-and-control standards (vehicle inspections and emissions limits) can set a baseline, but market-oriented tools are often more cost-effective over time. Examples include congestion pricing, fuel taxes calibrated to pollution intensity, and targeted subsidies for cleaner public transport fleets. These interventions internalize external costs and shift incentives toward lower-emission choices while preserving flexibility for firms and households (Greenlaw et al., 2022, sec. 12.2-12.3; YouAccel, 2025). Overall, the Nairobi case shows how one externality can distort both local and global markets unless policy aligns private decisions with social costs.</w:t>
      </w:r>
    </w:p>
    <w:p>
      <w:r>
        <w:pict>
          <v:rect style="width:0;height:1.5pt" o:hralign="center" o:hrstd="t" o:hr="t"/>
        </w:pict>
      </w:r>
    </w:p>
    <w:bookmarkEnd w:id="13"/>
    <w:bookmarkStart w:id="14" w:name="references"/>
    <w:p>
      <w:pPr>
        <w:pStyle w:val="Heading2"/>
      </w:pPr>
      <w:r>
        <w:t xml:space="preserve">References</w:t>
      </w:r>
    </w:p>
    <w:p>
      <w:pPr>
        <w:pStyle w:val="FirstParagraph"/>
      </w:pPr>
      <w:r>
        <w:t xml:space="preserve">Greenlaw, S., Shapiro, D., &amp; MacDonald, D. (2022).</w:t>
      </w:r>
      <w:r>
        <w:t xml:space="preserve"> </w:t>
      </w:r>
      <w:r>
        <w:rPr>
          <w:i/>
          <w:iCs/>
        </w:rPr>
        <w:t xml:space="preserve">Principles of economics</w:t>
      </w:r>
      <w:r>
        <w:t xml:space="preserve"> </w:t>
      </w:r>
      <w:r>
        <w:t xml:space="preserve">(3rd ed.). OpenStax. https://openstax.org/books/principles-economics-3e/pages/1-introduction</w:t>
      </w:r>
    </w:p>
    <w:p>
      <w:pPr>
        <w:pStyle w:val="BodyText"/>
      </w:pPr>
      <w:r>
        <w:t xml:space="preserve">YouAccel. (2025, January 24).</w:t>
      </w:r>
      <w:r>
        <w:t xml:space="preserve"> </w:t>
      </w:r>
      <w:r>
        <w:rPr>
          <w:i/>
          <w:iCs/>
        </w:rPr>
        <w:t xml:space="preserve">Market-based environmental policies</w:t>
      </w:r>
      <w:r>
        <w:t xml:space="preserve"> </w:t>
      </w:r>
      <w:r>
        <w:t xml:space="preserve">[Video]. YouTube. https://www.youtube.com/</w:t>
      </w:r>
      <w:r>
        <w:t xml:space="preserve">@YouAccel</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2026-04-27T17:10:54Z</dcterms:created>
  <dcterms:modified xsi:type="dcterms:W3CDTF">2026-04-27T17:10:54Z</dcterms:modified>
</cp:coreProperties>
</file>

<file path=docProps/custom.xml><?xml version="1.0" encoding="utf-8"?>
<Properties xmlns="http://schemas.openxmlformats.org/officeDocument/2006/custom-properties" xmlns:vt="http://schemas.openxmlformats.org/officeDocument/2006/docPropsVTypes"/>
</file>