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dfdc3b4d84590a206e599db42aa3a01a5dc8987"/>
    <w:p>
      <w:pPr>
        <w:pStyle w:val="Heading1"/>
        <w:spacing w:line="480" w:lineRule="exact" w:after="0"/>
      </w:pPr>
      <w:r>
        <w:rPr>
          <w:rFonts w:ascii="Times New Roman" w:hAnsi="Times New Roman"/>
          <w:sz w:val="24"/>
        </w:rPr>
        <w:t xml:space="preserve">Competition and Fair Markets: Kenya’s Regulatory Framework</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ECON 1580 — Applied Economics: Theory and Practice</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2 — Regulatory Policies and Market Competition</w:t>
      </w:r>
    </w:p>
    <w:p>
      <w:pPr>
        <w:spacing w:line="480" w:lineRule="exact" w:after="0"/>
      </w:pPr>
      <w:r>
        <w:rPr>
          <w:rFonts w:ascii="Times New Roman" w:hAnsi="Times New Roman"/>
          <w:sz w:val="24"/>
        </w:rPr>
        <w:pict>
          <v:rect style="width:0;height:1.5pt" o:hralign="center" o:hrstd="t" o:hr="t"/>
        </w:pict>
      </w:r>
    </w:p>
    <w:bookmarkStart w:id="9" w:name="introduction"/>
    <w:p>
      <w:pPr>
        <w:pStyle w:val="Heading2"/>
        <w:spacing w:line="480" w:lineRule="exact" w:after="0"/>
      </w:pPr>
      <w:r>
        <w:rPr>
          <w:rFonts w:ascii="Times New Roman" w:hAnsi="Times New Roman"/>
          <w:sz w:val="24"/>
        </w:rPr>
        <w:t xml:space="preserve">Introduction</w:t>
      </w:r>
    </w:p>
    <w:p>
      <w:pPr>
        <w:pStyle w:val="FirstParagraph"/>
        <w:spacing w:line="480" w:lineRule="exact" w:after="0"/>
      </w:pPr>
      <w:r>
        <w:rPr>
          <w:rFonts w:ascii="Times New Roman" w:hAnsi="Times New Roman"/>
          <w:sz w:val="24"/>
        </w:rPr>
        <w:t xml:space="preserve">Kenya’s economy has undergone significant transformation over the past two decades, driven by rapid growth in telecommunications, financial services, and digital commerce. This expansion has brought with it new challenges for market regulation — particularly the risk of dominant firms leveraging their market position to suppress competition and harm consumers. Kenya’s competition law framework, anchored by the Competition Act of 2010 and administered by the Competition Authority of Kenya (CAK), provides the institutional foundation for addressing these challenges. This paper examines Kenya’s key regulatory policy for market competition, a significant antitrust case, and an assessment of the effectiveness of Kenya’s competition laws.</w:t>
      </w:r>
    </w:p>
    <w:p>
      <w:pPr>
        <w:spacing w:line="480" w:lineRule="exact" w:after="0"/>
      </w:pPr>
      <w:r>
        <w:rPr>
          <w:rFonts w:ascii="Times New Roman" w:hAnsi="Times New Roman"/>
          <w:sz w:val="24"/>
        </w:rPr>
        <w:pict>
          <v:rect style="width:0;height:1.5pt" o:hralign="center" o:hrstd="t" o:hr="t"/>
        </w:pict>
      </w:r>
    </w:p>
    <w:bookmarkEnd w:id="9"/>
    <w:bookmarkStart w:id="10" w:name="X4925b56c48b6a04f7b226299ec3498d18e8515f"/>
    <w:p>
      <w:pPr>
        <w:pStyle w:val="Heading2"/>
        <w:spacing w:line="480" w:lineRule="exact" w:after="0"/>
      </w:pPr>
      <w:r>
        <w:rPr>
          <w:rFonts w:ascii="Times New Roman" w:hAnsi="Times New Roman"/>
          <w:sz w:val="24"/>
        </w:rPr>
        <w:t xml:space="preserve">Question 1: Kenya’s Key Regulatory Policy — The Competition Act (2010)</w:t>
      </w:r>
    </w:p>
    <w:p>
      <w:pPr>
        <w:pStyle w:val="FirstParagraph"/>
        <w:spacing w:line="480" w:lineRule="exact" w:after="0"/>
      </w:pPr>
      <w:r>
        <w:rPr>
          <w:rFonts w:ascii="Times New Roman" w:hAnsi="Times New Roman"/>
          <w:sz w:val="24"/>
        </w:rPr>
        <w:t xml:space="preserve">Kenya’s primary regulatory instrument for maintaining competitive markets is the</w:t>
      </w:r>
      <w:r>
        <w:rPr>
          <w:rFonts w:ascii="Times New Roman" w:hAnsi="Times New Roman"/>
          <w:sz w:val="24"/>
        </w:rPr>
        <w:t xml:space="preserve"> </w:t>
      </w:r>
      <w:r>
        <w:rPr>
          <w:rFonts w:ascii="Times New Roman" w:hAnsi="Times New Roman"/>
          <w:b/>
          <w:bCs/>
          <w:sz w:val="24"/>
        </w:rPr>
        <w:t xml:space="preserve">Competition Act No. 12 of 2010</w:t>
      </w:r>
      <w:r>
        <w:rPr>
          <w:rFonts w:ascii="Times New Roman" w:hAnsi="Times New Roman"/>
          <w:sz w:val="24"/>
        </w:rPr>
        <w:t xml:space="preserve">, which established the Competition Authority of Kenya as the independent body responsible for enforcing competition law. The Act prohibits a range of anti-competitive practices including restrictive trade practices, abuse of dominant market position, and mergers that substantially lessen competition (Competition Authority of Kenya, 2023).</w:t>
      </w:r>
    </w:p>
    <w:p>
      <w:pPr>
        <w:pStyle w:val="BodyText"/>
        <w:spacing w:line="480" w:lineRule="exact" w:after="0"/>
      </w:pPr>
      <w:r>
        <w:rPr>
          <w:rFonts w:ascii="Times New Roman" w:hAnsi="Times New Roman"/>
          <w:sz w:val="24"/>
        </w:rPr>
        <w:t xml:space="preserve">The Act’s core mechanism for promoting fairness is its prohibition on</w:t>
      </w:r>
      <w:r>
        <w:rPr>
          <w:rFonts w:ascii="Times New Roman" w:hAnsi="Times New Roman"/>
          <w:sz w:val="24"/>
        </w:rPr>
        <w:t xml:space="preserve"> </w:t>
      </w:r>
      <w:r>
        <w:rPr>
          <w:rFonts w:ascii="Times New Roman" w:hAnsi="Times New Roman"/>
          <w:b/>
          <w:bCs/>
          <w:sz w:val="24"/>
        </w:rPr>
        <w:t xml:space="preserve">abuse of dominance</w:t>
      </w:r>
      <w:r>
        <w:rPr>
          <w:rFonts w:ascii="Times New Roman" w:hAnsi="Times New Roman"/>
          <w:sz w:val="24"/>
        </w:rPr>
        <w:t xml:space="preserve"> </w:t>
      </w:r>
      <w:r>
        <w:rPr>
          <w:rFonts w:ascii="Times New Roman" w:hAnsi="Times New Roman"/>
          <w:sz w:val="24"/>
        </w:rPr>
        <w:t xml:space="preserve">— a provision that prevents firms with significant market power from engaging in exclusionary or exploitative conduct. A firm is considered dominant if it holds a market share that enables it to act independently of competitive pressures. This provision is directly analogous to the antitrust principles described by Greenlaw et al. (2022), who explain that monopoly power allows firms to set prices above the competitive level, creating deadweight loss and reducing consumer welfare (Chapter 9).</w:t>
      </w:r>
    </w:p>
    <w:p>
      <w:pPr>
        <w:pStyle w:val="BodyText"/>
        <w:spacing w:line="480" w:lineRule="exact" w:after="0"/>
      </w:pPr>
      <w:r>
        <w:rPr>
          <w:rFonts w:ascii="Times New Roman" w:hAnsi="Times New Roman"/>
          <w:sz w:val="24"/>
        </w:rPr>
        <w:t xml:space="preserve">For consumer protection, the Act empowers the CAK to investigate and sanction price-fixing agreements, bid-rigging, and market allocation schemes — practices that Greenlaw et al. (2022) identify as the primary mechanisms through which firms in oligopolistic markets collude to replicate monopoly outcomes (Chapter 8). The Act also requires pre-merger notification for transactions above specified thresholds, allowing the CAK to block or impose conditions on mergers that would substantially reduce competition.</w:t>
      </w:r>
    </w:p>
    <w:p>
      <w:pPr>
        <w:pStyle w:val="BodyText"/>
        <w:spacing w:line="480" w:lineRule="exact" w:after="0"/>
      </w:pPr>
      <w:r>
        <w:rPr>
          <w:rFonts w:ascii="Times New Roman" w:hAnsi="Times New Roman"/>
          <w:sz w:val="24"/>
        </w:rPr>
        <w:t xml:space="preserve">For economic efficiency, the regulatory framework creates the conditions under which markets can approach the allocative and productive efficiency benchmarks of perfect competition — where price equals marginal cost and production occurs at minimum average total cost (Greenlaw et al., 2022, Section 8.4). By preventing dominant firms from erecting artificial barriers to entry, the Act enables new competitors to enter markets, driving down prices and improving quality for consumers.</w:t>
      </w:r>
    </w:p>
    <w:p>
      <w:pPr>
        <w:spacing w:line="480" w:lineRule="exact" w:after="0"/>
      </w:pPr>
      <w:r>
        <w:rPr>
          <w:rFonts w:ascii="Times New Roman" w:hAnsi="Times New Roman"/>
          <w:sz w:val="24"/>
        </w:rPr>
        <w:pict>
          <v:rect style="width:0;height:1.5pt" o:hralign="center" o:hrstd="t" o:hr="t"/>
        </w:pict>
      </w:r>
    </w:p>
    <w:bookmarkEnd w:id="10"/>
    <w:bookmarkStart w:id="11" w:name="X9fdca0e8ac0edd18fe745088d8ff6aabcf06c66"/>
    <w:p>
      <w:pPr>
        <w:pStyle w:val="Heading2"/>
        <w:spacing w:line="480" w:lineRule="exact" w:after="0"/>
      </w:pPr>
      <w:r>
        <w:rPr>
          <w:rFonts w:ascii="Times New Roman" w:hAnsi="Times New Roman"/>
          <w:sz w:val="24"/>
        </w:rPr>
        <w:t xml:space="preserve">Question 2: Significant Antitrust Case — Safaricom and the Mobile Money Market</w:t>
      </w:r>
    </w:p>
    <w:p>
      <w:pPr>
        <w:pStyle w:val="FirstParagraph"/>
        <w:spacing w:line="480" w:lineRule="exact" w:after="0"/>
      </w:pPr>
      <w:r>
        <w:rPr>
          <w:rFonts w:ascii="Times New Roman" w:hAnsi="Times New Roman"/>
          <w:sz w:val="24"/>
        </w:rPr>
        <w:t xml:space="preserve">The most significant antitrust case in Kenya’s recent history involves</w:t>
      </w:r>
      <w:r>
        <w:rPr>
          <w:rFonts w:ascii="Times New Roman" w:hAnsi="Times New Roman"/>
          <w:sz w:val="24"/>
        </w:rPr>
        <w:t xml:space="preserve"> </w:t>
      </w:r>
      <w:r>
        <w:rPr>
          <w:rFonts w:ascii="Times New Roman" w:hAnsi="Times New Roman"/>
          <w:b/>
          <w:bCs/>
          <w:sz w:val="24"/>
        </w:rPr>
        <w:t xml:space="preserve">Safaricom Limited</w:t>
      </w:r>
      <w:r>
        <w:rPr>
          <w:rFonts w:ascii="Times New Roman" w:hAnsi="Times New Roman"/>
          <w:sz w:val="24"/>
        </w:rPr>
        <w:t xml:space="preserve"> </w:t>
      </w:r>
      <w:r>
        <w:rPr>
          <w:rFonts w:ascii="Times New Roman" w:hAnsi="Times New Roman"/>
          <w:sz w:val="24"/>
        </w:rPr>
        <w:t xml:space="preserve">and its dominance in the mobile money and telecommunications markets. Safaricom operates M-Pesa, Kenya’s dominant mobile money platform, which processes over 60% of Kenya’s GDP in transaction value annually and serves more than 30 million active users (Competition Authority of Kenya, 2023). Safaricom simultaneously holds approximately 65% of the mobile subscriber market, giving it an unparalleled combination of telecommunications and financial services dominance.</w:t>
      </w:r>
    </w:p>
    <w:p>
      <w:pPr>
        <w:pStyle w:val="BodyText"/>
        <w:spacing w:line="480" w:lineRule="exact" w:after="0"/>
      </w:pPr>
      <w:r>
        <w:rPr>
          <w:rFonts w:ascii="Times New Roman" w:hAnsi="Times New Roman"/>
          <w:sz w:val="24"/>
        </w:rPr>
        <w:t xml:space="preserve">In 2018, the CAK conducted a market inquiry into the mobile money sector and found that Safaricom’s bundling of M-Pesa with its telecommunications services created significant barriers to entry for competing mobile money providers. Competitors such as Airtel Money and T-Kash faced structural disadvantages because Safaricom’s network dominance meant that most potential transaction counterparties were on the Safaricom network, making interoperability essential for competitors to offer a viable service. The CAK’s findings led to the implementation of mandatory mobile money interoperability — requiring all mobile money providers to allow cross-network transactions — which directly mirrors the regulatory intervention described by Tirole (2024), who argues that interoperability requirements are among the most effective tools for reducing network externality barriers in digital markets.</w:t>
      </w:r>
    </w:p>
    <w:p>
      <w:pPr>
        <w:pStyle w:val="BodyText"/>
        <w:spacing w:line="480" w:lineRule="exact" w:after="0"/>
      </w:pPr>
      <w:r>
        <w:rPr>
          <w:rFonts w:ascii="Times New Roman" w:hAnsi="Times New Roman"/>
          <w:sz w:val="24"/>
        </w:rPr>
        <w:t xml:space="preserve">This case illustrates how antitrust enforcement in Kenya has had to grapple with the same challenges that regulators face globally in digital markets: dominant platforms that leverage network effects to entrench their position and raise barriers to entry for competitors. Spulber (2022) argues that such cases require antitrust frameworks to move beyond traditional price-based analysis and address the structural features of platform markets — a challenge the CAK has begun to address through its digital economy market inquiries.</w:t>
      </w:r>
    </w:p>
    <w:p>
      <w:pPr>
        <w:spacing w:line="480" w:lineRule="exact" w:after="0"/>
      </w:pPr>
      <w:r>
        <w:rPr>
          <w:rFonts w:ascii="Times New Roman" w:hAnsi="Times New Roman"/>
          <w:sz w:val="24"/>
        </w:rPr>
        <w:pict>
          <v:rect style="width:0;height:1.5pt" o:hralign="center" o:hrstd="t" o:hr="t"/>
        </w:pict>
      </w:r>
    </w:p>
    <w:bookmarkEnd w:id="11"/>
    <w:bookmarkStart w:id="12" w:name="X0341b7643bc5efe2905331214c2ff25a0c149c9"/>
    <w:p>
      <w:pPr>
        <w:pStyle w:val="Heading2"/>
        <w:spacing w:line="480" w:lineRule="exact" w:after="0"/>
      </w:pPr>
      <w:r>
        <w:rPr>
          <w:rFonts w:ascii="Times New Roman" w:hAnsi="Times New Roman"/>
          <w:sz w:val="24"/>
        </w:rPr>
        <w:t xml:space="preserve">Question 3: Effectiveness of Kenya’s Competition Laws</w:t>
      </w:r>
    </w:p>
    <w:p>
      <w:pPr>
        <w:pStyle w:val="FirstParagraph"/>
        <w:spacing w:line="480" w:lineRule="exact" w:after="0"/>
      </w:pPr>
      <w:r>
        <w:rPr>
          <w:rFonts w:ascii="Times New Roman" w:hAnsi="Times New Roman"/>
          <w:sz w:val="24"/>
        </w:rPr>
        <w:t xml:space="preserve">Kenya’s competition law framework has demonstrated meaningful effectiveness in several respects, while also exhibiting significant weaknesses that limit its impact.</w:t>
      </w:r>
    </w:p>
    <w:p>
      <w:pPr>
        <w:pStyle w:val="BodyText"/>
        <w:spacing w:line="480" w:lineRule="exact" w:after="0"/>
      </w:pPr>
      <w:r>
        <w:rPr>
          <w:rFonts w:ascii="Times New Roman" w:hAnsi="Times New Roman"/>
          <w:b/>
          <w:bCs/>
          <w:sz w:val="24"/>
        </w:rPr>
        <w:t xml:space="preserve">Strengths</w:t>
      </w:r>
      <w:r>
        <w:rPr>
          <w:rFonts w:ascii="Times New Roman" w:hAnsi="Times New Roman"/>
          <w:sz w:val="24"/>
        </w:rPr>
        <w:t xml:space="preserve">: The CAK has successfully conducted market inquiries in key sectors including telecommunications, financial services, and petroleum, resulting in structural remedies that have improved competitive conditions. The mobile money interoperability intervention is a concrete example of regulation producing measurable consumer benefit — reduced transaction costs and expanded access to financial services for previously excluded populations. The CAK has also blocked several anti-competitive mergers and imposed conditions on others, preventing further consolidation in already concentrated markets.</w:t>
      </w:r>
    </w:p>
    <w:p>
      <w:pPr>
        <w:pStyle w:val="BodyText"/>
        <w:spacing w:line="480" w:lineRule="exact" w:after="0"/>
      </w:pPr>
      <w:r>
        <w:rPr>
          <w:rFonts w:ascii="Times New Roman" w:hAnsi="Times New Roman"/>
          <w:b/>
          <w:bCs/>
          <w:sz w:val="24"/>
        </w:rPr>
        <w:t xml:space="preserve">Weaknesses</w:t>
      </w:r>
      <w:r>
        <w:rPr>
          <w:rFonts w:ascii="Times New Roman" w:hAnsi="Times New Roman"/>
          <w:sz w:val="24"/>
        </w:rPr>
        <w:t xml:space="preserve">: Despite these achievements, Kenya’s competition law framework faces two significant limitations. First,</w:t>
      </w:r>
      <w:r>
        <w:rPr>
          <w:rFonts w:ascii="Times New Roman" w:hAnsi="Times New Roman"/>
          <w:sz w:val="24"/>
        </w:rPr>
        <w:t xml:space="preserve"> </w:t>
      </w:r>
      <w:r>
        <w:rPr>
          <w:rFonts w:ascii="Times New Roman" w:hAnsi="Times New Roman"/>
          <w:b/>
          <w:bCs/>
          <w:sz w:val="24"/>
        </w:rPr>
        <w:t xml:space="preserve">enforcement capacity</w:t>
      </w:r>
      <w:r>
        <w:rPr>
          <w:rFonts w:ascii="Times New Roman" w:hAnsi="Times New Roman"/>
          <w:sz w:val="24"/>
        </w:rPr>
        <w:t xml:space="preserve"> </w:t>
      </w:r>
      <w:r>
        <w:rPr>
          <w:rFonts w:ascii="Times New Roman" w:hAnsi="Times New Roman"/>
          <w:sz w:val="24"/>
        </w:rPr>
        <w:t xml:space="preserve">remains constrained — the CAK operates with limited resources relative to the complexity of the markets it regulates, particularly in the digital economy. Second,</w:t>
      </w:r>
      <w:r>
        <w:rPr>
          <w:rFonts w:ascii="Times New Roman" w:hAnsi="Times New Roman"/>
          <w:sz w:val="24"/>
        </w:rPr>
        <w:t xml:space="preserve"> </w:t>
      </w:r>
      <w:r>
        <w:rPr>
          <w:rFonts w:ascii="Times New Roman" w:hAnsi="Times New Roman"/>
          <w:b/>
          <w:bCs/>
          <w:sz w:val="24"/>
        </w:rPr>
        <w:t xml:space="preserve">penalties are insufficiently deterrent</w:t>
      </w:r>
      <w:r>
        <w:rPr>
          <w:rFonts w:ascii="Times New Roman" w:hAnsi="Times New Roman"/>
          <w:sz w:val="24"/>
        </w:rPr>
        <w:t xml:space="preserve">: fines under the Competition Act are modest relative to the profits dominant firms earn from anti-competitive conduct, reducing the incentive for compliance.</w:t>
      </w:r>
    </w:p>
    <w:p>
      <w:pPr>
        <w:pStyle w:val="BodyText"/>
        <w:spacing w:line="480" w:lineRule="exact" w:after="0"/>
      </w:pPr>
      <w:r>
        <w:rPr>
          <w:rFonts w:ascii="Times New Roman" w:hAnsi="Times New Roman"/>
          <w:sz w:val="24"/>
        </w:rPr>
        <w:t xml:space="preserve">Greenlaw et al. (2022) note that the effectiveness of competition law depends critically on enforcement mechanisms and available resources (Chapter 9). Kenya’s experience confirms this: the legal framework is sound, but institutional capacity and penalty structures need strengthening to protect consumers and maintain a level playing field.</w:t>
      </w:r>
    </w:p>
    <w:p>
      <w:pPr>
        <w:spacing w:line="480" w:lineRule="exact" w:after="0"/>
      </w:pPr>
      <w:r>
        <w:rPr>
          <w:rFonts w:ascii="Times New Roman" w:hAnsi="Times New Roman"/>
          <w:sz w:val="24"/>
        </w:rPr>
        <w:pict>
          <v:rect style="width:0;height:1.5pt" o:hralign="center" o:hrstd="t" o:hr="t"/>
        </w:pict>
      </w:r>
    </w:p>
    <w:bookmarkEnd w:id="12"/>
    <w:bookmarkStart w:id="13" w:name="conclusion"/>
    <w:p>
      <w:pPr>
        <w:pStyle w:val="Heading2"/>
        <w:spacing w:line="480" w:lineRule="exact" w:after="0"/>
      </w:pPr>
      <w:r>
        <w:rPr>
          <w:rFonts w:ascii="Times New Roman" w:hAnsi="Times New Roman"/>
          <w:sz w:val="24"/>
        </w:rPr>
        <w:t xml:space="preserve">Conclusion</w:t>
      </w:r>
    </w:p>
    <w:p>
      <w:pPr>
        <w:pStyle w:val="FirstParagraph"/>
        <w:spacing w:line="480" w:lineRule="exact" w:after="0"/>
      </w:pPr>
      <w:r>
        <w:rPr>
          <w:rFonts w:ascii="Times New Roman" w:hAnsi="Times New Roman"/>
          <w:sz w:val="24"/>
        </w:rPr>
        <w:t xml:space="preserve">Kenya’s Competition Act of 2010 provides a robust legal foundation for maintaining competitive markets, and the CAK’s intervention in the mobile money sector demonstrates that the framework can produce meaningful outcomes when effectively enforced. However, the challenges of regulating dominant digital platforms — characterized by network externalities, data advantages, and rapid innovation — require continued evolution of both the legal framework and the institutional capacity of the CAK. Strengthening enforcement resources and penalty structures would significantly improve the effectiveness of Kenya’s competition law in protecting consumers and promoting fair market competition.</w:t>
      </w:r>
    </w:p>
    <w:p>
      <w:pPr>
        <w:spacing w:line="480" w:lineRule="exact" w:after="0"/>
      </w:pPr>
      <w:r>
        <w:rPr>
          <w:rFonts w:ascii="Times New Roman" w:hAnsi="Times New Roman"/>
          <w:sz w:val="24"/>
        </w:rPr>
        <w:pict>
          <v:rect style="width:0;height:1.5pt" o:hralign="center" o:hrstd="t" o:hr="t"/>
        </w:pict>
      </w:r>
    </w:p>
    <w:bookmarkEnd w:id="13"/>
    <w:bookmarkStart w:id="14"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Competition Authority of Kenya. (2023).</w:t>
      </w:r>
      <w:r>
        <w:rPr>
          <w:rFonts w:ascii="Times New Roman" w:hAnsi="Times New Roman"/>
          <w:sz w:val="24"/>
        </w:rPr>
        <w:t xml:space="preserve"> </w:t>
      </w:r>
      <w:r>
        <w:rPr>
          <w:rFonts w:ascii="Times New Roman" w:hAnsi="Times New Roman"/>
          <w:i/>
          <w:iCs/>
          <w:sz w:val="24"/>
        </w:rPr>
        <w:t xml:space="preserve">Annual report and financial statements 2022/2023</w:t>
      </w:r>
      <w:r>
        <w:rPr>
          <w:rFonts w:ascii="Times New Roman" w:hAnsi="Times New Roman"/>
          <w:sz w:val="24"/>
        </w:rPr>
        <w:t xml:space="preserve">. https://www.cak.go.ke</w:t>
      </w:r>
    </w:p>
    <w:p>
      <w:pPr>
        <w:pStyle w:val="BodyText"/>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Spulber, D. F. (2022). Antitrust and innovation competition.</w:t>
      </w:r>
      <w:r>
        <w:rPr>
          <w:rFonts w:ascii="Times New Roman" w:hAnsi="Times New Roman"/>
          <w:sz w:val="24"/>
        </w:rPr>
        <w:t xml:space="preserve"> </w:t>
      </w:r>
      <w:r>
        <w:rPr>
          <w:rFonts w:ascii="Times New Roman" w:hAnsi="Times New Roman"/>
          <w:i/>
          <w:iCs/>
          <w:sz w:val="24"/>
        </w:rPr>
        <w:t xml:space="preserve">Journal of Antitrust Enforcement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11</w:t>
      </w:r>
      <w:r>
        <w:rPr>
          <w:rFonts w:ascii="Times New Roman" w:hAnsi="Times New Roman"/>
          <w:sz w:val="24"/>
        </w:rPr>
        <w:t xml:space="preserve">(1), 5–50. https://doi.org/10.1093/jaenfo/jnac013</w:t>
      </w:r>
    </w:p>
    <w:p>
      <w:pPr>
        <w:pStyle w:val="BodyText"/>
        <w:spacing w:line="480" w:lineRule="exact" w:after="0"/>
      </w:pPr>
      <w:r>
        <w:rPr>
          <w:rFonts w:ascii="Times New Roman" w:hAnsi="Times New Roman"/>
          <w:sz w:val="24"/>
        </w:rPr>
        <w:t xml:space="preserve">Tirole, J. (2024). Competition and industrial policy in the 21st century.</w:t>
      </w:r>
      <w:r>
        <w:rPr>
          <w:rFonts w:ascii="Times New Roman" w:hAnsi="Times New Roman"/>
          <w:sz w:val="24"/>
        </w:rPr>
        <w:t xml:space="preserve"> </w:t>
      </w:r>
      <w:r>
        <w:rPr>
          <w:rFonts w:ascii="Times New Roman" w:hAnsi="Times New Roman"/>
          <w:i/>
          <w:iCs/>
          <w:sz w:val="24"/>
        </w:rPr>
        <w:t xml:space="preserve">Oxford Open Economics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w:t>
      </w:r>
      <w:r>
        <w:rPr>
          <w:rFonts w:ascii="Times New Roman" w:hAnsi="Times New Roman"/>
          <w:sz w:val="24"/>
        </w:rPr>
        <w:t xml:space="preserve">(Supplement_1), i983–i1001. https://doi.org/10.1093/ooec/odad080</w:t>
      </w:r>
    </w:p>
    <w:bookmarkEnd w:id="14"/>
    <w:bookmarkEnd w:id="1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2026-04-19T06:19:38Z</dcterms:created>
  <dcterms:modified xsi:type="dcterms:W3CDTF">2026-04-19T06:19:38Z</dcterms:modified>
</cp:coreProperties>
</file>

<file path=docProps/custom.xml><?xml version="1.0" encoding="utf-8"?>
<Properties xmlns="http://schemas.openxmlformats.org/officeDocument/2006/custom-properties" xmlns:vt="http://schemas.openxmlformats.org/officeDocument/2006/docPropsVTypes"/>
</file>