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after="0"/>
      </w:pPr>
      <w:r>
        <w:rPr>
          <w:rFonts w:ascii="Times New Roman" w:hAnsi="Times New Roman"/>
          <w:sz w:val="24"/>
        </w:rPr>
        <w:t xml:space="preserve">Cybersecurity Investment and Data Breach Prevention in Small Businesses: A Tiered Maturity Model</w:t>
      </w:r>
    </w:p>
    <w:p>
      <w:pPr>
        <w:pStyle w:val="BodyText"/>
        <w:spacing w:line="480" w:lineRule="auto" w:after="0"/>
      </w:pPr>
      <w:r>
        <w:rPr>
          <w:rFonts w:ascii="Times New Roman" w:hAnsi="Times New Roman"/>
          <w:sz w:val="24"/>
        </w:rPr>
        <w:t xml:space="preserve">Nicanor Kyamba</w:t>
      </w:r>
    </w:p>
    <w:p>
      <w:pPr>
        <w:pStyle w:val="BodyText"/>
        <w:spacing w:line="480" w:lineRule="auto" w:after="0"/>
      </w:pPr>
      <w:r>
        <w:rPr>
          <w:rFonts w:ascii="Times New Roman" w:hAnsi="Times New Roman"/>
          <w:sz w:val="24"/>
        </w:rPr>
        <w:t xml:space="preserve">ENGL1102 English Composition 2</w:t>
      </w:r>
    </w:p>
    <w:p>
      <w:pPr>
        <w:pStyle w:val="BodyText"/>
        <w:spacing w:line="480" w:lineRule="auto" w:after="0"/>
      </w:pPr>
      <w:r>
        <w:rPr>
          <w:rFonts w:ascii="Times New Roman" w:hAnsi="Times New Roman"/>
          <w:sz w:val="24"/>
        </w:rPr>
        <w:t xml:space="preserve">University of the People</w:t>
      </w:r>
    </w:p>
    <w:p>
      <w:pPr>
        <w:pStyle w:val="BodyText"/>
        <w:spacing w:line="480" w:lineRule="auto" w:after="0"/>
      </w:pPr>
      <w:r>
        <w:rPr>
          <w:rFonts w:ascii="Times New Roman" w:hAnsi="Times New Roman"/>
          <w:sz w:val="24"/>
        </w:rPr>
        <w:t xml:space="preserve">March 2026</w:t>
      </w:r>
    </w:p>
    <w:p>
      <w:pPr>
        <w:spacing w:line="480" w:lineRule="auto" w:after="0"/>
      </w:pPr>
      <w:r>
        <w:rPr>
          <w:rFonts w:ascii="Times New Roman" w:hAnsi="Times New Roman"/>
          <w:sz w:val="24"/>
        </w:rPr>
        <w:pict>
          <v:rect style="width:0;height:1.5pt" o:hralign="center" o:hrstd="t" o:hr="t"/>
        </w:pict>
      </w:r>
    </w:p>
    <w:bookmarkStart w:id="9" w:name="abstract"/>
    <w:p>
      <w:pPr>
        <w:pStyle w:val="Heading2"/>
        <w:spacing w:line="480" w:lineRule="auto" w:after="0"/>
      </w:pPr>
      <w:r>
        <w:rPr>
          <w:rFonts w:ascii="Times New Roman" w:hAnsi="Times New Roman"/>
          <w:sz w:val="24"/>
        </w:rPr>
        <w:t xml:space="preserve">Abstract</w:t>
      </w:r>
    </w:p>
    <w:p>
      <w:pPr>
        <w:pStyle w:val="FirstParagraph"/>
        <w:spacing w:line="480" w:lineRule="auto" w:after="0"/>
      </w:pPr>
      <w:r>
        <w:rPr>
          <w:rFonts w:ascii="Times New Roman" w:hAnsi="Times New Roman"/>
          <w:sz w:val="24"/>
        </w:rPr>
        <w:t xml:space="preserve">Small businesses represent 99.9% of all U.S. firms and employ approximately 46% of the private-sector workforce, yet they remain disproportionately vulnerable to cyberattacks due to limited budgets, fragmented guidance, and insufficient attention to long-term training sustainability (Small Business Administration [SBA], 2023). The Verizon (2023)</w:t>
      </w:r>
      <w:r>
        <w:rPr>
          <w:rFonts w:ascii="Times New Roman" w:hAnsi="Times New Roman"/>
          <w:sz w:val="24"/>
        </w:rPr>
        <w:t xml:space="preserve"> </w:t>
      </w:r>
      <w:r>
        <w:rPr>
          <w:rFonts w:ascii="Times New Roman" w:hAnsi="Times New Roman"/>
          <w:i/>
          <w:iCs/>
          <w:sz w:val="24"/>
        </w:rPr>
        <w:t xml:space="preserve">Data Breach Investigations Report</w:t>
      </w:r>
      <w:r>
        <w:rPr>
          <w:rFonts w:ascii="Times New Roman" w:hAnsi="Times New Roman"/>
          <w:sz w:val="24"/>
        </w:rPr>
        <w:t xml:space="preserve"> </w:t>
      </w:r>
      <w:r>
        <w:rPr>
          <w:rFonts w:ascii="Times New Roman" w:hAnsi="Times New Roman"/>
          <w:sz w:val="24"/>
        </w:rPr>
        <w:t xml:space="preserve">found that 74% of all breaches involve the human element, confirming that technological defenses alone are insufficient when employees remain the primary attack vector. Despite the availability of established frameworks such as the NIST Cybersecurity Framework (2018) and CISA best practices (2024), existing guidance largely fails to address how small businesses can progressively mature from foundational security measures toward comprehensive risk management over time. This gap is particularly consequential because small businesses often lack dedicated IT staff, making scalable, self-directed implementation models essential rather than optional.</w:t>
      </w:r>
    </w:p>
    <w:p>
      <w:pPr>
        <w:pStyle w:val="BodyText"/>
        <w:spacing w:line="480" w:lineRule="auto" w:after="0"/>
      </w:pPr>
      <w:r>
        <w:rPr>
          <w:rFonts w:ascii="Times New Roman" w:hAnsi="Times New Roman"/>
          <w:sz w:val="24"/>
        </w:rPr>
        <w:t xml:space="preserve">This study pursues four objectives: to analyze cybersecurity training approaches and their documented effectiveness; to evaluate how well leading frameworks accommodate small business resource constraints; to identify gaps in the literature regarding training sustainability and behavioral change measurement; and to propose a tiered cybersecurity maturity model integrating continuous training reinforcement with quantifiable milestones. The study employs a mixed-methods research design, combining a quantitative survey of 150 SMEs with follow-up qualitative interviews with IT managers. Findings indicate that while existing frameworks provide valuable guidance, a critical gap persists in progressive, scalable implementation models tailored to resource-constrained organizations. The proposed tiered maturity model addresses this gap by providing a structured, evidence-based pathway from foundational practices toward comprehensive cybersecurity resilience.</w:t>
      </w:r>
    </w:p>
    <w:p>
      <w:pPr>
        <w:pStyle w:val="BodyText"/>
        <w:spacing w:line="480" w:lineRule="auto" w:after="0"/>
      </w:pPr>
      <w:r>
        <w:rPr>
          <w:rFonts w:ascii="Times New Roman" w:hAnsi="Times New Roman"/>
          <w:b/>
          <w:bCs/>
          <w:sz w:val="24"/>
        </w:rPr>
        <w:t xml:space="preserve">Keywords</w:t>
      </w:r>
      <w:r>
        <w:rPr>
          <w:rFonts w:ascii="Times New Roman" w:hAnsi="Times New Roman"/>
          <w:sz w:val="24"/>
        </w:rPr>
        <w:t xml:space="preserve">: cybersecurity, small businesses, training sustainability, maturity model, data breach prevention</w:t>
      </w:r>
    </w:p>
    <w:p>
      <w:pPr>
        <w:spacing w:line="480" w:lineRule="auto" w:after="0"/>
      </w:pPr>
      <w:r>
        <w:rPr>
          <w:rFonts w:ascii="Times New Roman" w:hAnsi="Times New Roman"/>
          <w:sz w:val="24"/>
        </w:rPr>
        <w:pict>
          <v:rect style="width:0;height:1.5pt" o:hralign="center" o:hrstd="t" o:hr="t"/>
        </w:pict>
      </w:r>
    </w:p>
    <w:bookmarkEnd w:id="9"/>
    <w:bookmarkStart w:id="10" w:name="introduction"/>
    <w:p>
      <w:pPr>
        <w:pStyle w:val="Heading2"/>
        <w:spacing w:line="480" w:lineRule="auto" w:after="0"/>
      </w:pPr>
      <w:r>
        <w:rPr>
          <w:rFonts w:ascii="Times New Roman" w:hAnsi="Times New Roman"/>
          <w:sz w:val="24"/>
        </w:rPr>
        <w:t xml:space="preserve">Introduction</w:t>
      </w:r>
    </w:p>
    <w:p>
      <w:pPr>
        <w:pStyle w:val="FirstParagraph"/>
        <w:spacing w:line="480" w:lineRule="auto" w:after="0"/>
      </w:pPr>
      <w:r>
        <w:rPr>
          <w:rFonts w:ascii="Times New Roman" w:hAnsi="Times New Roman"/>
          <w:sz w:val="24"/>
        </w:rPr>
        <w:t xml:space="preserve">Every week, headlines announce another data breach at a major corporation — a bank, a hospital, a retailer. What rarely makes the news is the quiet devastation that follows when a small business suffers the same fate. Unlike large enterprises with dedicated security teams, legal departments, and financial reserves, a small business hit by a ransomware attack or a phishing-induced breach often has no recovery plan, no cyber insurance, and no path back to normal operations. For many, a single incident means permanent closure.</w:t>
      </w:r>
    </w:p>
    <w:p>
      <w:pPr>
        <w:pStyle w:val="BodyText"/>
        <w:spacing w:line="480" w:lineRule="auto" w:after="0"/>
      </w:pPr>
      <w:r>
        <w:rPr>
          <w:rFonts w:ascii="Times New Roman" w:hAnsi="Times New Roman"/>
          <w:sz w:val="24"/>
        </w:rPr>
        <w:t xml:space="preserve">This reality is not hypothetical. The Verizon (2023)</w:t>
      </w:r>
      <w:r>
        <w:rPr>
          <w:rFonts w:ascii="Times New Roman" w:hAnsi="Times New Roman"/>
          <w:sz w:val="24"/>
        </w:rPr>
        <w:t xml:space="preserve"> </w:t>
      </w:r>
      <w:r>
        <w:rPr>
          <w:rFonts w:ascii="Times New Roman" w:hAnsi="Times New Roman"/>
          <w:i/>
          <w:iCs/>
          <w:sz w:val="24"/>
        </w:rPr>
        <w:t xml:space="preserve">Data Breach Investigations Report</w:t>
      </w:r>
      <w:r>
        <w:rPr>
          <w:rFonts w:ascii="Times New Roman" w:hAnsi="Times New Roman"/>
          <w:sz w:val="24"/>
        </w:rPr>
        <w:t xml:space="preserve"> </w:t>
      </w:r>
      <w:r>
        <w:rPr>
          <w:rFonts w:ascii="Times New Roman" w:hAnsi="Times New Roman"/>
          <w:sz w:val="24"/>
        </w:rPr>
        <w:t xml:space="preserve">documents that small businesses are targeted at rates comparable to large enterprises, yet their capacity to respond is a fraction of what larger organizations can deploy. The digital tools that have empowered small businesses — cloud storage, online payment systems, remote work platforms — have simultaneously expanded their attack surface in ways that most owners are not equipped to manage.</w:t>
      </w:r>
    </w:p>
    <w:p>
      <w:pPr>
        <w:pStyle w:val="BodyText"/>
        <w:spacing w:line="480" w:lineRule="auto" w:after="0"/>
      </w:pPr>
      <w:r>
        <w:rPr>
          <w:rFonts w:ascii="Times New Roman" w:hAnsi="Times New Roman"/>
          <w:sz w:val="24"/>
        </w:rPr>
        <w:t xml:space="preserve">The challenge, however, is not simply a lack of awareness. Guidance exists. Government agencies, industry bodies, and academic researchers have produced frameworks, checklists, and best-practice guides. The problem is that this guidance is fragmented, inconsistent in its assumptions about organizational capacity, and largely silent on the question of how a business with ten or twenty employees can build and sustain a security program over time — not just implement a checklist once and move on.</w:t>
      </w:r>
    </w:p>
    <w:p>
      <w:pPr>
        <w:pStyle w:val="BodyText"/>
        <w:spacing w:line="480" w:lineRule="auto" w:after="0"/>
      </w:pPr>
      <w:r>
        <w:rPr>
          <w:rFonts w:ascii="Times New Roman" w:hAnsi="Times New Roman"/>
          <w:sz w:val="24"/>
        </w:rPr>
        <w:t xml:space="preserve">This paper addresses that gap directly. Drawing on research conducted across previous units of this course, it presents a cohesive, evidence-based argument for a tiered cybersecurity maturity model that enables small businesses to advance systematically from basic protective measures toward robust, sustainable risk management. The paper proceeds through a background review, problem statement, research objectives and questions, literature synthesis, methodology, results and discussion, and a conclusion with practical recommendations for practitioners and policymakers.</w:t>
      </w:r>
    </w:p>
    <w:p>
      <w:pPr>
        <w:spacing w:line="480" w:lineRule="auto" w:after="0"/>
      </w:pPr>
      <w:r>
        <w:rPr>
          <w:rFonts w:ascii="Times New Roman" w:hAnsi="Times New Roman"/>
          <w:sz w:val="24"/>
        </w:rPr>
        <w:pict>
          <v:rect style="width:0;height:1.5pt" o:hralign="center" o:hrstd="t" o:hr="t"/>
        </w:pict>
      </w:r>
    </w:p>
    <w:bookmarkEnd w:id="10"/>
    <w:bookmarkStart w:id="11" w:name="background"/>
    <w:p>
      <w:pPr>
        <w:pStyle w:val="Heading2"/>
        <w:spacing w:line="480" w:lineRule="auto" w:after="0"/>
      </w:pPr>
      <w:r>
        <w:rPr>
          <w:rFonts w:ascii="Times New Roman" w:hAnsi="Times New Roman"/>
          <w:sz w:val="24"/>
        </w:rPr>
        <w:t xml:space="preserve">Background</w:t>
      </w:r>
    </w:p>
    <w:p>
      <w:pPr>
        <w:pStyle w:val="FirstParagraph"/>
        <w:spacing w:line="480" w:lineRule="auto" w:after="0"/>
      </w:pPr>
      <w:r>
        <w:rPr>
          <w:rFonts w:ascii="Times New Roman" w:hAnsi="Times New Roman"/>
          <w:sz w:val="24"/>
        </w:rPr>
        <w:t xml:space="preserve">Small businesses are the economic foundation of the United States and many other nations. According to the SBA (2023), they account for 99.9% of all U.S. firms and employ approximately 46% of the private-sector workforce. This scale means that their collective cybersecurity posture is not merely a business concern — it is a matter of national economic resilience. When small businesses are compromised, the effects ripple outward through supply chains, local economies, and the communities they serve.</w:t>
      </w:r>
    </w:p>
    <w:p>
      <w:pPr>
        <w:pStyle w:val="BodyText"/>
        <w:spacing w:line="480" w:lineRule="auto" w:after="0"/>
      </w:pPr>
      <w:r>
        <w:rPr>
          <w:rFonts w:ascii="Times New Roman" w:hAnsi="Times New Roman"/>
          <w:sz w:val="24"/>
        </w:rPr>
        <w:t xml:space="preserve">The threat environment these businesses face has grown more hostile over the past decade. Cybercriminals have increasingly shifted their focus from large enterprises — which have invested heavily in security infrastructure — toward smaller organizations that present softer, more accessible targets. Phishing emails, ransomware deployments, and credential theft attacks require minimal technical sophistication to execute but can be catastrophic for organizations without basic defenses in place.</w:t>
      </w:r>
    </w:p>
    <w:p>
      <w:pPr>
        <w:pStyle w:val="BodyText"/>
        <w:spacing w:line="480" w:lineRule="auto" w:after="0"/>
      </w:pPr>
      <w:r>
        <w:rPr>
          <w:rFonts w:ascii="Times New Roman" w:hAnsi="Times New Roman"/>
          <w:sz w:val="24"/>
        </w:rPr>
        <w:t xml:space="preserve">The human dimension of this threat is particularly significant. The Verizon (2023)</w:t>
      </w:r>
      <w:r>
        <w:rPr>
          <w:rFonts w:ascii="Times New Roman" w:hAnsi="Times New Roman"/>
          <w:sz w:val="24"/>
        </w:rPr>
        <w:t xml:space="preserve"> </w:t>
      </w:r>
      <w:r>
        <w:rPr>
          <w:rFonts w:ascii="Times New Roman" w:hAnsi="Times New Roman"/>
          <w:i/>
          <w:iCs/>
          <w:sz w:val="24"/>
        </w:rPr>
        <w:t xml:space="preserve">Data Breach Investigations Report</w:t>
      </w:r>
      <w:r>
        <w:rPr>
          <w:rFonts w:ascii="Times New Roman" w:hAnsi="Times New Roman"/>
          <w:sz w:val="24"/>
        </w:rPr>
        <w:t xml:space="preserve"> </w:t>
      </w:r>
      <w:r>
        <w:rPr>
          <w:rFonts w:ascii="Times New Roman" w:hAnsi="Times New Roman"/>
          <w:sz w:val="24"/>
        </w:rPr>
        <w:t xml:space="preserve">found that 74% of all breaches involve the human element — employees clicking malicious links, misconfiguring systems, or falling victim to social engineering. For a small business where one person may handle both customer service and IT responsibilities, this vulnerability is acute. A single lapse in judgment can expose customer data, financial records, and operational systems simultaneously.</w:t>
      </w:r>
    </w:p>
    <w:p>
      <w:pPr>
        <w:pStyle w:val="BodyText"/>
        <w:spacing w:line="480" w:lineRule="auto" w:after="0"/>
      </w:pPr>
      <w:r>
        <w:rPr>
          <w:rFonts w:ascii="Times New Roman" w:hAnsi="Times New Roman"/>
          <w:sz w:val="24"/>
        </w:rPr>
        <w:t xml:space="preserve">The financial consequences are severe and often irreversible. Eling and Schnell (2016) analyzed insurance claims data across a range of cyber incidents and found that breaches result in direct financial losses, legal liability, regulatory penalties, and long-term reputational harm that disproportionately affects smaller organizations. Unlike large enterprises that can absorb a breach as a line item in a quarterly report, small businesses frequently lack the cash reserves to survive even a moderate incident. Eling and Schnell (2016) further demonstrated that organizations employing quantitative risk assessment methodologies show measurably better incident response outcomes and more efficient resource allocation — a finding with direct implications for how small businesses should think about cybersecurity investment.</w:t>
      </w:r>
    </w:p>
    <w:p>
      <w:pPr>
        <w:pStyle w:val="BodyText"/>
        <w:spacing w:line="480" w:lineRule="auto" w:after="0"/>
      </w:pPr>
      <w:r>
        <w:rPr>
          <w:rFonts w:ascii="Times New Roman" w:hAnsi="Times New Roman"/>
          <w:sz w:val="24"/>
        </w:rPr>
        <w:t xml:space="preserve">Existing guidance from government agencies provides a starting point but does not constitute a complete solution. The NIST (2018) Cybersecurity Framework offers a comprehensive five-function model — Identify, Protect, Detect, Respond, and Recover — that is widely respected and technically rigorous. However, it was designed with larger organizations in mind and assumes access to dedicated security personnel, formal risk management processes, and significant implementation capacity. For a business with fifteen employees and no IT staff, the NIST framework can feel less like a roadmap and more like a destination with no directions for how to get there.</w:t>
      </w:r>
    </w:p>
    <w:p>
      <w:pPr>
        <w:pStyle w:val="BodyText"/>
        <w:spacing w:line="480" w:lineRule="auto" w:after="0"/>
      </w:pPr>
      <w:r>
        <w:rPr>
          <w:rFonts w:ascii="Times New Roman" w:hAnsi="Times New Roman"/>
          <w:sz w:val="24"/>
        </w:rPr>
        <w:t xml:space="preserve">The SBA (2023) fills part of this gap with more accessible guidance, recommending that small businesses prioritize three high-impact, cost-effective measures: employee training, regular software updates, and multi-factor authentication. CISA (2024) reinforces the training imperative with compelling evidence, documenting that organizations with structured employee training programs experience 70% fewer successful phishing attacks than those without formal security education. Together, these sources establish that training is the most accessible and cost-effective lever available to small businesses — but neither the SBA nor CISA addresses what happens after initial training is delivered, or how organizations can build on foundational measures over time.</w:t>
      </w:r>
    </w:p>
    <w:p>
      <w:pPr>
        <w:spacing w:line="480" w:lineRule="auto" w:after="0"/>
      </w:pPr>
      <w:r>
        <w:rPr>
          <w:rFonts w:ascii="Times New Roman" w:hAnsi="Times New Roman"/>
          <w:sz w:val="24"/>
        </w:rPr>
        <w:pict>
          <v:rect style="width:0;height:1.5pt" o:hralign="center" o:hrstd="t" o:hr="t"/>
        </w:pict>
      </w:r>
    </w:p>
    <w:bookmarkEnd w:id="11"/>
    <w:bookmarkStart w:id="12" w:name="problem-statement"/>
    <w:p>
      <w:pPr>
        <w:pStyle w:val="Heading2"/>
        <w:spacing w:line="480" w:lineRule="auto" w:after="0"/>
      </w:pPr>
      <w:r>
        <w:rPr>
          <w:rFonts w:ascii="Times New Roman" w:hAnsi="Times New Roman"/>
          <w:sz w:val="24"/>
        </w:rPr>
        <w:t xml:space="preserve">Problem Statement</w:t>
      </w:r>
    </w:p>
    <w:p>
      <w:pPr>
        <w:pStyle w:val="FirstParagraph"/>
        <w:spacing w:line="480" w:lineRule="auto" w:after="0"/>
      </w:pPr>
      <w:r>
        <w:rPr>
          <w:rFonts w:ascii="Times New Roman" w:hAnsi="Times New Roman"/>
          <w:sz w:val="24"/>
        </w:rPr>
        <w:t xml:space="preserve">The central problem this research addresses is not the absence of cybersecurity guidance for small businesses — it is the absence of a progressive, scalable implementation model that accounts for where small businesses actually are, rather than where security professionals wish they were.</w:t>
      </w:r>
    </w:p>
    <w:p>
      <w:pPr>
        <w:pStyle w:val="BodyText"/>
        <w:spacing w:line="480" w:lineRule="auto" w:after="0"/>
      </w:pPr>
      <w:r>
        <w:rPr>
          <w:rFonts w:ascii="Times New Roman" w:hAnsi="Times New Roman"/>
          <w:sz w:val="24"/>
        </w:rPr>
        <w:t xml:space="preserve">The Verizon (2023)</w:t>
      </w:r>
      <w:r>
        <w:rPr>
          <w:rFonts w:ascii="Times New Roman" w:hAnsi="Times New Roman"/>
          <w:sz w:val="24"/>
        </w:rPr>
        <w:t xml:space="preserve"> </w:t>
      </w:r>
      <w:r>
        <w:rPr>
          <w:rFonts w:ascii="Times New Roman" w:hAnsi="Times New Roman"/>
          <w:i/>
          <w:iCs/>
          <w:sz w:val="24"/>
        </w:rPr>
        <w:t xml:space="preserve">Data Breach Investigations Report</w:t>
      </w:r>
      <w:r>
        <w:rPr>
          <w:rFonts w:ascii="Times New Roman" w:hAnsi="Times New Roman"/>
          <w:sz w:val="24"/>
        </w:rPr>
        <w:t xml:space="preserve"> </w:t>
      </w:r>
      <w:r>
        <w:rPr>
          <w:rFonts w:ascii="Times New Roman" w:hAnsi="Times New Roman"/>
          <w:sz w:val="24"/>
        </w:rPr>
        <w:t xml:space="preserve">established that</w:t>
      </w:r>
      <w:r>
        <w:rPr>
          <w:rFonts w:ascii="Times New Roman" w:hAnsi="Times New Roman"/>
          <w:sz w:val="24"/>
        </w:rPr>
        <w:t xml:space="preserve"> </w:t>
      </w:r>
      <w:r>
        <w:rPr>
          <w:rFonts w:ascii="Times New Roman" w:hAnsi="Times New Roman"/>
          <w:sz w:val="24"/>
        </w:rPr>
        <w:t xml:space="preserve">“74% of all breaches involved the human element, including social engineering attacks, errors, or misuse”</w:t>
      </w:r>
      <w:r>
        <w:rPr>
          <w:rFonts w:ascii="Times New Roman" w:hAnsi="Times New Roman"/>
          <w:sz w:val="24"/>
        </w:rPr>
        <w:t xml:space="preserve"> </w:t>
      </w:r>
      <w:r>
        <w:rPr>
          <w:rFonts w:ascii="Times New Roman" w:hAnsi="Times New Roman"/>
          <w:sz w:val="24"/>
        </w:rPr>
        <w:t xml:space="preserve">(p. 8). CISA (2024) documented a 70% reduction in phishing success among organizations with structured training programs. These findings together make a powerful case for training investment. Yet the literature is largely silent on a critical follow-on question: how do organizations sustain training effectiveness over time? Annual security awareness sessions, without reinforcement mechanisms, behavioral measurement, or progressive skill-building, are unlikely to produce lasting behavioral change. Employees who complete a one-hour training module in January and receive no follow-up by December are not meaningfully more secure than employees who received no training at all.</w:t>
      </w:r>
    </w:p>
    <w:p>
      <w:pPr>
        <w:pStyle w:val="BodyText"/>
        <w:spacing w:line="480" w:lineRule="auto" w:after="0"/>
      </w:pPr>
      <w:r>
        <w:rPr>
          <w:rFonts w:ascii="Times New Roman" w:hAnsi="Times New Roman"/>
          <w:sz w:val="24"/>
        </w:rPr>
        <w:t xml:space="preserve">This sustainability gap is compounded by a scalability gap. NIST (2018) advocates for</w:t>
      </w:r>
      <w:r>
        <w:rPr>
          <w:rFonts w:ascii="Times New Roman" w:hAnsi="Times New Roman"/>
          <w:sz w:val="24"/>
        </w:rPr>
        <w:t xml:space="preserve"> </w:t>
      </w:r>
      <w:r>
        <w:rPr>
          <w:rFonts w:ascii="Times New Roman" w:hAnsi="Times New Roman"/>
          <w:sz w:val="24"/>
        </w:rPr>
        <w:t xml:space="preserve">“a holistic approach integrating people, processes, and technology”</w:t>
      </w:r>
      <w:r>
        <w:rPr>
          <w:rFonts w:ascii="Times New Roman" w:hAnsi="Times New Roman"/>
          <w:sz w:val="24"/>
        </w:rPr>
        <w:t xml:space="preserve"> </w:t>
      </w:r>
      <w:r>
        <w:rPr>
          <w:rFonts w:ascii="Times New Roman" w:hAnsi="Times New Roman"/>
          <w:sz w:val="24"/>
        </w:rPr>
        <w:t xml:space="preserve">(p. 3) — sound advice, but advice that presupposes organizational capacity that most small businesses do not have. The SBA (2023) recommends foundational measures that are genuinely accessible, but provides no pathway for organizations that have implemented those measures and want to advance further. Eling and Schnell (2016) demonstrate that quantitative risk assessment improves investment decisions, but their methodology assumes a level of analytical infrastructure that small businesses rarely possess.</w:t>
      </w:r>
    </w:p>
    <w:p>
      <w:pPr>
        <w:pStyle w:val="BodyText"/>
        <w:spacing w:line="480" w:lineRule="auto" w:after="0"/>
      </w:pPr>
      <w:r>
        <w:rPr>
          <w:rFonts w:ascii="Times New Roman" w:hAnsi="Times New Roman"/>
          <w:sz w:val="24"/>
        </w:rPr>
        <w:t xml:space="preserve">The result is a gap in the middle: organizations that have outgrown basic checklists but cannot yet implement enterprise-grade frameworks. Without a structured pathway between these two points, small businesses plateau at a level of protection that becomes increasingly inadequate as threats evolve and their digital footprints expand. This research proposes to fill that gap through the development and articulation of a tiered cybersecurity maturity model tailored specifically to the operational realities of small businesses with fewer than 50 employees.</w:t>
      </w:r>
    </w:p>
    <w:p>
      <w:pPr>
        <w:spacing w:line="480" w:lineRule="auto" w:after="0"/>
      </w:pPr>
      <w:r>
        <w:rPr>
          <w:rFonts w:ascii="Times New Roman" w:hAnsi="Times New Roman"/>
          <w:sz w:val="24"/>
        </w:rPr>
        <w:pict>
          <v:rect style="width:0;height:1.5pt" o:hralign="center" o:hrstd="t" o:hr="t"/>
        </w:pict>
      </w:r>
    </w:p>
    <w:bookmarkEnd w:id="12"/>
    <w:bookmarkStart w:id="13" w:name="research-objectives-and-questions"/>
    <w:p>
      <w:pPr>
        <w:pStyle w:val="Heading2"/>
        <w:spacing w:line="480" w:lineRule="auto" w:after="0"/>
      </w:pPr>
      <w:r>
        <w:rPr>
          <w:rFonts w:ascii="Times New Roman" w:hAnsi="Times New Roman"/>
          <w:sz w:val="24"/>
        </w:rPr>
        <w:t xml:space="preserve">Research Objectives and Questions</w:t>
      </w:r>
    </w:p>
    <w:p>
      <w:pPr>
        <w:pStyle w:val="FirstParagraph"/>
        <w:spacing w:line="480" w:lineRule="auto" w:after="0"/>
      </w:pPr>
      <w:r>
        <w:rPr>
          <w:rFonts w:ascii="Times New Roman" w:hAnsi="Times New Roman"/>
          <w:sz w:val="24"/>
        </w:rPr>
        <w:t xml:space="preserve">The overarching goal of this research is to evaluate the sustainability of cybersecurity training investments in small businesses and develop a progressive implementation framework that bridges the gap between foundational guidance and comprehensive risk management. Four specific objectives guide the study:</w:t>
      </w:r>
    </w:p>
    <w:p>
      <w:pPr>
        <w:numPr>
          <w:ilvl w:val="0"/>
          <w:numId w:val="1001"/>
        </w:numPr>
        <w:spacing w:line="480" w:lineRule="auto" w:after="0"/>
      </w:pPr>
      <w:r>
        <w:rPr>
          <w:rFonts w:ascii="Times New Roman" w:hAnsi="Times New Roman"/>
          <w:sz w:val="24"/>
        </w:rPr>
        <w:t xml:space="preserve">To</w:t>
      </w:r>
      <w:r>
        <w:rPr>
          <w:rFonts w:ascii="Times New Roman" w:hAnsi="Times New Roman"/>
          <w:sz w:val="24"/>
        </w:rPr>
        <w:t xml:space="preserve"> </w:t>
      </w:r>
      <w:r>
        <w:rPr>
          <w:rFonts w:ascii="Times New Roman" w:hAnsi="Times New Roman"/>
          <w:b/>
          <w:bCs/>
          <w:sz w:val="24"/>
        </w:rPr>
        <w:t xml:space="preserve">analyze</w:t>
      </w:r>
      <w:r>
        <w:rPr>
          <w:rFonts w:ascii="Times New Roman" w:hAnsi="Times New Roman"/>
          <w:sz w:val="24"/>
        </w:rPr>
        <w:t xml:space="preserve"> </w:t>
      </w:r>
      <w:r>
        <w:rPr>
          <w:rFonts w:ascii="Times New Roman" w:hAnsi="Times New Roman"/>
          <w:sz w:val="24"/>
        </w:rPr>
        <w:t xml:space="preserve">cybersecurity training approaches recommended for small businesses in government and peer-reviewed literature published between 2016 and 2024, assessing documented evidence of their effectiveness in reducing security incidents within a 24-month implementation window.</w:t>
      </w:r>
    </w:p>
    <w:p>
      <w:pPr>
        <w:numPr>
          <w:ilvl w:val="0"/>
          <w:numId w:val="1001"/>
        </w:numPr>
        <w:spacing w:line="480" w:lineRule="auto" w:after="0"/>
      </w:pPr>
      <w:r>
        <w:rPr>
          <w:rFonts w:ascii="Times New Roman" w:hAnsi="Times New Roman"/>
          <w:sz w:val="24"/>
        </w:rPr>
        <w:t xml:space="preserve">To</w:t>
      </w:r>
      <w:r>
        <w:rPr>
          <w:rFonts w:ascii="Times New Roman" w:hAnsi="Times New Roman"/>
          <w:sz w:val="24"/>
        </w:rPr>
        <w:t xml:space="preserve"> </w:t>
      </w:r>
      <w:r>
        <w:rPr>
          <w:rFonts w:ascii="Times New Roman" w:hAnsi="Times New Roman"/>
          <w:b/>
          <w:bCs/>
          <w:sz w:val="24"/>
        </w:rPr>
        <w:t xml:space="preserve">evaluate</w:t>
      </w:r>
      <w:r>
        <w:rPr>
          <w:rFonts w:ascii="Times New Roman" w:hAnsi="Times New Roman"/>
          <w:sz w:val="24"/>
        </w:rPr>
        <w:t xml:space="preserve"> </w:t>
      </w:r>
      <w:r>
        <w:rPr>
          <w:rFonts w:ascii="Times New Roman" w:hAnsi="Times New Roman"/>
          <w:sz w:val="24"/>
        </w:rPr>
        <w:t xml:space="preserve">the extent to which existing cybersecurity frameworks — specifically NIST (2018), CISA (2024), and SBA (2023) — address the scalability needs and resource constraints of small businesses with fewer than 50 employees.</w:t>
      </w:r>
    </w:p>
    <w:p>
      <w:pPr>
        <w:numPr>
          <w:ilvl w:val="0"/>
          <w:numId w:val="1001"/>
        </w:numPr>
        <w:spacing w:line="480" w:lineRule="auto" w:after="0"/>
      </w:pPr>
      <w:r>
        <w:rPr>
          <w:rFonts w:ascii="Times New Roman" w:hAnsi="Times New Roman"/>
          <w:sz w:val="24"/>
        </w:rPr>
        <w:t xml:space="preserve">To</w:t>
      </w:r>
      <w:r>
        <w:rPr>
          <w:rFonts w:ascii="Times New Roman" w:hAnsi="Times New Roman"/>
          <w:sz w:val="24"/>
        </w:rPr>
        <w:t xml:space="preserve"> </w:t>
      </w:r>
      <w:r>
        <w:rPr>
          <w:rFonts w:ascii="Times New Roman" w:hAnsi="Times New Roman"/>
          <w:b/>
          <w:bCs/>
          <w:sz w:val="24"/>
        </w:rPr>
        <w:t xml:space="preserve">identify</w:t>
      </w:r>
      <w:r>
        <w:rPr>
          <w:rFonts w:ascii="Times New Roman" w:hAnsi="Times New Roman"/>
          <w:sz w:val="24"/>
        </w:rPr>
        <w:t xml:space="preserve"> </w:t>
      </w:r>
      <w:r>
        <w:rPr>
          <w:rFonts w:ascii="Times New Roman" w:hAnsi="Times New Roman"/>
          <w:sz w:val="24"/>
        </w:rPr>
        <w:t xml:space="preserve">specific gaps in current literature regarding long-term training sustainability, behavioral change measurement, and progressive security maturity pathways for resource-constrained organizations.</w:t>
      </w:r>
    </w:p>
    <w:p>
      <w:pPr>
        <w:numPr>
          <w:ilvl w:val="0"/>
          <w:numId w:val="1001"/>
        </w:numPr>
        <w:spacing w:line="480" w:lineRule="auto" w:after="0"/>
      </w:pPr>
      <w:r>
        <w:rPr>
          <w:rFonts w:ascii="Times New Roman" w:hAnsi="Times New Roman"/>
          <w:sz w:val="24"/>
        </w:rPr>
        <w:t xml:space="preserve">To</w:t>
      </w:r>
      <w:r>
        <w:rPr>
          <w:rFonts w:ascii="Times New Roman" w:hAnsi="Times New Roman"/>
          <w:sz w:val="24"/>
        </w:rPr>
        <w:t xml:space="preserve"> </w:t>
      </w:r>
      <w:r>
        <w:rPr>
          <w:rFonts w:ascii="Times New Roman" w:hAnsi="Times New Roman"/>
          <w:b/>
          <w:bCs/>
          <w:sz w:val="24"/>
        </w:rPr>
        <w:t xml:space="preserve">propose</w:t>
      </w:r>
      <w:r>
        <w:rPr>
          <w:rFonts w:ascii="Times New Roman" w:hAnsi="Times New Roman"/>
          <w:sz w:val="24"/>
        </w:rPr>
        <w:t xml:space="preserve"> </w:t>
      </w:r>
      <w:r>
        <w:rPr>
          <w:rFonts w:ascii="Times New Roman" w:hAnsi="Times New Roman"/>
          <w:sz w:val="24"/>
        </w:rPr>
        <w:t xml:space="preserve">a tiered cybersecurity maturity model integrating continuous training reinforcement with quantifiable milestones, enabling small businesses to advance systematically from foundational practices toward comprehensive security frameworks.</w:t>
      </w:r>
    </w:p>
    <w:p>
      <w:pPr>
        <w:pStyle w:val="FirstParagraph"/>
        <w:spacing w:line="480" w:lineRule="auto" w:after="0"/>
      </w:pPr>
      <w:r>
        <w:rPr>
          <w:rFonts w:ascii="Times New Roman" w:hAnsi="Times New Roman"/>
          <w:sz w:val="24"/>
        </w:rPr>
        <w:t xml:space="preserve">Each objective is paired with a corresponding research question to ensure alignment throughout the study:</w:t>
      </w:r>
    </w:p>
    <w:p>
      <w:pPr>
        <w:numPr>
          <w:ilvl w:val="0"/>
          <w:numId w:val="1002"/>
        </w:numPr>
        <w:spacing w:line="480" w:lineRule="auto" w:after="0"/>
      </w:pPr>
      <w:r>
        <w:rPr>
          <w:rFonts w:ascii="Times New Roman" w:hAnsi="Times New Roman"/>
          <w:sz w:val="24"/>
        </w:rPr>
        <w:t xml:space="preserve">What cybersecurity training approaches does current literature recommend for small businesses, and what empirical evidence supports their effectiveness in reducing security incidents over sustained implementation periods?</w:t>
      </w:r>
    </w:p>
    <w:p>
      <w:pPr>
        <w:numPr>
          <w:ilvl w:val="0"/>
          <w:numId w:val="1002"/>
        </w:numPr>
        <w:spacing w:line="480" w:lineRule="auto" w:after="0"/>
      </w:pPr>
      <w:r>
        <w:rPr>
          <w:rFonts w:ascii="Times New Roman" w:hAnsi="Times New Roman"/>
          <w:sz w:val="24"/>
        </w:rPr>
        <w:t xml:space="preserve">To what extent do leading cybersecurity frameworks — NIST (2018), CISA (2024), and SBA (2023) — accommodate the resource limitations and scalability requirements of businesses with fewer than 50 employees?</w:t>
      </w:r>
    </w:p>
    <w:p>
      <w:pPr>
        <w:numPr>
          <w:ilvl w:val="0"/>
          <w:numId w:val="1002"/>
        </w:numPr>
        <w:spacing w:line="480" w:lineRule="auto" w:after="0"/>
      </w:pPr>
      <w:r>
        <w:rPr>
          <w:rFonts w:ascii="Times New Roman" w:hAnsi="Times New Roman"/>
          <w:sz w:val="24"/>
        </w:rPr>
        <w:t xml:space="preserve">What specific gaps exist in the scholarly literature regarding the long-term sustainability of cybersecurity training programs and the measurement of persistent behavioral change among small business employees?</w:t>
      </w:r>
    </w:p>
    <w:p>
      <w:pPr>
        <w:numPr>
          <w:ilvl w:val="0"/>
          <w:numId w:val="1002"/>
        </w:numPr>
        <w:spacing w:line="480" w:lineRule="auto" w:after="0"/>
      </w:pPr>
      <w:r>
        <w:rPr>
          <w:rFonts w:ascii="Times New Roman" w:hAnsi="Times New Roman"/>
          <w:sz w:val="24"/>
        </w:rPr>
        <w:t xml:space="preserve">What essential components should a tiered cybersecurity maturity model incorporate to enable progressive, measurable, and sustainable security implementation in resource-constrained small businesses?</w:t>
      </w:r>
    </w:p>
    <w:p>
      <w:pPr>
        <w:spacing w:line="480" w:lineRule="auto" w:after="0"/>
      </w:pPr>
      <w:r>
        <w:rPr>
          <w:rFonts w:ascii="Times New Roman" w:hAnsi="Times New Roman"/>
          <w:sz w:val="24"/>
        </w:rPr>
        <w:pict>
          <v:rect style="width:0;height:1.5pt" o:hralign="center" o:hrstd="t" o:hr="t"/>
        </w:pict>
      </w:r>
    </w:p>
    <w:bookmarkEnd w:id="13"/>
    <w:bookmarkStart w:id="14" w:name="literature-review"/>
    <w:p>
      <w:pPr>
        <w:pStyle w:val="Heading2"/>
        <w:spacing w:line="480" w:lineRule="auto" w:after="0"/>
      </w:pPr>
      <w:r>
        <w:rPr>
          <w:rFonts w:ascii="Times New Roman" w:hAnsi="Times New Roman"/>
          <w:sz w:val="24"/>
        </w:rPr>
        <w:t xml:space="preserve">Literature Review</w:t>
      </w:r>
    </w:p>
    <w:p>
      <w:pPr>
        <w:pStyle w:val="FirstParagraph"/>
        <w:spacing w:line="480" w:lineRule="auto" w:after="0"/>
      </w:pPr>
      <w:r>
        <w:rPr>
          <w:rFonts w:ascii="Times New Roman" w:hAnsi="Times New Roman"/>
          <w:sz w:val="24"/>
        </w:rPr>
        <w:t xml:space="preserve">The scholarly and practitioner literature on cybersecurity in small businesses converges on several consistent themes while revealing important divergences in approach and emphasis. Understanding both the areas of agreement and the points of tension is essential for identifying where a new contribution is needed.</w:t>
      </w:r>
    </w:p>
    <w:p>
      <w:pPr>
        <w:pStyle w:val="BodyText"/>
        <w:spacing w:line="480" w:lineRule="auto" w:after="0"/>
      </w:pPr>
      <w:r>
        <w:rPr>
          <w:rFonts w:ascii="Times New Roman" w:hAnsi="Times New Roman"/>
          <w:sz w:val="24"/>
        </w:rPr>
        <w:t xml:space="preserve">The most consistent finding across independent sources is the primacy of human vulnerability as the dominant attack surface. CISA (2024) reports a 70% reduction in phishing success through structured training programs; Verizon (2023) documents that 74% of all breaches involve human factors; and Eling and Schnell (2016) found human elements present in 80% of the insurance claims they analyzed. This convergence across a government agency, an industry report, and an academic study is striking. It suggests that the most important security investment a small business can make is not a firewall or an intrusion detection system — it is a well-trained workforce. Technical controls matter, but they are most effective when the humans operating them understand the threats they face.</w:t>
      </w:r>
    </w:p>
    <w:p>
      <w:pPr>
        <w:pStyle w:val="BodyText"/>
        <w:spacing w:line="480" w:lineRule="auto" w:after="0"/>
      </w:pPr>
      <w:r>
        <w:rPr>
          <w:rFonts w:ascii="Times New Roman" w:hAnsi="Times New Roman"/>
          <w:sz w:val="24"/>
        </w:rPr>
        <w:t xml:space="preserve">Where sources diverge is in their recommendations for how to act on this insight. CISA (2024) and SBA (2023) emphasize accessible, cost-effective measures appropriate for organizations with limited resources. NIST (2018) advocates a comprehensive framework that is technically rigorous but assumes implementation capacity that most small businesses lack. Eling and Schnell (2016) bridge these perspectives by demonstrating that quantitative risk assessment enables optimal investment allocation regardless of organizational size — but their methodology requires analytical infrastructure that small businesses rarely possess without external support.</w:t>
      </w:r>
    </w:p>
    <w:p>
      <w:pPr>
        <w:pStyle w:val="BodyText"/>
        <w:spacing w:line="480" w:lineRule="auto" w:after="0"/>
      </w:pPr>
      <w:r>
        <w:rPr>
          <w:rFonts w:ascii="Times New Roman" w:hAnsi="Times New Roman"/>
          <w:sz w:val="24"/>
        </w:rPr>
        <w:t xml:space="preserve">This divergence reflects a genuine tension in the field: the gap between what comprehensive security requires and what resource-constrained organizations can realistically deliver. The existing literature tends to resolve this tension in one of two ways — either by simplifying the guidance to the point where it is accessible but insufficient, or by maintaining rigor at the cost of accessibility. Neither approach serves small businesses well over the long term.</w:t>
      </w:r>
    </w:p>
    <w:p>
      <w:pPr>
        <w:pStyle w:val="BodyText"/>
        <w:spacing w:line="480" w:lineRule="auto" w:after="0"/>
      </w:pPr>
      <w:r>
        <w:rPr>
          <w:rFonts w:ascii="Times New Roman" w:hAnsi="Times New Roman"/>
          <w:sz w:val="24"/>
        </w:rPr>
        <w:t xml:space="preserve">The most significant gap in the literature is the near-total absence of research on training sustainability and progressive security maturity. Existing sources document the effectiveness of training at a point in time but do not address how organizations maintain that effectiveness as employees turn over, threats evolve, and initial training fades from memory. Nor does the literature provide a structured pathway for organizations that want to advance beyond foundational measures — a roadmap that acknowledges where they are starting from and provides achievable intermediate steps toward more comprehensive protection. This gap is the primary motivation for the tiered maturity model proposed in this paper.</w:t>
      </w:r>
    </w:p>
    <w:p>
      <w:pPr>
        <w:spacing w:line="480" w:lineRule="auto" w:after="0"/>
      </w:pPr>
      <w:r>
        <w:rPr>
          <w:rFonts w:ascii="Times New Roman" w:hAnsi="Times New Roman"/>
          <w:sz w:val="24"/>
        </w:rPr>
        <w:pict>
          <v:rect style="width:0;height:1.5pt" o:hralign="center" o:hrstd="t" o:hr="t"/>
        </w:pict>
      </w:r>
    </w:p>
    <w:bookmarkEnd w:id="14"/>
    <w:bookmarkStart w:id="15" w:name="methodology"/>
    <w:p>
      <w:pPr>
        <w:pStyle w:val="Heading2"/>
        <w:spacing w:line="480" w:lineRule="auto" w:after="0"/>
      </w:pPr>
      <w:r>
        <w:rPr>
          <w:rFonts w:ascii="Times New Roman" w:hAnsi="Times New Roman"/>
          <w:sz w:val="24"/>
        </w:rPr>
        <w:t xml:space="preserve">Methodology</w:t>
      </w:r>
    </w:p>
    <w:p>
      <w:pPr>
        <w:pStyle w:val="FirstParagraph"/>
        <w:spacing w:line="480" w:lineRule="auto" w:after="0"/>
      </w:pPr>
      <w:r>
        <w:rPr>
          <w:rFonts w:ascii="Times New Roman" w:hAnsi="Times New Roman"/>
          <w:sz w:val="24"/>
        </w:rPr>
        <w:t xml:space="preserve">This study employs a mixed-methods research design, integrating quantitative and qualitative approaches to address the research questions from complementary angles. As Serdikoff (2021) explains, quantitative methods are best suited for measuring relationships between variables, while qualitative methods reveal the deeper contextual and experiential factors that numerical data alone cannot capture (Section 36). The integration of both approaches enables statistical breadth — measuring the prevalence and patterns of training gaps across a representative sample — and interpretive depth — understanding the organizational dynamics that explain why those gaps persist.</w:t>
      </w:r>
    </w:p>
    <w:p>
      <w:pPr>
        <w:pStyle w:val="BodyText"/>
        <w:spacing w:line="480" w:lineRule="auto" w:after="0"/>
      </w:pPr>
      <w:r>
        <w:rPr>
          <w:rFonts w:ascii="Times New Roman" w:hAnsi="Times New Roman"/>
          <w:sz w:val="24"/>
        </w:rPr>
        <w:t xml:space="preserve">The quantitative component consists of a structured survey administered to 150 small and medium-sized enterprises (SMEs) with fewer than 50 employees, drawn from diverse industry sectors including retail, professional services, healthcare, and hospitality. The survey instrument measures current cybersecurity training practices, the frequency and format of training delivery, incident history over a 24-month period, and the degree to which organizations have implemented recommendations from NIST (2018), CISA (2024), and SBA (2023) frameworks. Responses are analyzed using descriptive statistics and Pearson correlation analysis to identify relationships between training investment intensity and incident frequency, and between framework adoption level and security outcomes.</w:t>
      </w:r>
    </w:p>
    <w:p>
      <w:pPr>
        <w:pStyle w:val="BodyText"/>
        <w:spacing w:line="480" w:lineRule="auto" w:after="0"/>
      </w:pPr>
      <w:r>
        <w:rPr>
          <w:rFonts w:ascii="Times New Roman" w:hAnsi="Times New Roman"/>
          <w:sz w:val="24"/>
        </w:rPr>
        <w:t xml:space="preserve">The qualitative component consists of semi-structured follow-up interviews with IT managers or equivalent security-responsible personnel at a purposive subsample of 20 organizations drawn from the survey pool. The subsample is selected to represent variation across industry sector, organizational size, and reported security incident history. Interview questions explore the organizational factors that enable or impede sustained training implementation, the practical challenges of measuring behavioral change, and the perceived barriers to advancing from foundational to more comprehensive security practices. Thematic analysis is applied to interview transcripts following the procedures described by Serdikoff (2021), identifying recurring patterns and contextual explanations that complement and deepen the quantitative findings (Section 17).</w:t>
      </w:r>
    </w:p>
    <w:p>
      <w:pPr>
        <w:pStyle w:val="BodyText"/>
        <w:spacing w:line="480" w:lineRule="auto" w:after="0"/>
      </w:pPr>
      <w:r>
        <w:rPr>
          <w:rFonts w:ascii="Times New Roman" w:hAnsi="Times New Roman"/>
          <w:sz w:val="24"/>
        </w:rPr>
        <w:t xml:space="preserve">This mixed-methods design is particularly appropriate for this study because the central research problem has two distinct dimensions that neither approach alone can fully address. The quantitative component answers the question of how widespread training gaps are and whether they correlate with security outcomes. The qualitative component answers the question of why those gaps persist — the organizational, cultural, and resource-related factors that prevent small businesses from sustaining and advancing their security programs. Together, these two streams of evidence provide the empirical foundation needed to develop a maturity model that is both evidence-based and practically grounded.</w:t>
      </w:r>
    </w:p>
    <w:p>
      <w:pPr>
        <w:spacing w:line="480" w:lineRule="auto" w:after="0"/>
      </w:pPr>
      <w:r>
        <w:rPr>
          <w:rFonts w:ascii="Times New Roman" w:hAnsi="Times New Roman"/>
          <w:sz w:val="24"/>
        </w:rPr>
        <w:pict>
          <v:rect style="width:0;height:1.5pt" o:hralign="center" o:hrstd="t" o:hr="t"/>
        </w:pict>
      </w:r>
    </w:p>
    <w:bookmarkEnd w:id="15"/>
    <w:bookmarkStart w:id="16" w:name="results-and-discussion"/>
    <w:p>
      <w:pPr>
        <w:pStyle w:val="Heading2"/>
        <w:spacing w:line="480" w:lineRule="auto" w:after="0"/>
      </w:pPr>
      <w:r>
        <w:rPr>
          <w:rFonts w:ascii="Times New Roman" w:hAnsi="Times New Roman"/>
          <w:sz w:val="24"/>
        </w:rPr>
        <w:t xml:space="preserve">Results and Discussion</w:t>
      </w:r>
    </w:p>
    <w:p>
      <w:pPr>
        <w:pStyle w:val="FirstParagraph"/>
        <w:spacing w:line="480" w:lineRule="auto" w:after="0"/>
      </w:pPr>
      <w:r>
        <w:rPr>
          <w:rFonts w:ascii="Times New Roman" w:hAnsi="Times New Roman"/>
          <w:sz w:val="24"/>
        </w:rPr>
        <w:t xml:space="preserve">The synthesis of existing literature, combined with the findings of the proposed empirical investigation, yields three principal findings that together motivate and inform the tiered cybersecurity maturity model.</w:t>
      </w:r>
    </w:p>
    <w:p>
      <w:pPr>
        <w:pStyle w:val="BodyText"/>
        <w:spacing w:line="480" w:lineRule="auto" w:after="0"/>
      </w:pPr>
      <w:r>
        <w:rPr>
          <w:rFonts w:ascii="Times New Roman" w:hAnsi="Times New Roman"/>
          <w:b/>
          <w:bCs/>
          <w:sz w:val="24"/>
        </w:rPr>
        <w:t xml:space="preserve">Finding 1: Training effectiveness is well-documented, but sustainability is not.</w:t>
      </w:r>
    </w:p>
    <w:p>
      <w:pPr>
        <w:pStyle w:val="BodyText"/>
        <w:spacing w:line="480" w:lineRule="auto" w:after="0"/>
      </w:pPr>
      <w:r>
        <w:rPr>
          <w:rFonts w:ascii="Times New Roman" w:hAnsi="Times New Roman"/>
          <w:sz w:val="24"/>
        </w:rPr>
        <w:t xml:space="preserve">The evidence that cybersecurity training reduces breach risk is robust and consistent across sources. CISA’s (2024) documentation of a 70% reduction in phishing success and Verizon’s (2023) finding that 74% of breaches involve human factors together establish a compelling case for training investment. What the literature does not address is the durability of training effects over time. Security awareness is not a permanent state — it is a skill that requires reinforcement, practice, and updating as threats evolve. Organizations that deliver annual training sessions without follow-up mechanisms are likely to see their investment decay as employees revert to habitual behaviors and new threats emerge that were not covered in the original training. This finding points to the need for built-in reinforcement mechanisms at every stage of a maturity model, not just at the point of initial implementation.</w:t>
      </w:r>
    </w:p>
    <w:p>
      <w:pPr>
        <w:pStyle w:val="BodyText"/>
        <w:spacing w:line="480" w:lineRule="auto" w:after="0"/>
      </w:pPr>
      <w:r>
        <w:rPr>
          <w:rFonts w:ascii="Times New Roman" w:hAnsi="Times New Roman"/>
          <w:b/>
          <w:bCs/>
          <w:sz w:val="24"/>
        </w:rPr>
        <w:t xml:space="preserve">Finding 2: Existing frameworks create an accessibility gap for small businesses.</w:t>
      </w:r>
    </w:p>
    <w:p>
      <w:pPr>
        <w:pStyle w:val="BodyText"/>
        <w:spacing w:line="480" w:lineRule="auto" w:after="0"/>
      </w:pPr>
      <w:r>
        <w:rPr>
          <w:rFonts w:ascii="Times New Roman" w:hAnsi="Times New Roman"/>
          <w:sz w:val="24"/>
        </w:rPr>
        <w:t xml:space="preserve">NIST’s (2018) Cybersecurity Framework is technically comprehensive and widely respected, but its scope and complexity present genuine implementation barriers for organizations without dedicated security staff. The SBA’s (2023) guidance is accessible and actionable but lacks the depth needed for organizations that have implemented foundational measures and want to advance further. This creates a gap in the middle of the maturity spectrum — organizations that have outgrown basic checklists but cannot yet implement enterprise-grade frameworks. The absence of structured intermediate stages means that many small businesses plateau at a level of protection that becomes increasingly inadequate as their digital operations expand and threat actors grow more sophisticated.</w:t>
      </w:r>
    </w:p>
    <w:p>
      <w:pPr>
        <w:pStyle w:val="BodyText"/>
        <w:spacing w:line="480" w:lineRule="auto" w:after="0"/>
      </w:pPr>
      <w:r>
        <w:rPr>
          <w:rFonts w:ascii="Times New Roman" w:hAnsi="Times New Roman"/>
          <w:b/>
          <w:bCs/>
          <w:sz w:val="24"/>
        </w:rPr>
        <w:t xml:space="preserve">Finding 3: Quantitative risk assessment improves investment decisions and outcomes.</w:t>
      </w:r>
    </w:p>
    <w:p>
      <w:pPr>
        <w:pStyle w:val="BodyText"/>
        <w:spacing w:line="480" w:lineRule="auto" w:after="0"/>
      </w:pPr>
      <w:r>
        <w:rPr>
          <w:rFonts w:ascii="Times New Roman" w:hAnsi="Times New Roman"/>
          <w:sz w:val="24"/>
        </w:rPr>
        <w:t xml:space="preserve">Eling and Schnell’s (2016) analysis of insurance claims data demonstrated that organizations employing data-driven risk evaluation show measurably better incident response outcomes and more efficient resource allocation. For small businesses, this finding has a practical implication that goes beyond methodology: framing cybersecurity investment in terms of quantifiable risk reduction — rather than abstract compliance or vague best-practice adherence — makes it easier to justify expenditure to stakeholders, prioritize measures with the highest return on investment, and track progress over time. A maturity model that incorporates quantitative milestones at its advanced stages enables small businesses to adopt this evidence-based approach incrementally, without requiring analytical infrastructure they do not yet have.</w:t>
      </w:r>
    </w:p>
    <w:p>
      <w:pPr>
        <w:pStyle w:val="BodyText"/>
        <w:spacing w:line="480" w:lineRule="auto" w:after="0"/>
      </w:pPr>
      <w:r>
        <w:rPr>
          <w:rFonts w:ascii="Times New Roman" w:hAnsi="Times New Roman"/>
          <w:b/>
          <w:bCs/>
          <w:sz w:val="24"/>
        </w:rPr>
        <w:t xml:space="preserve">The Tiered Cybersecurity Maturity Model</w:t>
      </w:r>
    </w:p>
    <w:p>
      <w:pPr>
        <w:pStyle w:val="BodyText"/>
        <w:spacing w:line="480" w:lineRule="auto" w:after="0"/>
      </w:pPr>
      <w:r>
        <w:rPr>
          <w:rFonts w:ascii="Times New Roman" w:hAnsi="Times New Roman"/>
          <w:sz w:val="24"/>
        </w:rPr>
        <w:t xml:space="preserve">Based on these three findings, this study proposes a three-tier cybersecurity maturity model designed specifically for small businesses with fewer than 50 employees. Each tier builds directly on the previous one, incorporates measurable milestones, and maps to existing frameworks in a way that makes progression concrete and achievable.</w:t>
      </w:r>
    </w:p>
    <w:p>
      <w:pPr>
        <w:pStyle w:val="BodyText"/>
        <w:spacing w:line="480" w:lineRule="auto" w:after="0"/>
      </w:pPr>
      <w:r>
        <w:rPr>
          <w:rFonts w:ascii="Times New Roman" w:hAnsi="Times New Roman"/>
          <w:i/>
          <w:iCs/>
          <w:sz w:val="24"/>
        </w:rPr>
        <w:t xml:space="preserve">Tier 1 — Foundational</w:t>
      </w:r>
      <w:r>
        <w:rPr>
          <w:rFonts w:ascii="Times New Roman" w:hAnsi="Times New Roman"/>
          <w:sz w:val="24"/>
        </w:rPr>
        <w:t xml:space="preserve">: This tier implements the three core measures recommended by SBA (2023): employee security awareness training, regular software and firmware updates, and multi-factor authentication across all business accounts. It also establishes a basic incident response procedure — a documented set of steps for what to do when something goes wrong. The measurable milestones for this tier are: zero unpatched critical vulnerabilities at any point in time, and 100% of employees completing initial security awareness training within the first 90 days of implementation.</w:t>
      </w:r>
    </w:p>
    <w:p>
      <w:pPr>
        <w:pStyle w:val="BodyText"/>
        <w:spacing w:line="480" w:lineRule="auto" w:after="0"/>
      </w:pPr>
      <w:r>
        <w:rPr>
          <w:rFonts w:ascii="Times New Roman" w:hAnsi="Times New Roman"/>
          <w:i/>
          <w:iCs/>
          <w:sz w:val="24"/>
        </w:rPr>
        <w:t xml:space="preserve">Tier 2 — Developing</w:t>
      </w:r>
      <w:r>
        <w:rPr>
          <w:rFonts w:ascii="Times New Roman" w:hAnsi="Times New Roman"/>
          <w:sz w:val="24"/>
        </w:rPr>
        <w:t xml:space="preserve">: This tier introduces the structured, reinforcement-based training program documented by CISA (2024), including quarterly micro-training sessions and simulated phishing exercises to measure and reinforce behavioral change. It also implements basic incident logging and formal response protocols aligned with the Detect and Respond functions of the NIST (2018) framework. The measurable milestones for this tier are: a phishing simulation click rate below 10% across the workforce, and a documented incident response plan that has been tested through at least one tabletop exercise.</w:t>
      </w:r>
    </w:p>
    <w:p>
      <w:pPr>
        <w:pStyle w:val="BodyText"/>
        <w:spacing w:line="480" w:lineRule="auto" w:after="0"/>
      </w:pPr>
      <w:r>
        <w:rPr>
          <w:rFonts w:ascii="Times New Roman" w:hAnsi="Times New Roman"/>
          <w:i/>
          <w:iCs/>
          <w:sz w:val="24"/>
        </w:rPr>
        <w:t xml:space="preserve">Tier 3 — Maturing</w:t>
      </w:r>
      <w:r>
        <w:rPr>
          <w:rFonts w:ascii="Times New Roman" w:hAnsi="Times New Roman"/>
          <w:sz w:val="24"/>
        </w:rPr>
        <w:t xml:space="preserve">: This tier adopts the quantitative risk assessment methodology described by Eling and Schnell (2016), enabling the organization to measure its security posture in terms of risk reduction rather than activity completion. It implements continuous monitoring, regular third-party security assessments, and a formal annual improvement cycle aligned with the full five-function NIST (2018) framework. The measurable milestones for this tier are: an annual risk assessment completed and documented, and cybersecurity investment justified through quantified risk reduction metrics that can be communicated to stakeholders.</w:t>
      </w:r>
    </w:p>
    <w:p>
      <w:pPr>
        <w:pStyle w:val="BodyText"/>
        <w:spacing w:line="480" w:lineRule="auto" w:after="0"/>
      </w:pPr>
      <w:r>
        <w:rPr>
          <w:rFonts w:ascii="Times New Roman" w:hAnsi="Times New Roman"/>
          <w:sz w:val="24"/>
        </w:rPr>
        <w:t xml:space="preserve">The model’s key innovation is not any individual tier but the progression between them. By providing explicit, achievable milestones at each stage, the model gives small businesses a clear answer to the question that existing frameworks leave unanswered:</w:t>
      </w:r>
      <w:r>
        <w:rPr>
          <w:rFonts w:ascii="Times New Roman" w:hAnsi="Times New Roman"/>
          <w:sz w:val="24"/>
        </w:rPr>
        <w:t xml:space="preserve"> </w:t>
      </w:r>
      <w:r>
        <w:rPr>
          <w:rFonts w:ascii="Times New Roman" w:hAnsi="Times New Roman"/>
          <w:sz w:val="24"/>
        </w:rPr>
        <w:t xml:space="preserve">“We have done the basics — what do we do next?”</w:t>
      </w:r>
      <w:r>
        <w:rPr>
          <w:rFonts w:ascii="Times New Roman" w:hAnsi="Times New Roman"/>
          <w:sz w:val="24"/>
        </w:rPr>
        <w:t xml:space="preserve"> </w:t>
      </w:r>
      <w:r>
        <w:rPr>
          <w:rFonts w:ascii="Times New Roman" w:hAnsi="Times New Roman"/>
          <w:sz w:val="24"/>
        </w:rPr>
        <w:t xml:space="preserve">Each tier is designed to be completed within a 12-to-18-month window, making the full progression from Tier 1 to Tier 3 achievable within three to five years for most small businesses.</w:t>
      </w:r>
    </w:p>
    <w:p>
      <w:pPr>
        <w:spacing w:line="480" w:lineRule="auto" w:after="0"/>
      </w:pPr>
      <w:r>
        <w:rPr>
          <w:rFonts w:ascii="Times New Roman" w:hAnsi="Times New Roman"/>
          <w:sz w:val="24"/>
        </w:rPr>
        <w:pict>
          <v:rect style="width:0;height:1.5pt" o:hralign="center" o:hrstd="t" o:hr="t"/>
        </w:pict>
      </w:r>
    </w:p>
    <w:bookmarkEnd w:id="16"/>
    <w:bookmarkStart w:id="17" w:name="conclusion"/>
    <w:p>
      <w:pPr>
        <w:pStyle w:val="Heading2"/>
        <w:spacing w:line="480" w:lineRule="auto" w:after="0"/>
      </w:pPr>
      <w:r>
        <w:rPr>
          <w:rFonts w:ascii="Times New Roman" w:hAnsi="Times New Roman"/>
          <w:sz w:val="24"/>
        </w:rPr>
        <w:t xml:space="preserve">Conclusion</w:t>
      </w:r>
    </w:p>
    <w:p>
      <w:pPr>
        <w:pStyle w:val="FirstParagraph"/>
        <w:spacing w:line="480" w:lineRule="auto" w:after="0"/>
      </w:pPr>
      <w:r>
        <w:rPr>
          <w:rFonts w:ascii="Times New Roman" w:hAnsi="Times New Roman"/>
          <w:sz w:val="24"/>
        </w:rPr>
        <w:t xml:space="preserve">The cybersecurity challenge facing small businesses is real, urgent, and — with the right tools — tractable. This paper has argued that the primary barrier is not a lack of awareness or a shortage of guidance. It is the absence of a structured, progressive implementation pathway that meets small businesses where they are and provides a clear, achievable route toward meaningful security resilience.</w:t>
      </w:r>
    </w:p>
    <w:p>
      <w:pPr>
        <w:pStyle w:val="BodyText"/>
        <w:spacing w:line="480" w:lineRule="auto" w:after="0"/>
      </w:pPr>
      <w:r>
        <w:rPr>
          <w:rFonts w:ascii="Times New Roman" w:hAnsi="Times New Roman"/>
          <w:sz w:val="24"/>
        </w:rPr>
        <w:t xml:space="preserve">The tiered maturity model proposed here addresses this barrier directly. By grounding Tier 1 in SBA’s (2023) accessible foundational measures, Tier 2 in CISA’s (2024) evidence-based training reinforcement approach, and Tier 3 in NIST’s (2018) comprehensive framework and Eling and Schnell’s (2016) quantitative risk assessment principles, the model draws on the strongest elements of existing guidance while filling the gap that none of them individually addresses. The result is a developmental journey — not a compliance checklist — that small businesses can begin today and advance over time as their capacity grows.</w:t>
      </w:r>
    </w:p>
    <w:p>
      <w:pPr>
        <w:pStyle w:val="BodyText"/>
        <w:spacing w:line="480" w:lineRule="auto" w:after="0"/>
      </w:pPr>
      <w:r>
        <w:rPr>
          <w:rFonts w:ascii="Times New Roman" w:hAnsi="Times New Roman"/>
          <w:sz w:val="24"/>
        </w:rPr>
        <w:t xml:space="preserve">The implications extend beyond individual organizations. Small businesses collectively employ nearly half of the private-sector workforce and form the connective tissue of supply chains that larger enterprises depend upon. A breach at a small supplier can cascade into a breach at a large customer. Strengthening the cybersecurity posture of small businesses is therefore not only a matter of protecting those businesses — it is a matter of protecting the broader economic ecosystem they inhabit.</w:t>
      </w:r>
    </w:p>
    <w:p>
      <w:pPr>
        <w:pStyle w:val="BodyText"/>
        <w:spacing w:line="480" w:lineRule="auto" w:after="0"/>
      </w:pPr>
      <w:r>
        <w:rPr>
          <w:rFonts w:ascii="Times New Roman" w:hAnsi="Times New Roman"/>
          <w:sz w:val="24"/>
        </w:rPr>
        <w:t xml:space="preserve">Future research should empirically validate the model through longitudinal studies tracking security outcomes across the three tiers, with particular attention to measuring behavioral change persistence — the dimension most conspicuously absent from the current literature. Researchers should also examine how the model performs across different industry sectors and geographic contexts, as the operational constraints and threat profiles of small businesses vary considerably. Policymakers and industry associations should consider how they can support small businesses in accessing the external expertise needed to advance from Tier 2 to Tier 3, where the analytical demands of quantitative risk assessment may exceed what most small business owners can manage independently.</w:t>
      </w:r>
    </w:p>
    <w:p>
      <w:pPr>
        <w:pStyle w:val="BodyText"/>
        <w:spacing w:line="480" w:lineRule="auto" w:after="0"/>
      </w:pPr>
      <w:r>
        <w:rPr>
          <w:rFonts w:ascii="Times New Roman" w:hAnsi="Times New Roman"/>
          <w:sz w:val="24"/>
        </w:rPr>
        <w:t xml:space="preserve">The goal is not perfect security — no organization achieves that. The goal is progressive, measurable, sustainable improvement. That is what this model is designed to deliver.</w:t>
      </w:r>
    </w:p>
    <w:p>
      <w:pPr>
        <w:spacing w:line="480" w:lineRule="auto" w:after="0"/>
      </w:pPr>
      <w:r>
        <w:rPr>
          <w:rFonts w:ascii="Times New Roman" w:hAnsi="Times New Roman"/>
          <w:sz w:val="24"/>
        </w:rPr>
        <w:pict>
          <v:rect style="width:0;height:1.5pt" o:hralign="center" o:hrstd="t" o:hr="t"/>
        </w:pict>
      </w:r>
    </w:p>
    <w:bookmarkEnd w:id="17"/>
    <w:bookmarkStart w:id="18" w:name="references"/>
    <w:p>
      <w:pPr>
        <w:pStyle w:val="Heading2"/>
        <w:spacing w:line="480" w:lineRule="auto" w:after="0"/>
      </w:pPr>
      <w:r>
        <w:rPr>
          <w:rFonts w:ascii="Times New Roman" w:hAnsi="Times New Roman"/>
          <w:sz w:val="24"/>
        </w:rPr>
        <w:t xml:space="preserve">References</w:t>
      </w:r>
    </w:p>
    <w:p>
      <w:pPr>
        <w:pStyle w:val="FirstParagraph"/>
        <w:spacing w:line="480" w:lineRule="auto" w:after="0"/>
      </w:pPr>
      <w:r>
        <w:rPr>
          <w:rFonts w:ascii="Times New Roman" w:hAnsi="Times New Roman"/>
          <w:sz w:val="24"/>
        </w:rPr>
        <w:t xml:space="preserve">Cybersecurity and Infrastructure Security Agency. (2024).</w:t>
      </w:r>
      <w:r>
        <w:rPr>
          <w:rFonts w:ascii="Times New Roman" w:hAnsi="Times New Roman"/>
          <w:sz w:val="24"/>
        </w:rPr>
        <w:t xml:space="preserve"> </w:t>
      </w:r>
      <w:r>
        <w:rPr>
          <w:rFonts w:ascii="Times New Roman" w:hAnsi="Times New Roman"/>
          <w:i/>
          <w:iCs/>
          <w:sz w:val="24"/>
        </w:rPr>
        <w:t xml:space="preserve">Cybersecurity best practices</w:t>
      </w:r>
      <w:r>
        <w:rPr>
          <w:rFonts w:ascii="Times New Roman" w:hAnsi="Times New Roman"/>
          <w:sz w:val="24"/>
        </w:rPr>
        <w:t xml:space="preserve">. U.S. Department of Homeland Security. https://www.cisa.gov/cybersecurity-best-practices</w:t>
      </w:r>
    </w:p>
    <w:p>
      <w:pPr>
        <w:pStyle w:val="BodyText"/>
        <w:spacing w:line="480" w:lineRule="auto" w:after="0"/>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17</w:t>
      </w:r>
      <w:r>
        <w:rPr>
          <w:rFonts w:ascii="Times New Roman" w:hAnsi="Times New Roman"/>
          <w:sz w:val="24"/>
        </w:rPr>
        <w:t xml:space="preserve">(5), 474–491. https://doi.org/10.1108/JRF-09-2016-0122</w:t>
      </w:r>
    </w:p>
    <w:p>
      <w:pPr>
        <w:pStyle w:val="BodyText"/>
        <w:spacing w:line="480" w:lineRule="auto" w:after="0"/>
      </w:pPr>
      <w:r>
        <w:rPr>
          <w:rFonts w:ascii="Times New Roman" w:hAnsi="Times New Roman"/>
          <w:sz w:val="24"/>
        </w:rPr>
        <w:t xml:space="preserve">National Institute of Standards and Technology. (2018).</w:t>
      </w:r>
      <w:r>
        <w:rPr>
          <w:rFonts w:ascii="Times New Roman" w:hAnsi="Times New Roman"/>
          <w:sz w:val="24"/>
        </w:rPr>
        <w:t xml:space="preserve"> </w:t>
      </w:r>
      <w:r>
        <w:rPr>
          <w:rFonts w:ascii="Times New Roman" w:hAnsi="Times New Roman"/>
          <w:i/>
          <w:iCs/>
          <w:sz w:val="24"/>
        </w:rPr>
        <w:t xml:space="preserve">Framework for improving critical infrastructure cybersecurity</w:t>
      </w:r>
      <w:r>
        <w:rPr>
          <w:rFonts w:ascii="Times New Roman" w:hAnsi="Times New Roman"/>
          <w:sz w:val="24"/>
        </w:rPr>
        <w:t xml:space="preserve"> </w:t>
      </w:r>
      <w:r>
        <w:rPr>
          <w:rFonts w:ascii="Times New Roman" w:hAnsi="Times New Roman"/>
          <w:sz w:val="24"/>
        </w:rPr>
        <w:t xml:space="preserve">(Version 1.1). U.S. Department of Commerce. https://doi.org/10.6028/NIST.CSWP.04162018</w:t>
      </w:r>
    </w:p>
    <w:p>
      <w:pPr>
        <w:pStyle w:val="BodyText"/>
        <w:spacing w:line="480" w:lineRule="auto" w:after="0"/>
      </w:pPr>
      <w:r>
        <w:rPr>
          <w:rFonts w:ascii="Times New Roman" w:hAnsi="Times New Roman"/>
          <w:sz w:val="24"/>
        </w:rPr>
        <w:t xml:space="preserve">Serdikoff, S. (2021).</w:t>
      </w:r>
      <w:r>
        <w:rPr>
          <w:rFonts w:ascii="Times New Roman" w:hAnsi="Times New Roman"/>
          <w:sz w:val="24"/>
        </w:rPr>
        <w:t xml:space="preserve"> </w:t>
      </w:r>
      <w:r>
        <w:rPr>
          <w:rFonts w:ascii="Times New Roman" w:hAnsi="Times New Roman"/>
          <w:i/>
          <w:iCs/>
          <w:sz w:val="24"/>
        </w:rPr>
        <w:t xml:space="preserve">Research methods for the behavioral sciences</w:t>
      </w:r>
      <w:r>
        <w:rPr>
          <w:rFonts w:ascii="Times New Roman" w:hAnsi="Times New Roman"/>
          <w:sz w:val="24"/>
        </w:rPr>
        <w:t xml:space="preserve"> </w:t>
      </w:r>
      <w:r>
        <w:rPr>
          <w:rFonts w:ascii="Times New Roman" w:hAnsi="Times New Roman"/>
          <w:sz w:val="24"/>
        </w:rPr>
        <w:t xml:space="preserve">(5th ed.). GALILEO Open Learning Materials. https://oer.galileo.usg.edu/psychology-textbooks/12/</w:t>
      </w:r>
    </w:p>
    <w:p>
      <w:pPr>
        <w:pStyle w:val="BodyText"/>
        <w:spacing w:line="480" w:lineRule="auto" w:after="0"/>
      </w:pPr>
      <w:r>
        <w:rPr>
          <w:rFonts w:ascii="Times New Roman" w:hAnsi="Times New Roman"/>
          <w:sz w:val="24"/>
        </w:rPr>
        <w:t xml:space="preserve">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Small Business Administration. https://www.sba.gov/business-guide/manage-your-business/cybersecurity</w:t>
      </w:r>
    </w:p>
    <w:p>
      <w:pPr>
        <w:pStyle w:val="BodyText"/>
        <w:spacing w:line="480" w:lineRule="auto" w:after="0"/>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Verizon Business. https://www.verizon.com/business/resources/reports/dbir/</w:t>
      </w:r>
    </w:p>
    <w:p>
      <w:pPr>
        <w:spacing w:line="480" w:lineRule="auto" w:after="0"/>
      </w:pPr>
      <w:r>
        <w:rPr>
          <w:rFonts w:ascii="Times New Roman" w:hAnsi="Times New Roman"/>
          <w:sz w:val="24"/>
        </w:rPr>
        <w:pict>
          <v:rect style="width:0;height:1.5pt" o:hralign="center" o:hrstd="t" o:hr="t"/>
        </w:pict>
      </w:r>
    </w:p>
    <w:p>
      <w:pPr>
        <w:pStyle w:val="FirstParagraph"/>
        <w:spacing w:line="480" w:lineRule="auto" w:after="0"/>
      </w:pPr>
      <w:r>
        <w:rPr>
          <w:rFonts w:ascii="Times New Roman" w:hAnsi="Times New Roman"/>
          <w:b/>
          <w:bCs/>
          <w:sz w:val="24"/>
        </w:rPr>
        <w:t xml:space="preserve">Word Count</w:t>
      </w:r>
      <w:r>
        <w:rPr>
          <w:rFonts w:ascii="Times New Roman" w:hAnsi="Times New Roman"/>
          <w:sz w:val="24"/>
        </w:rPr>
        <w:t xml:space="preserve">: ~2,400 words (body, excluding title and references)</w:t>
      </w:r>
    </w:p>
    <w:bookmarkEnd w:id="18"/>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2026-03-24T13:25:30Z</dcterms:created>
  <dcterms:modified xsi:type="dcterms:W3CDTF">2026-03-24T13:25:30Z</dcterms:modified>
</cp:coreProperties>
</file>

<file path=docProps/custom.xml><?xml version="1.0" encoding="utf-8"?>
<Properties xmlns="http://schemas.openxmlformats.org/officeDocument/2006/custom-properties" xmlns:vt="http://schemas.openxmlformats.org/officeDocument/2006/docPropsVTypes"/>
</file>