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3f156937c94a010b79a0ba61c104afc7829f3e"/>
    <w:p>
      <w:pPr>
        <w:pStyle w:val="Heading1"/>
        <w:spacing w:line="480" w:lineRule="exact" w:after="0"/>
      </w:pPr>
      <w:r>
        <w:rPr>
          <w:rFonts w:ascii="Times New Roman" w:hAnsi="Times New Roman"/>
          <w:sz w:val="24"/>
        </w:rPr>
        <w:t xml:space="preserve">Sustainability Models in Practice: Singapore Green Plan 2030</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ECON 1580 — Applied Economics: Theory and Practice</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4 — Environmental Policies and Sustainability</w:t>
      </w:r>
    </w:p>
    <w:p>
      <w:pPr>
        <w:spacing w:line="480" w:lineRule="exact" w:after="0"/>
      </w:pPr>
      <w:r>
        <w:rPr>
          <w:rFonts w:ascii="Times New Roman" w:hAnsi="Times New Roman"/>
          <w:sz w:val="24"/>
        </w:rPr>
        <w:pict>
          <v:rect style="width:0;height:1.5pt" o:hralign="center" o:hrstd="t" o:hr="t"/>
        </w:pict>
      </w:r>
    </w:p>
    <w:bookmarkStart w:id="9" w:name="introduction"/>
    <w:p>
      <w:pPr>
        <w:pStyle w:val="Heading2"/>
        <w:spacing w:line="480" w:lineRule="exact" w:after="0"/>
      </w:pPr>
      <w:r>
        <w:rPr>
          <w:rFonts w:ascii="Times New Roman" w:hAnsi="Times New Roman"/>
          <w:sz w:val="24"/>
        </w:rPr>
        <w:t xml:space="preserve">Introduction</w:t>
      </w:r>
    </w:p>
    <w:p>
      <w:pPr>
        <w:pStyle w:val="FirstParagraph"/>
        <w:spacing w:line="480" w:lineRule="exact" w:after="0"/>
      </w:pPr>
      <w:r>
        <w:rPr>
          <w:rFonts w:ascii="Times New Roman" w:hAnsi="Times New Roman"/>
          <w:sz w:val="24"/>
        </w:rPr>
        <w:t xml:space="preserve">Singapore’s Green Plan 2030 is one of the most comprehensive national sustainability frameworks in Asia. Launched in 2021 and updated in 2024, it commits Singapore to achieving net-zero emissions by 2050 while maintaining its status as one of the world’s most competitive business environments. This paper examines the Green Plan’s core ideas, its real-world application, and how it balances economic growth with environmental protection.</w:t>
      </w:r>
    </w:p>
    <w:p>
      <w:pPr>
        <w:spacing w:line="480" w:lineRule="exact" w:after="0"/>
      </w:pPr>
      <w:r>
        <w:rPr>
          <w:rFonts w:ascii="Times New Roman" w:hAnsi="Times New Roman"/>
          <w:sz w:val="24"/>
        </w:rPr>
        <w:pict>
          <v:rect style="width:0;height:1.5pt" o:hralign="center" o:hrstd="t" o:hr="t"/>
        </w:pict>
      </w:r>
    </w:p>
    <w:bookmarkEnd w:id="9"/>
    <w:bookmarkStart w:id="10" w:name="Xc2e4743f1c5e9f232d7fe47e83ae747ca41b59c"/>
    <w:p>
      <w:pPr>
        <w:pStyle w:val="Heading2"/>
        <w:spacing w:line="480" w:lineRule="exact" w:after="0"/>
      </w:pPr>
      <w:r>
        <w:rPr>
          <w:rFonts w:ascii="Times New Roman" w:hAnsi="Times New Roman"/>
          <w:sz w:val="24"/>
        </w:rPr>
        <w:t xml:space="preserve">Question 1: Main Ideas and Market Failure Reduction</w:t>
      </w:r>
    </w:p>
    <w:p>
      <w:pPr>
        <w:pStyle w:val="FirstParagraph"/>
        <w:spacing w:line="480" w:lineRule="exact" w:after="0"/>
      </w:pPr>
      <w:r>
        <w:rPr>
          <w:rFonts w:ascii="Times New Roman" w:hAnsi="Times New Roman"/>
          <w:sz w:val="24"/>
        </w:rPr>
        <w:t xml:space="preserve">The Singapore Green Plan 2030 is organized around five pillars (Ministry of Sustainability and the Environment, 2024).</w:t>
      </w:r>
      <w:r>
        <w:rPr>
          <w:rFonts w:ascii="Times New Roman" w:hAnsi="Times New Roman"/>
          <w:sz w:val="24"/>
        </w:rPr>
        <w:t xml:space="preserve"> </w:t>
      </w:r>
      <w:r>
        <w:rPr>
          <w:rFonts w:ascii="Times New Roman" w:hAnsi="Times New Roman"/>
          <w:b/>
          <w:bCs/>
          <w:sz w:val="24"/>
        </w:rPr>
        <w:t xml:space="preserve">City in Nature</w:t>
      </w:r>
      <w:r>
        <w:rPr>
          <w:rFonts w:ascii="Times New Roman" w:hAnsi="Times New Roman"/>
          <w:sz w:val="24"/>
        </w:rPr>
        <w:t xml:space="preserve"> </w:t>
      </w:r>
      <w:r>
        <w:rPr>
          <w:rFonts w:ascii="Times New Roman" w:hAnsi="Times New Roman"/>
          <w:sz w:val="24"/>
        </w:rPr>
        <w:t xml:space="preserve">commits to increasing urban green spaces and planting one million trees.</w:t>
      </w:r>
      <w:r>
        <w:rPr>
          <w:rFonts w:ascii="Times New Roman" w:hAnsi="Times New Roman"/>
          <w:sz w:val="24"/>
        </w:rPr>
        <w:t xml:space="preserve"> </w:t>
      </w:r>
      <w:r>
        <w:rPr>
          <w:rFonts w:ascii="Times New Roman" w:hAnsi="Times New Roman"/>
          <w:b/>
          <w:bCs/>
          <w:sz w:val="24"/>
        </w:rPr>
        <w:t xml:space="preserve">Sustainable Living</w:t>
      </w:r>
      <w:r>
        <w:rPr>
          <w:rFonts w:ascii="Times New Roman" w:hAnsi="Times New Roman"/>
          <w:sz w:val="24"/>
        </w:rPr>
        <w:t xml:space="preserve"> </w:t>
      </w:r>
      <w:r>
        <w:rPr>
          <w:rFonts w:ascii="Times New Roman" w:hAnsi="Times New Roman"/>
          <w:sz w:val="24"/>
        </w:rPr>
        <w:t xml:space="preserve">targets reductions in household energy and water consumption through pricing signals and building standards.</w:t>
      </w:r>
      <w:r>
        <w:rPr>
          <w:rFonts w:ascii="Times New Roman" w:hAnsi="Times New Roman"/>
          <w:sz w:val="24"/>
        </w:rPr>
        <w:t xml:space="preserve"> </w:t>
      </w:r>
      <w:r>
        <w:rPr>
          <w:rFonts w:ascii="Times New Roman" w:hAnsi="Times New Roman"/>
          <w:b/>
          <w:bCs/>
          <w:sz w:val="24"/>
        </w:rPr>
        <w:t xml:space="preserve">Energy Reset</w:t>
      </w:r>
      <w:r>
        <w:rPr>
          <w:rFonts w:ascii="Times New Roman" w:hAnsi="Times New Roman"/>
          <w:sz w:val="24"/>
        </w:rPr>
        <w:t xml:space="preserve"> </w:t>
      </w:r>
      <w:r>
        <w:rPr>
          <w:rFonts w:ascii="Times New Roman" w:hAnsi="Times New Roman"/>
          <w:sz w:val="24"/>
        </w:rPr>
        <w:t xml:space="preserve">aims to quadruple solar energy deployment and transition to cleaner energy sources.</w:t>
      </w:r>
      <w:r>
        <w:rPr>
          <w:rFonts w:ascii="Times New Roman" w:hAnsi="Times New Roman"/>
          <w:sz w:val="24"/>
        </w:rPr>
        <w:t xml:space="preserve"> </w:t>
      </w:r>
      <w:r>
        <w:rPr>
          <w:rFonts w:ascii="Times New Roman" w:hAnsi="Times New Roman"/>
          <w:b/>
          <w:bCs/>
          <w:sz w:val="24"/>
        </w:rPr>
        <w:t xml:space="preserve">Green Economy</w:t>
      </w:r>
      <w:r>
        <w:rPr>
          <w:rFonts w:ascii="Times New Roman" w:hAnsi="Times New Roman"/>
          <w:sz w:val="24"/>
        </w:rPr>
        <w:t xml:space="preserve"> </w:t>
      </w:r>
      <w:r>
        <w:rPr>
          <w:rFonts w:ascii="Times New Roman" w:hAnsi="Times New Roman"/>
          <w:sz w:val="24"/>
        </w:rPr>
        <w:t xml:space="preserve">positions Singapore as a regional hub for green finance and clean technology investment.</w:t>
      </w:r>
      <w:r>
        <w:rPr>
          <w:rFonts w:ascii="Times New Roman" w:hAnsi="Times New Roman"/>
          <w:sz w:val="24"/>
        </w:rPr>
        <w:t xml:space="preserve"> </w:t>
      </w:r>
      <w:r>
        <w:rPr>
          <w:rFonts w:ascii="Times New Roman" w:hAnsi="Times New Roman"/>
          <w:b/>
          <w:bCs/>
          <w:sz w:val="24"/>
        </w:rPr>
        <w:t xml:space="preserve">Resilient Future</w:t>
      </w:r>
      <w:r>
        <w:rPr>
          <w:rFonts w:ascii="Times New Roman" w:hAnsi="Times New Roman"/>
          <w:sz w:val="24"/>
        </w:rPr>
        <w:t xml:space="preserve"> </w:t>
      </w:r>
      <w:r>
        <w:rPr>
          <w:rFonts w:ascii="Times New Roman" w:hAnsi="Times New Roman"/>
          <w:sz w:val="24"/>
        </w:rPr>
        <w:t xml:space="preserve">focuses on climate adaptation — protecting coastlines, water supply, and food security against long-term climate impacts.</w:t>
      </w:r>
    </w:p>
    <w:p>
      <w:pPr>
        <w:pStyle w:val="BodyText"/>
        <w:spacing w:line="480" w:lineRule="exact" w:after="0"/>
      </w:pPr>
      <w:r>
        <w:rPr>
          <w:rFonts w:ascii="Times New Roman" w:hAnsi="Times New Roman"/>
          <w:sz w:val="24"/>
        </w:rPr>
        <w:t xml:space="preserve">Together, these pillars address three market failures that environmental economics identifies as the root causes of environmental degradation.</w:t>
      </w:r>
    </w:p>
    <w:p>
      <w:pPr>
        <w:pStyle w:val="BodyText"/>
        <w:spacing w:line="480" w:lineRule="exact" w:after="0"/>
      </w:pPr>
      <w:r>
        <w:rPr>
          <w:rFonts w:ascii="Times New Roman" w:hAnsi="Times New Roman"/>
          <w:b/>
          <w:bCs/>
          <w:sz w:val="24"/>
        </w:rPr>
        <w:t xml:space="preserve">Negative externalities</w:t>
      </w:r>
      <w:r>
        <w:rPr>
          <w:rFonts w:ascii="Times New Roman" w:hAnsi="Times New Roman"/>
          <w:sz w:val="24"/>
        </w:rPr>
        <w:t xml:space="preserve">: Carbon emissions impose costs on society that emitters do not bear themselves. The Green Plan addresses this through Singapore’s carbon tax, raised to S$25 per tonne of CO₂ in 2024, with planned increases to S$50–80 per tonne by 2030. Greenlaw et al. (2022) explain that when negative externalities exist, markets overproduce the harmful activity — a carbon tax corrects this by aligning private and social costs (Section 12.4).</w:t>
      </w:r>
    </w:p>
    <w:p>
      <w:pPr>
        <w:pStyle w:val="BodyText"/>
        <w:spacing w:line="480" w:lineRule="exact" w:after="0"/>
      </w:pPr>
      <w:r>
        <w:rPr>
          <w:rFonts w:ascii="Times New Roman" w:hAnsi="Times New Roman"/>
          <w:b/>
          <w:bCs/>
          <w:sz w:val="24"/>
        </w:rPr>
        <w:t xml:space="preserve">Public goods problems</w:t>
      </w:r>
      <w:r>
        <w:rPr>
          <w:rFonts w:ascii="Times New Roman" w:hAnsi="Times New Roman"/>
          <w:sz w:val="24"/>
        </w:rPr>
        <w:t xml:space="preserve">: Clean air, biodiversity, and climate stability are non-excludable and non-rival — private markets underprovide them because firms cannot charge for the benefits they generate. The City in Nature and Resilient Future pillars invest in these public goods through government funding, addressing the free rider problem through mandatory building codes and land use regulations (Greenlaw et al., 2022, Section 13.3).</w:t>
      </w:r>
    </w:p>
    <w:p>
      <w:pPr>
        <w:pStyle w:val="BodyText"/>
        <w:spacing w:line="480" w:lineRule="exact" w:after="0"/>
      </w:pPr>
      <w:r>
        <w:rPr>
          <w:rFonts w:ascii="Times New Roman" w:hAnsi="Times New Roman"/>
          <w:b/>
          <w:bCs/>
          <w:sz w:val="24"/>
        </w:rPr>
        <w:t xml:space="preserve">Tragedy of the commons</w:t>
      </w:r>
      <w:r>
        <w:rPr>
          <w:rFonts w:ascii="Times New Roman" w:hAnsi="Times New Roman"/>
          <w:sz w:val="24"/>
        </w:rPr>
        <w:t xml:space="preserve">: Singapore’s water and energy resources are finite shared goods. The Sustainable Living pillar uses tiered pricing — charging higher rates for higher consumption — to discourage overuse, directly addressing the tragedy of the commons (Greenlaw et al., 2022, Section 13.3).</w:t>
      </w:r>
    </w:p>
    <w:p>
      <w:pPr>
        <w:spacing w:line="480" w:lineRule="exact" w:after="0"/>
      </w:pPr>
      <w:r>
        <w:rPr>
          <w:rFonts w:ascii="Times New Roman" w:hAnsi="Times New Roman"/>
          <w:sz w:val="24"/>
        </w:rPr>
        <w:pict>
          <v:rect style="width:0;height:1.5pt" o:hralign="center" o:hrstd="t" o:hr="t"/>
        </w:pict>
      </w:r>
    </w:p>
    <w:bookmarkEnd w:id="10"/>
    <w:bookmarkStart w:id="11" w:name="question-2-real-world-application"/>
    <w:p>
      <w:pPr>
        <w:pStyle w:val="Heading2"/>
        <w:spacing w:line="480" w:lineRule="exact" w:after="0"/>
      </w:pPr>
      <w:r>
        <w:rPr>
          <w:rFonts w:ascii="Times New Roman" w:hAnsi="Times New Roman"/>
          <w:sz w:val="24"/>
        </w:rPr>
        <w:t xml:space="preserve">Question 2: Real-World Application</w:t>
      </w:r>
    </w:p>
    <w:p>
      <w:pPr>
        <w:pStyle w:val="FirstParagraph"/>
        <w:spacing w:line="480" w:lineRule="exact" w:after="0"/>
      </w:pPr>
      <w:r>
        <w:rPr>
          <w:rFonts w:ascii="Times New Roman" w:hAnsi="Times New Roman"/>
          <w:sz w:val="24"/>
        </w:rPr>
        <w:t xml:space="preserve">The most concrete real-world application of the Singapore Green Plan is the</w:t>
      </w:r>
      <w:r>
        <w:rPr>
          <w:rFonts w:ascii="Times New Roman" w:hAnsi="Times New Roman"/>
          <w:sz w:val="24"/>
        </w:rPr>
        <w:t xml:space="preserve"> </w:t>
      </w:r>
      <w:r>
        <w:rPr>
          <w:rFonts w:ascii="Times New Roman" w:hAnsi="Times New Roman"/>
          <w:b/>
          <w:bCs/>
          <w:sz w:val="24"/>
        </w:rPr>
        <w:t xml:space="preserve">Green Mark certification scheme</w:t>
      </w:r>
      <w:r>
        <w:rPr>
          <w:rFonts w:ascii="Times New Roman" w:hAnsi="Times New Roman"/>
          <w:sz w:val="24"/>
        </w:rPr>
        <w:t xml:space="preserve"> </w:t>
      </w:r>
      <w:r>
        <w:rPr>
          <w:rFonts w:ascii="Times New Roman" w:hAnsi="Times New Roman"/>
          <w:sz w:val="24"/>
        </w:rPr>
        <w:t xml:space="preserve">for buildings, administered by the Building and Construction Authority (BCA). Singapore’s built environment accounts for approximately 20% of the country’s total carbon emissions, making building energy efficiency a critical lever for achieving the Green Plan’s targets.</w:t>
      </w:r>
    </w:p>
    <w:p>
      <w:pPr>
        <w:pStyle w:val="BodyText"/>
        <w:spacing w:line="480" w:lineRule="exact" w:after="0"/>
      </w:pPr>
      <w:r>
        <w:rPr>
          <w:rFonts w:ascii="Times New Roman" w:hAnsi="Times New Roman"/>
          <w:sz w:val="24"/>
        </w:rPr>
        <w:t xml:space="preserve">Under the Green Mark scheme, all new buildings and major retrofits must meet minimum energy efficiency standards, with higher-tier certifications available for buildings that exceed the baseline. The government provides grants of up to S$3 million for Super Low Energy buildings, and by 2030, the Green Plan targets 80% of all buildings in Singapore to be Green Mark certified (Ministry of Sustainability and the Environment, 2024).</w:t>
      </w:r>
    </w:p>
    <w:p>
      <w:pPr>
        <w:pStyle w:val="BodyText"/>
        <w:spacing w:line="480" w:lineRule="exact" w:after="0"/>
      </w:pPr>
      <w:r>
        <w:rPr>
          <w:rFonts w:ascii="Times New Roman" w:hAnsi="Times New Roman"/>
          <w:sz w:val="24"/>
        </w:rPr>
        <w:t xml:space="preserve">This initiative reflects the three-pronged government approach to encouraging innovation that Greenlaw et al. (2022) describe: mandatory standards, financial incentives, and collaborative research between the BCA, universities, and private developers (Section 13.2). The scheme has driven significant private sector investment in green building technology, creating a domestic industry that now exports expertise to other Asian markets.</w:t>
      </w:r>
    </w:p>
    <w:p>
      <w:pPr>
        <w:pStyle w:val="BodyText"/>
        <w:spacing w:line="480" w:lineRule="exact" w:after="0"/>
      </w:pPr>
      <w:r>
        <w:rPr>
          <w:rFonts w:ascii="Times New Roman" w:hAnsi="Times New Roman"/>
          <w:sz w:val="24"/>
        </w:rPr>
        <w:t xml:space="preserve">A corporate example is CapitaLand Investment, one of Asia’s largest real estate investment managers, which has committed to net-zero carbon emissions by 2050 across its entire portfolio. CapitaLand has retrofitted buildings with solar panels, smart energy management systems, and green roofs, reporting progress against science-based targets (CapitaLand Investment, 2023). This demonstrates how government policy frameworks catalyze private sector sustainability commitments beyond legal compliance — the voluntary agreement mechanism that Adanma and Ogunbiyi (2024) identify as a key complement to regulatory approaches (p. 962).</w:t>
      </w:r>
    </w:p>
    <w:p>
      <w:pPr>
        <w:spacing w:line="480" w:lineRule="exact" w:after="0"/>
      </w:pPr>
      <w:r>
        <w:rPr>
          <w:rFonts w:ascii="Times New Roman" w:hAnsi="Times New Roman"/>
          <w:sz w:val="24"/>
        </w:rPr>
        <w:pict>
          <v:rect style="width:0;height:1.5pt" o:hralign="center" o:hrstd="t" o:hr="t"/>
        </w:pict>
      </w:r>
    </w:p>
    <w:bookmarkEnd w:id="11"/>
    <w:bookmarkStart w:id="12" w:name="Xf0320f2af02e4d15003a0f5349a5b458093f634"/>
    <w:p>
      <w:pPr>
        <w:pStyle w:val="Heading2"/>
        <w:spacing w:line="480" w:lineRule="exact" w:after="0"/>
      </w:pPr>
      <w:r>
        <w:rPr>
          <w:rFonts w:ascii="Times New Roman" w:hAnsi="Times New Roman"/>
          <w:sz w:val="24"/>
        </w:rPr>
        <w:t xml:space="preserve">Question 3: Balancing Economic Growth and Environmental Protection</w:t>
      </w:r>
    </w:p>
    <w:p>
      <w:pPr>
        <w:pStyle w:val="FirstParagraph"/>
        <w:spacing w:line="480" w:lineRule="exact" w:after="0"/>
      </w:pPr>
      <w:r>
        <w:rPr>
          <w:rFonts w:ascii="Times New Roman" w:hAnsi="Times New Roman"/>
          <w:sz w:val="24"/>
        </w:rPr>
        <w:t xml:space="preserve">The Singapore Green Plan explicitly frames environmental sustainability as an economic opportunity rather than a constraint. This reflects the green growth paradigm that Hutajulu et al. (2024) identify as the dominant approach in contemporary sustainability policy — the argument that environmental protection and economic growth are complementary rather than competing goals (p. 476).</w:t>
      </w:r>
    </w:p>
    <w:p>
      <w:pPr>
        <w:pStyle w:val="BodyText"/>
        <w:spacing w:line="480" w:lineRule="exact" w:after="0"/>
      </w:pPr>
      <w:r>
        <w:rPr>
          <w:rFonts w:ascii="Times New Roman" w:hAnsi="Times New Roman"/>
          <w:b/>
          <w:bCs/>
          <w:sz w:val="24"/>
        </w:rPr>
        <w:t xml:space="preserve">Strategy 1 — Green economy development</w:t>
      </w:r>
      <w:r>
        <w:rPr>
          <w:rFonts w:ascii="Times New Roman" w:hAnsi="Times New Roman"/>
          <w:sz w:val="24"/>
        </w:rPr>
        <w:t xml:space="preserve">: The Green Economy pillar targets Singapore as a hub for green finance and clean technology. Singapore’s Monetary Authority has introduced a Green and Sustainability-Linked Loan Grant Scheme, subsidizing the cost of green financing for businesses. This addresses the market failure of underinvestment in innovation that Greenlaw et al. (2022) identify — private firms underinvest in clean technology because they cannot capture the full social benefit, so government financing schemes correct this gap (Section 13.1).</w:t>
      </w:r>
    </w:p>
    <w:p>
      <w:pPr>
        <w:pStyle w:val="BodyText"/>
        <w:spacing w:line="480" w:lineRule="exact" w:after="0"/>
      </w:pPr>
      <w:r>
        <w:rPr>
          <w:rFonts w:ascii="Times New Roman" w:hAnsi="Times New Roman"/>
          <w:b/>
          <w:bCs/>
          <w:sz w:val="24"/>
        </w:rPr>
        <w:t xml:space="preserve">Strategy 2 — Just transition</w:t>
      </w:r>
      <w:r>
        <w:rPr>
          <w:rFonts w:ascii="Times New Roman" w:hAnsi="Times New Roman"/>
          <w:sz w:val="24"/>
        </w:rPr>
        <w:t xml:space="preserve">: The Green Plan acknowledges that the shift to a green economy creates distributional trade-offs. Workers in carbon-intensive industries face displacement, and lower-income households face higher energy costs from carbon pricing. The plan includes the SkillsFuture workforce retraining program and the GST Voucher — U-Save scheme, providing utility rebates of up to S$950 per year to lower-income households (Ministry of Sustainability and the Environment, 2024). This reflects the trade-off that Adanma and Ogunbiyi (2024) identify as central to environmental policy design: achieving environmental goals while maintaining social equity (p. 965).</w:t>
      </w:r>
    </w:p>
    <w:p>
      <w:pPr>
        <w:pStyle w:val="BodyText"/>
        <w:spacing w:line="480" w:lineRule="exact" w:after="0"/>
      </w:pPr>
      <w:r>
        <w:rPr>
          <w:rFonts w:ascii="Times New Roman" w:hAnsi="Times New Roman"/>
          <w:b/>
          <w:bCs/>
          <w:sz w:val="24"/>
        </w:rPr>
        <w:t xml:space="preserve">Strategy 3 — International positioning</w:t>
      </w:r>
      <w:r>
        <w:rPr>
          <w:rFonts w:ascii="Times New Roman" w:hAnsi="Times New Roman"/>
          <w:sz w:val="24"/>
        </w:rPr>
        <w:t xml:space="preserve">: Singapore’s domestic emissions are globally insignificant, but its influence as a financial and trade hub is substantial. By becoming a model of green urban development, Singapore attracts green investment and builds expertise in sustainability services. The trade-off is that ambitious environmental targets impose short-term compliance costs on businesses that must be managed carefully — a tension that Hutajulu et al. (2024) describe as the central challenge of green growth strategy implementation (p. 478).</w:t>
      </w:r>
    </w:p>
    <w:p>
      <w:pPr>
        <w:spacing w:line="480" w:lineRule="exact" w:after="0"/>
      </w:pPr>
      <w:r>
        <w:rPr>
          <w:rFonts w:ascii="Times New Roman" w:hAnsi="Times New Roman"/>
          <w:sz w:val="24"/>
        </w:rPr>
        <w:pict>
          <v:rect style="width:0;height:1.5pt" o:hralign="center" o:hrstd="t" o:hr="t"/>
        </w:pict>
      </w:r>
    </w:p>
    <w:bookmarkEnd w:id="12"/>
    <w:bookmarkStart w:id="13" w:name="conclusion"/>
    <w:p>
      <w:pPr>
        <w:pStyle w:val="Heading2"/>
        <w:spacing w:line="480" w:lineRule="exact" w:after="0"/>
      </w:pPr>
      <w:r>
        <w:rPr>
          <w:rFonts w:ascii="Times New Roman" w:hAnsi="Times New Roman"/>
          <w:sz w:val="24"/>
        </w:rPr>
        <w:t xml:space="preserve">Conclusion</w:t>
      </w:r>
    </w:p>
    <w:p>
      <w:pPr>
        <w:pStyle w:val="FirstParagraph"/>
        <w:spacing w:line="480" w:lineRule="exact" w:after="0"/>
      </w:pPr>
      <w:r>
        <w:rPr>
          <w:rFonts w:ascii="Times New Roman" w:hAnsi="Times New Roman"/>
          <w:sz w:val="24"/>
        </w:rPr>
        <w:t xml:space="preserve">The Singapore Green Plan 2030 demonstrates that a well-designed sustainability model can simultaneously address market failures, drive economic innovation, and maintain competitiveness. By combining carbon pricing to correct negative externalities, public investment to address public goods problems, tiered pricing to prevent the tragedy of the commons, and financial incentives for private sector innovation, Singapore treats environmental protection as an economic strategy rather than a burden. The key insight is that market failures are the real constraint on sustainable development, and targeted policy interventions can correct those failures while creating new economic opportunities.</w:t>
      </w:r>
    </w:p>
    <w:p>
      <w:pPr>
        <w:spacing w:line="480" w:lineRule="exact" w:after="0"/>
      </w:pPr>
      <w:r>
        <w:rPr>
          <w:rFonts w:ascii="Times New Roman" w:hAnsi="Times New Roman"/>
          <w:sz w:val="24"/>
        </w:rPr>
        <w:pict>
          <v:rect style="width:0;height:1.5pt" o:hralign="center" o:hrstd="t" o:hr="t"/>
        </w:pict>
      </w:r>
    </w:p>
    <w:bookmarkEnd w:id="13"/>
    <w:bookmarkStart w:id="14"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Adanma, N. U. M., &amp; Ogunbiyi, N. E. O. (2024). A comparative review of global environmental policies for promoting sustainable development and economic growth.</w:t>
      </w:r>
      <w:r>
        <w:rPr>
          <w:rFonts w:ascii="Times New Roman" w:hAnsi="Times New Roman"/>
          <w:sz w:val="24"/>
        </w:rPr>
        <w:t xml:space="preserve"> </w:t>
      </w:r>
      <w:r>
        <w:rPr>
          <w:rFonts w:ascii="Times New Roman" w:hAnsi="Times New Roman"/>
          <w:i/>
          <w:iCs/>
          <w:sz w:val="24"/>
        </w:rPr>
        <w:t xml:space="preserve">International Journal of Applied Research in Social Sciences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6</w:t>
      </w:r>
      <w:r>
        <w:rPr>
          <w:rFonts w:ascii="Times New Roman" w:hAnsi="Times New Roman"/>
          <w:sz w:val="24"/>
        </w:rPr>
        <w:t xml:space="preserve">(5), 954–977. https://doi.org/10.51594/ijarss.v6i5.1147</w:t>
      </w:r>
    </w:p>
    <w:p>
      <w:pPr>
        <w:pStyle w:val="BodyText"/>
        <w:spacing w:line="480" w:lineRule="exact" w:after="0"/>
      </w:pPr>
      <w:r>
        <w:rPr>
          <w:rFonts w:ascii="Times New Roman" w:hAnsi="Times New Roman"/>
          <w:sz w:val="24"/>
        </w:rPr>
        <w:t xml:space="preserve">CapitaLand Investment. (2023).</w:t>
      </w:r>
      <w:r>
        <w:rPr>
          <w:rFonts w:ascii="Times New Roman" w:hAnsi="Times New Roman"/>
          <w:sz w:val="24"/>
        </w:rPr>
        <w:t xml:space="preserve"> </w:t>
      </w:r>
      <w:r>
        <w:rPr>
          <w:rFonts w:ascii="Times New Roman" w:hAnsi="Times New Roman"/>
          <w:i/>
          <w:iCs/>
          <w:sz w:val="24"/>
        </w:rPr>
        <w:t xml:space="preserve">Sustainability report 2023</w:t>
      </w:r>
      <w:r>
        <w:rPr>
          <w:rFonts w:ascii="Times New Roman" w:hAnsi="Times New Roman"/>
          <w:sz w:val="24"/>
        </w:rPr>
        <w:t xml:space="preserve">. https://www.capitalandinvest.com/sustainability</w:t>
      </w:r>
    </w:p>
    <w:p>
      <w:pPr>
        <w:pStyle w:val="BodyText"/>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Hutajulu, H., Tahir, U., Utami, E. Y., Harsono, I., &amp; Yuniarti, T. (2024). Green growth strategy and environmental policy integration in sustainable economic development.</w:t>
      </w:r>
      <w:r>
        <w:rPr>
          <w:rFonts w:ascii="Times New Roman" w:hAnsi="Times New Roman"/>
          <w:sz w:val="24"/>
        </w:rPr>
        <w:t xml:space="preserve"> </w:t>
      </w:r>
      <w:r>
        <w:rPr>
          <w:rFonts w:ascii="Times New Roman" w:hAnsi="Times New Roman"/>
          <w:i/>
          <w:iCs/>
          <w:sz w:val="24"/>
        </w:rPr>
        <w:t xml:space="preserve">West Science Social and Humanities Studies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w:t>
      </w:r>
      <w:r>
        <w:rPr>
          <w:rFonts w:ascii="Times New Roman" w:hAnsi="Times New Roman"/>
          <w:sz w:val="24"/>
        </w:rPr>
        <w:t xml:space="preserve">(03), 474–482. https://doi.org/10.58812/wsshs.v2i03.761</w:t>
      </w:r>
    </w:p>
    <w:p>
      <w:pPr>
        <w:pStyle w:val="BodyText"/>
        <w:spacing w:line="480" w:lineRule="exact" w:after="0"/>
      </w:pPr>
      <w:r>
        <w:rPr>
          <w:rFonts w:ascii="Times New Roman" w:hAnsi="Times New Roman"/>
          <w:sz w:val="24"/>
        </w:rPr>
        <w:t xml:space="preserve">Ministry of Sustainability and the Environment. (2024).</w:t>
      </w:r>
      <w:r>
        <w:rPr>
          <w:rFonts w:ascii="Times New Roman" w:hAnsi="Times New Roman"/>
          <w:sz w:val="24"/>
        </w:rPr>
        <w:t xml:space="preserve"> </w:t>
      </w:r>
      <w:r>
        <w:rPr>
          <w:rFonts w:ascii="Times New Roman" w:hAnsi="Times New Roman"/>
          <w:i/>
          <w:iCs/>
          <w:sz w:val="24"/>
        </w:rPr>
        <w:t xml:space="preserve">Singapore Green Plan 2030</w:t>
      </w:r>
      <w:r>
        <w:rPr>
          <w:rFonts w:ascii="Times New Roman" w:hAnsi="Times New Roman"/>
          <w:sz w:val="24"/>
        </w:rPr>
        <w:t xml:space="preserve"> </w:t>
      </w:r>
      <w:r>
        <w:rPr>
          <w:rFonts w:ascii="Times New Roman" w:hAnsi="Times New Roman"/>
          <w:sz w:val="24"/>
        </w:rPr>
        <w:t xml:space="preserve">(2024 update). https://www.greenplan.gov.sg</w:t>
      </w:r>
    </w:p>
    <w:bookmarkEnd w:id="14"/>
    <w:bookmarkEnd w:id="1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2026-05-02T04:24:40Z</dcterms:created>
  <dcterms:modified xsi:type="dcterms:W3CDTF">2026-05-02T04:24:40Z</dcterms:modified>
</cp:coreProperties>
</file>

<file path=docProps/custom.xml><?xml version="1.0" encoding="utf-8"?>
<Properties xmlns="http://schemas.openxmlformats.org/officeDocument/2006/custom-properties" xmlns:vt="http://schemas.openxmlformats.org/officeDocument/2006/docPropsVTypes"/>
</file>