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 It is</w:t>
      </w:r>
      <w:r>
        <w:rPr>
          <w:rFonts w:ascii="Times New Roman" w:hAnsi="Times New Roman"/>
          <w:sz w:val="24"/>
        </w:rPr>
        <w:t xml:space="preserve"> </w:t>
      </w:r>
      <w:r>
        <w:rPr>
          <w:rFonts w:ascii="Times New Roman" w:hAnsi="Times New Roman"/>
          <w:b/>
          <w:bCs/>
          <w:sz w:val="24"/>
        </w:rPr>
        <w:t xml:space="preserve">Specific</w:t>
      </w:r>
      <w:r>
        <w:rPr>
          <w:rFonts w:ascii="Times New Roman" w:hAnsi="Times New Roman"/>
          <w:sz w:val="24"/>
        </w:rPr>
        <w:t xml:space="preserve"> </w:t>
      </w:r>
      <w:r>
        <w:rPr>
          <w:rFonts w:ascii="Times New Roman" w:hAnsi="Times New Roman"/>
          <w:sz w:val="24"/>
        </w:rPr>
        <w:t xml:space="preserve">by defining exact measures and outcomes;</w:t>
      </w:r>
      <w:r>
        <w:rPr>
          <w:rFonts w:ascii="Times New Roman" w:hAnsi="Times New Roman"/>
          <w:sz w:val="24"/>
        </w:rPr>
        <w:t xml:space="preserve"> </w:t>
      </w:r>
      <w:r>
        <w:rPr>
          <w:rFonts w:ascii="Times New Roman" w:hAnsi="Times New Roman"/>
          <w:b/>
          <w:bCs/>
          <w:sz w:val="24"/>
        </w:rPr>
        <w:t xml:space="preserve">Measurable</w:t>
      </w:r>
      <w:r>
        <w:rPr>
          <w:rFonts w:ascii="Times New Roman" w:hAnsi="Times New Roman"/>
          <w:sz w:val="24"/>
        </w:rPr>
        <w:t xml:space="preserve"> </w:t>
      </w:r>
      <w:r>
        <w:rPr>
          <w:rFonts w:ascii="Times New Roman" w:hAnsi="Times New Roman"/>
          <w:sz w:val="24"/>
        </w:rPr>
        <w:t xml:space="preserve">through quantifiable metrics (10% budget, 50% reduction, 24 months);</w:t>
      </w:r>
      <w:r>
        <w:rPr>
          <w:rFonts w:ascii="Times New Roman" w:hAnsi="Times New Roman"/>
          <w:sz w:val="24"/>
        </w:rPr>
        <w:t xml:space="preserve"> </w:t>
      </w:r>
      <w:r>
        <w:rPr>
          <w:rFonts w:ascii="Times New Roman" w:hAnsi="Times New Roman"/>
          <w:b/>
          <w:bCs/>
          <w:sz w:val="24"/>
        </w:rPr>
        <w:t xml:space="preserve">Achievable</w:t>
      </w:r>
      <w:r>
        <w:rPr>
          <w:rFonts w:ascii="Times New Roman" w:hAnsi="Times New Roman"/>
          <w:sz w:val="24"/>
        </w:rPr>
        <w:t xml:space="preserve"> </w:t>
      </w:r>
      <w:r>
        <w:rPr>
          <w:rFonts w:ascii="Times New Roman" w:hAnsi="Times New Roman"/>
          <w:sz w:val="24"/>
        </w:rPr>
        <w:t xml:space="preserve">as industry standards recommend 6-15% IT budget allocation for security (Cybersecurity &amp; Infrastructure Security Agency, 2023);</w:t>
      </w:r>
      <w:r>
        <w:rPr>
          <w:rFonts w:ascii="Times New Roman" w:hAnsi="Times New Roman"/>
          <w:sz w:val="24"/>
        </w:rPr>
        <w:t xml:space="preserve"> </w:t>
      </w:r>
      <w:r>
        <w:rPr>
          <w:rFonts w:ascii="Times New Roman" w:hAnsi="Times New Roman"/>
          <w:b/>
          <w:bCs/>
          <w:sz w:val="24"/>
        </w:rPr>
        <w:t xml:space="preserve">Relevant</w:t>
      </w:r>
      <w:r>
        <w:rPr>
          <w:rFonts w:ascii="Times New Roman" w:hAnsi="Times New Roman"/>
          <w:sz w:val="24"/>
        </w:rPr>
        <w:t xml:space="preserve"> </w:t>
      </w:r>
      <w:r>
        <w:rPr>
          <w:rFonts w:ascii="Times New Roman" w:hAnsi="Times New Roman"/>
          <w:sz w:val="24"/>
        </w:rPr>
        <w:t xml:space="preserve">since 60% of small businesses close within six months of cyberattacks (National Cyber Security Alliance, 2023); and</w:t>
      </w:r>
      <w:r>
        <w:rPr>
          <w:rFonts w:ascii="Times New Roman" w:hAnsi="Times New Roman"/>
          <w:sz w:val="24"/>
        </w:rPr>
        <w:t xml:space="preserve"> </w:t>
      </w:r>
      <w:r>
        <w:rPr>
          <w:rFonts w:ascii="Times New Roman" w:hAnsi="Times New Roman"/>
          <w:b/>
          <w:bCs/>
          <w:sz w:val="24"/>
        </w:rPr>
        <w:t xml:space="preserve">Time-bound</w:t>
      </w:r>
      <w:r>
        <w:rPr>
          <w:rFonts w:ascii="Times New Roman" w:hAnsi="Times New Roman"/>
          <w:sz w:val="24"/>
        </w:rPr>
        <w:t xml:space="preserve"> </w:t>
      </w:r>
      <w:r>
        <w:rPr>
          <w:rFonts w:ascii="Times New Roman" w:hAnsi="Times New Roman"/>
          <w:sz w:val="24"/>
        </w:rPr>
        <w:t xml:space="preserve">with a clear 24-month evaluation period. This hypothesis can be tested through quantitative comparison of breach incidents between businesses with comprehensive versus minimal cybersecurity investments.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making it highly reliable for foundational cybersecurity best practices.</w:t>
      </w:r>
    </w:p>
    <w:bookmarkEnd w:id="21"/>
    <w:bookmarkStart w:id="22" w:name="Xa1a2223fc2ebfb711568b8a744540dd28d903f9"/>
    <w:p>
      <w:pPr>
        <w:pStyle w:val="Heading3"/>
        <w:spacing w:line="480" w:lineRule="auto"/>
      </w:pPr>
      <w:r>
        <w:rPr>
          <w:rFonts w:ascii="Times New Roman" w:hAnsi="Times New Roman"/>
          <w:sz w:val="24"/>
        </w:rPr>
        <w:t xml:space="preserve">Source 2: Journal of Cybersecurity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This peer-reviewed academic journal published by Oxford University Press ensures multiple independent experts evaluate research methodology before publication (George, 2024). The authors are established researchers from the University of St. Gallen’s Institute of Insurance Economics, providing academic authority. The empirical approach analyzing quantitative insurance industry data offers methodologically rigorous evidence, while the 2022 publication date and DOI ensure currency and permanent verifiability.</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despite Verizon’s commercial status.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w:t>
      </w:r>
    </w:p>
    <w:bookmarkEnd w:id="24"/>
    <w:bookmarkStart w:id="25" w:name="source-5-harvard-business-review"/>
    <w:p>
      <w:pPr>
        <w:pStyle w:val="Heading3"/>
        <w:spacing w:line="480" w:lineRule="auto"/>
      </w:pPr>
      <w:r>
        <w:rPr>
          <w:rFonts w:ascii="Times New Roman" w:hAnsi="Times New Roman"/>
          <w:sz w:val="24"/>
        </w:rPr>
        <w:t xml:space="preserve">Source 5: Harvard Business Review</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is a premier business publication affiliated with Harvard Business School. Articles undergo editorial review by business experts and are written by credentialed authors—Martin Zwilling (startup advisor) and Luis Anaya (cybersecurity consultant). While not peer-reviewed academically, HBR maintains rigorous editorial standards with evidence-based analysis supported by research citations (Ryan, 2023). This article addresses economic vulnerabilities of small businesses, providing business-focused analysis complementing technical sources.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peer-reviewed academic research, industry data analysis (Verizon DBIR), and business management expertise (HBR)—providing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Retrieved January 31, 2026, from https://corporatefinanceinstitute.com/resources/management/smart-goal/</w:t>
      </w:r>
    </w:p>
    <w:p>
      <w:pPr>
        <w:pStyle w:val="BodyText"/>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(2022). Capital requirements for cyber risk: A theoretical framework and empirical evidence from the insurance industry.</w:t>
      </w:r>
      <w:r>
        <w:rPr>
          <w:rFonts w:ascii="Times New Roman" w:hAnsi="Times New Roman"/>
          <w:sz w:val="24"/>
        </w:rPr>
        <w:t xml:space="preserve"> </w:t>
      </w:r>
      <w:r>
        <w:rPr>
          <w:rFonts w:ascii="Times New Roman" w:hAnsi="Times New Roman"/>
          <w:i/>
          <w:iCs/>
          <w:sz w:val="24"/>
        </w:rPr>
        <w:t xml:space="preserve">Journal of Cybersecurity, 8</w:t>
      </w:r>
      <w:r>
        <w:rPr>
          <w:rFonts w:ascii="Times New Roman" w:hAnsi="Times New Roman"/>
          <w:sz w:val="24"/>
        </w:rPr>
        <w:t xml:space="preserve">(1), 1-18. https://doi.org/10.1093/cybsec/tyac005</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Retrieved January 31, 2026, from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Ryan, E. (2023, May 31). How to find sources | Scholarly articles, books, etc.</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https://www.scribbr.com/working-with-sources/finding-sources/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sz w:val="24"/>
        </w:rPr>
        <w:t xml:space="preserve">Zwilling, M., &amp; Anaya, L. (2023, August 15). Why small businesses are prime targets for cyberattacks.</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Retrieved January 31, 2026, from https://hbr.org/2023/08/why-small-businesses-are-prime-targets-for-cyberattacks</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649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2026-02-09T06:19:28Z</dcterms:created>
  <dcterms:modified xsi:type="dcterms:W3CDTF">2026-02-09T06:19:28Z</dcterms:modified>
</cp:coreProperties>
</file>

<file path=docProps/custom.xml><?xml version="1.0" encoding="utf-8"?>
<Properties xmlns="http://schemas.openxmlformats.org/officeDocument/2006/custom-properties" xmlns:vt="http://schemas.openxmlformats.org/officeDocument/2006/docPropsVTypes"/>
</file>