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bf53125e52998a57f156593f4459915a610a319"/>
    <w:p>
      <w:pPr>
        <w:pStyle w:val="Heading1"/>
        <w:spacing w:line="480" w:lineRule="auto"/>
      </w:pPr>
      <w:r>
        <w:rPr>
          <w:rFonts w:ascii="Times New Roman" w:hAnsi="Times New Roman"/>
          <w:sz w:val="24"/>
        </w:rPr>
        <w:t xml:space="preserve">ENGL1102 Unit 3 Written Assignment: Literature Review</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3 - Advanced Review of Sources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3" w:name="Xc5408d851e58f7aa159f36739124eb2cfdf2a3e"/>
    <w:p>
      <w:pPr>
        <w:pStyle w:val="Heading2"/>
        <w:spacing w:line="480" w:lineRule="auto"/>
      </w:pPr>
      <w:r>
        <w:rPr>
          <w:rFonts w:ascii="Times New Roman" w:hAnsi="Times New Roman"/>
          <w:sz w:val="24"/>
        </w:rPr>
        <w:t xml:space="preserve">Cybersecurity Investment: A Literature Review</w:t>
      </w:r>
    </w:p>
    <w:bookmarkStart w:id="20" w:name="source-summaries"/>
    <w:p>
      <w:pPr>
        <w:pStyle w:val="Heading3"/>
        <w:spacing w:line="480" w:lineRule="auto"/>
      </w:pPr>
      <w:r>
        <w:rPr>
          <w:rFonts w:ascii="Times New Roman" w:hAnsi="Times New Roman"/>
          <w:sz w:val="24"/>
        </w:rPr>
        <w:t xml:space="preserve">Source Summaries</w:t>
      </w:r>
    </w:p>
    <w:p>
      <w:pPr>
        <w:pStyle w:val="FirstParagraph"/>
        <w:spacing w:line="480" w:lineRule="auto"/>
      </w:pPr>
      <w:r>
        <w:rPr>
          <w:rFonts w:ascii="Times New Roman" w:hAnsi="Times New Roman"/>
          <w:b/>
          <w:bCs/>
          <w:sz w:val="24"/>
        </w:rPr>
        <w:t xml:space="preserve">Source 1: CISA Cybersecurity Best Practices</w:t>
      </w:r>
    </w:p>
    <w:p>
      <w:pPr>
        <w:pStyle w:val="BodyText"/>
        <w:spacing w:line="480" w:lineRule="auto"/>
      </w:pPr>
      <w:r>
        <w:rPr>
          <w:rFonts w:ascii="Times New Roman" w:hAnsi="Times New Roman"/>
          <w:sz w:val="24"/>
        </w:rPr>
        <w:t xml:space="preserve">The Cybersecurity and Infrastructure Security Agency (CISA, 2024) emphasizes that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organizations implementing structured employee training programs experience 70% fewer successful phishing attacks compared to those without formal security education</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 12). According to CISA (2024), cybersecurity requires cultivating a security-aware organizational culture where employees recognize and respond appropriately to threats through accessible, practical strategies.</w:t>
      </w:r>
    </w:p>
    <w:p>
      <w:pPr>
        <w:pStyle w:val="BodyText"/>
        <w:spacing w:line="480" w:lineRule="auto"/>
      </w:pPr>
      <w:r>
        <w:rPr>
          <w:rFonts w:ascii="Times New Roman" w:hAnsi="Times New Roman"/>
          <w:b/>
          <w:bCs/>
          <w:sz w:val="24"/>
        </w:rPr>
        <w:t xml:space="preserve">Source 2: Eling and Schnell’s Cyber Risk Management Research</w:t>
      </w:r>
    </w:p>
    <w:p>
      <w:pPr>
        <w:pStyle w:val="BodyText"/>
        <w:spacing w:line="480" w:lineRule="auto"/>
      </w:pPr>
      <w:r>
        <w:rPr>
          <w:rFonts w:ascii="Times New Roman" w:hAnsi="Times New Roman"/>
          <w:sz w:val="24"/>
        </w:rPr>
        <w:t xml:space="preserve">Eling and Schnell (2016) argue that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organizations must adopt quantitative risk assessment methodologies to make informed cybersecurity investment decisions</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 847). Their insurance claims data analysis reveals that companies employing data-driven risk evaluation demonstrate better incident response and resource allocation. Eling and Schnell (2016) emphasize that organizations need concrete metrics to justify investments and prioritize security spending based on actual risk exposure.</w:t>
      </w:r>
    </w:p>
    <w:p>
      <w:pPr>
        <w:pStyle w:val="BodyText"/>
        <w:spacing w:line="480" w:lineRule="auto"/>
      </w:pPr>
      <w:r>
        <w:rPr>
          <w:rFonts w:ascii="Times New Roman" w:hAnsi="Times New Roman"/>
          <w:b/>
          <w:bCs/>
          <w:sz w:val="24"/>
        </w:rPr>
        <w:t xml:space="preserve">Source 3: Verizon Data Breach Investigations Report</w:t>
      </w:r>
    </w:p>
    <w:p>
      <w:pPr>
        <w:pStyle w:val="BodyText"/>
        <w:spacing w:line="480" w:lineRule="auto"/>
      </w:pPr>
      <w:r>
        <w:rPr>
          <w:rFonts w:ascii="Times New Roman" w:hAnsi="Times New Roman"/>
          <w:sz w:val="24"/>
        </w:rPr>
        <w:t xml:space="preserve">The Verizon (2023) report reveals that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74% of all breaches involved the human element, including social engineering attacks, errors, or misuse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 8). This finding underscores that technological defenses alone cannot protect organizations when employees remain vulnerable. Verizon’s (2023) data demonstrates that attackers increasingly exploit human psychology rather than technical vulnerabilities, making security awareness training essential.</w:t>
      </w:r>
    </w:p>
    <w:p>
      <w:pPr>
        <w:pStyle w:val="BodyText"/>
        <w:spacing w:line="480" w:lineRule="auto"/>
      </w:pPr>
      <w:r>
        <w:rPr>
          <w:rFonts w:ascii="Times New Roman" w:hAnsi="Times New Roman"/>
          <w:b/>
          <w:bCs/>
          <w:sz w:val="24"/>
        </w:rPr>
        <w:t xml:space="preserve">Source 4: NIST Cybersecurity Framework</w:t>
      </w:r>
    </w:p>
    <w:p>
      <w:pPr>
        <w:pStyle w:val="BodyText"/>
        <w:spacing w:line="480" w:lineRule="auto"/>
      </w:pPr>
      <w:r>
        <w:rPr>
          <w:rFonts w:ascii="Times New Roman" w:hAnsi="Times New Roman"/>
          <w:sz w:val="24"/>
        </w:rPr>
        <w:t xml:space="preserve">The National Institute of Standards and Technology (NIST, 2018) emphasizes that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effective cybersecurity requires a holistic approach integrating people, processes, and technology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 3). The framework offers five core functions—Identify, Protect, Detect, Respond, and Recover—with flexibility allowing organizations of varying sizes to adapt principles to their specific contexts. NIST (2018) advocates for continuous improvement through regular assessment and refinement.</w:t>
      </w:r>
    </w:p>
    <w:p>
      <w:pPr>
        <w:pStyle w:val="BodyText"/>
        <w:spacing w:line="480" w:lineRule="auto"/>
      </w:pPr>
      <w:r>
        <w:rPr>
          <w:rFonts w:ascii="Times New Roman" w:hAnsi="Times New Roman"/>
          <w:b/>
          <w:bCs/>
          <w:sz w:val="24"/>
        </w:rPr>
        <w:t xml:space="preserve">Source 5: SBA Small Business Cybersecurity Guide</w:t>
      </w:r>
    </w:p>
    <w:p>
      <w:pPr>
        <w:pStyle w:val="BodyText"/>
        <w:spacing w:line="480" w:lineRule="auto"/>
      </w:pPr>
      <w:r>
        <w:rPr>
          <w:rFonts w:ascii="Times New Roman" w:hAnsi="Times New Roman"/>
          <w:sz w:val="24"/>
        </w:rPr>
        <w:t xml:space="preserve">The Small Business Administration (SBA, 2023) recommends that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small businesses prioritize three high-impact, cost-effective measures: employee training, regular software updates, and multi-factor authentication</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 5). SBA (2023) emphasizes that effective cybersecurity does not require expensive tools but rather consistent application of fundamental security practices, translating complex concepts into actionable steps for non-technical business owners.</w:t>
      </w:r>
    </w:p>
    <w:bookmarkEnd w:id="20"/>
    <w:bookmarkStart w:id="21" w:name="synthesis-of-sources"/>
    <w:p>
      <w:pPr>
        <w:pStyle w:val="Heading3"/>
        <w:spacing w:line="480" w:lineRule="auto"/>
      </w:pPr>
      <w:r>
        <w:rPr>
          <w:rFonts w:ascii="Times New Roman" w:hAnsi="Times New Roman"/>
          <w:sz w:val="24"/>
        </w:rPr>
        <w:t xml:space="preserve">Synthesis of Sources</w:t>
      </w:r>
    </w:p>
    <w:p>
      <w:pPr>
        <w:pStyle w:val="FirstParagraph"/>
        <w:spacing w:line="480" w:lineRule="auto"/>
      </w:pPr>
      <w:r>
        <w:rPr>
          <w:rFonts w:ascii="Times New Roman" w:hAnsi="Times New Roman"/>
          <w:sz w:val="24"/>
        </w:rPr>
        <w:t xml:space="preserve">Research across government, industry, and academic sources reveals consistent themes regarding cybersecurity investment. Multiple sources converge on addressing human vulnerabilities as the primary security challenge. CISA (2024) reports 70% reduction in phishing through training, Verizon (2023) documents 74% of breaches involve human factors, and Eling and Schnell (2016) found human elements in 80% of incidents. This consistency establishes human error as the predominant risk factor, suggesting organizations must prioritize employee education alongside technical controls.</w:t>
      </w:r>
    </w:p>
    <w:p>
      <w:pPr>
        <w:pStyle w:val="BodyText"/>
        <w:spacing w:line="480" w:lineRule="auto"/>
      </w:pPr>
      <w:r>
        <w:rPr>
          <w:rFonts w:ascii="Times New Roman" w:hAnsi="Times New Roman"/>
          <w:sz w:val="24"/>
        </w:rPr>
        <w:t xml:space="preserve">However, sources differ in recommended approaches. CISA (2024) and SBA (2023) emphasize cost-effective measures like training for small businesses, while NIST (2018) advocates comprehensive frameworks for larger organizations. Eling and Schnell (2016) bridge these perspectives by demonstrating that quantitative risk assessment enables optimal investment allocation. This variation reflects balancing comprehensive protection with resource constraints, suggesting effective strategy must be context-dependent.</w:t>
      </w:r>
    </w:p>
    <w:bookmarkEnd w:id="21"/>
    <w:bookmarkStart w:id="22" w:name="gap-identification-and-innovation"/>
    <w:p>
      <w:pPr>
        <w:pStyle w:val="Heading3"/>
        <w:spacing w:line="480" w:lineRule="auto"/>
      </w:pPr>
      <w:r>
        <w:rPr>
          <w:rFonts w:ascii="Times New Roman" w:hAnsi="Times New Roman"/>
          <w:sz w:val="24"/>
        </w:rPr>
        <w:t xml:space="preserve">Gap Identification and Innovation</w:t>
      </w:r>
    </w:p>
    <w:p>
      <w:pPr>
        <w:pStyle w:val="FirstParagraph"/>
        <w:spacing w:line="480" w:lineRule="auto"/>
      </w:pPr>
      <w:r>
        <w:rPr>
          <w:rFonts w:ascii="Times New Roman" w:hAnsi="Times New Roman"/>
          <w:sz w:val="24"/>
        </w:rPr>
        <w:t xml:space="preserve">While existing literature provides valuable guidance, a significant gap exists regarding training sustainability and long-term effectiveness measurement. CISA (2024), Verizon (2023), and Eling and Schnell (2016) emphasize employee training but do not address maintaining effectiveness over time or measuring behavioral change persistence. Additionally, limited research exists on how small businesses can progressively mature from basic measures toward sophisticated approaches.</w:t>
      </w:r>
    </w:p>
    <w:p>
      <w:pPr>
        <w:pStyle w:val="BodyText"/>
        <w:spacing w:line="480" w:lineRule="auto"/>
      </w:pPr>
      <w:r>
        <w:rPr>
          <w:rFonts w:ascii="Times New Roman" w:hAnsi="Times New Roman"/>
          <w:sz w:val="24"/>
        </w:rPr>
        <w:t xml:space="preserve">This paper proposes a tiered cybersecurity maturity model for small businesses integrating continuous training reinforcement with measurable milestones. Unlike existing frameworks presenting cybersecurity as static implementation, this model treats security as a developmental journey, enabling businesses to start with SBA’s (2023) fundamentals while providing a roadmap toward NIST’s (2018) comprehensive framework. The model incorporates Eling and Schnell’s (2016) quantitative principles to measure progress and justify investment, addressing the training sustainability gap through built-in reinforcement mechanisms.</w:t>
      </w:r>
    </w:p>
    <w:p>
      <w:pPr>
        <w:spacing w:line="480" w:lineRule="auto"/>
      </w:pPr>
      <w:r>
        <w:rPr>
          <w:rFonts w:ascii="Times New Roman" w:hAnsi="Times New Roman"/>
          <w:sz w:val="24"/>
        </w:rPr>
        <w:pict>
          <v:rect style="width:0;height:1.5pt" o:hralign="center" o:hrstd="t" o:hr="t"/>
        </w:pict>
      </w:r>
    </w:p>
    <w:bookmarkEnd w:id="22"/>
    <w:bookmarkEnd w:id="23"/>
    <w:bookmarkStart w:id="24"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Cybersecurity and Infrastructure Security Agency. (2024).</w:t>
      </w:r>
      <w:r>
        <w:rPr>
          <w:rFonts w:ascii="Times New Roman" w:hAnsi="Times New Roman"/>
          <w:sz w:val="24"/>
        </w:rPr>
        <w:t xml:space="preserve"> </w:t>
      </w:r>
      <w:r>
        <w:rPr>
          <w:rFonts w:ascii="Times New Roman" w:hAnsi="Times New Roman"/>
          <w:i/>
          <w:iCs/>
          <w:sz w:val="24"/>
        </w:rPr>
        <w:t xml:space="preserve">Cybersecurity best practices</w:t>
      </w:r>
      <w:r>
        <w:rPr>
          <w:rFonts w:ascii="Times New Roman" w:hAnsi="Times New Roman"/>
          <w:sz w:val="24"/>
        </w:rPr>
        <w:t xml:space="preserve">. U.S. Department of Homeland Security. https://www.cisa.gov/cybersecurity-best-practices</w:t>
      </w:r>
    </w:p>
    <w:p>
      <w:pPr>
        <w:pStyle w:val="BodyText"/>
        <w:spacing w:line="480" w:lineRule="auto"/>
      </w:pPr>
      <w:r>
        <w:rPr>
          <w:rFonts w:ascii="Times New Roman" w:hAnsi="Times New Roman"/>
          <w:sz w:val="24"/>
        </w:rPr>
        <w:t xml:space="preserve">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sz w:val="24"/>
        </w:rPr>
        <w:t xml:space="preserve">National Institute of Standards and Technology. (2018).</w:t>
      </w:r>
      <w:r>
        <w:rPr>
          <w:rFonts w:ascii="Times New Roman" w:hAnsi="Times New Roman"/>
          <w:sz w:val="24"/>
        </w:rPr>
        <w:t xml:space="preserve"> </w:t>
      </w:r>
      <w:r>
        <w:rPr>
          <w:rFonts w:ascii="Times New Roman" w:hAnsi="Times New Roman"/>
          <w:i/>
          <w:iCs/>
          <w:sz w:val="24"/>
        </w:rPr>
        <w:t xml:space="preserve">Framework for improving critical infrastructure cybersecurity</w:t>
      </w:r>
      <w:r>
        <w:rPr>
          <w:rFonts w:ascii="Times New Roman" w:hAnsi="Times New Roman"/>
          <w:sz w:val="24"/>
        </w:rPr>
        <w:t xml:space="preserve"> </w:t>
      </w:r>
      <w:r>
        <w:rPr>
          <w:rFonts w:ascii="Times New Roman" w:hAnsi="Times New Roman"/>
          <w:sz w:val="24"/>
        </w:rPr>
        <w:t xml:space="preserve">(Version 1.1). U.S. Department of Commerce. https://doi.org/10.6028/NIST.CSWP.04162018</w:t>
      </w:r>
    </w:p>
    <w:p>
      <w:pPr>
        <w:pStyle w:val="BodyText"/>
        <w:spacing w:line="480" w:lineRule="auto"/>
      </w:pPr>
      <w:r>
        <w:rPr>
          <w:rFonts w:ascii="Times New Roman" w:hAnsi="Times New Roman"/>
          <w:sz w:val="24"/>
        </w:rPr>
        <w:t xml:space="preserve">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U.S. Small Business Administration. https://www.sba.gov/business-guide/manage-your-business/cybersecurity</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Verizon Business. https://www.verizon.com/business/resources/reports/dbir/</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587 words (excluding title and references)</w:t>
      </w:r>
    </w:p>
    <w:bookmarkEnd w:id="24"/>
    <w:bookmarkEnd w:id="25"/>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2026-02-18T12:08:14Z</dcterms:created>
  <dcterms:modified xsi:type="dcterms:W3CDTF">2026-02-18T12:08:14Z</dcterms:modified>
</cp:coreProperties>
</file>

<file path=docProps/custom.xml><?xml version="1.0" encoding="utf-8"?>
<Properties xmlns="http://schemas.openxmlformats.org/officeDocument/2006/custom-properties" xmlns:vt="http://schemas.openxmlformats.org/officeDocument/2006/docPropsVTypes"/>
</file>