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480" w:lineRule="auto"/>
      </w:pPr>
      <w:r>
        <w:rPr>
          <w:rFonts w:ascii="Times New Roman" w:hAnsi="Times New Roman"/>
        </w:rPr>
        <w:t>ECON1580 — Unit 6 Assignment</w:t>
      </w:r>
    </w:p>
    <w:p>
      <w:pPr>
        <w:pStyle w:val="Heading2"/>
        <w:spacing w:line="480" w:lineRule="auto"/>
      </w:pPr>
      <w:r>
        <w:rPr>
          <w:rFonts w:ascii="Times New Roman" w:hAnsi="Times New Roman"/>
        </w:rPr>
        <w:t>COVID-19 Economic Policy Response: Coordinated Fiscal and Monetary Measures in Kenya</w:t>
      </w:r>
    </w:p>
    <w:p>
      <w:pPr>
        <w:spacing w:line="480" w:lineRule="auto" w:after="120"/>
      </w:pPr>
      <w:r>
        <w:rPr>
          <w:rFonts w:ascii="Times New Roman" w:hAnsi="Times New Roman"/>
          <w:sz w:val="24"/>
        </w:rPr>
        <w:t>Student: Nicanor Kyamba</w:t>
      </w:r>
    </w:p>
    <w:p>
      <w:pPr>
        <w:spacing w:line="480" w:lineRule="auto" w:after="120"/>
      </w:pPr>
      <w:r>
        <w:rPr>
          <w:rFonts w:ascii="Times New Roman" w:hAnsi="Times New Roman"/>
          <w:sz w:val="24"/>
        </w:rPr>
        <w:t>Course: ECON1580 — Applied Economics</w:t>
      </w:r>
    </w:p>
    <w:p>
      <w:pPr>
        <w:spacing w:line="480" w:lineRule="auto" w:after="120"/>
      </w:pPr>
      <w:r>
        <w:rPr>
          <w:rFonts w:ascii="Times New Roman" w:hAnsi="Times New Roman"/>
          <w:sz w:val="24"/>
        </w:rPr>
        <w:t>Unit: 6 — Fiscal and Monetary Policies</w:t>
      </w:r>
    </w:p>
    <w:p>
      <w:pPr>
        <w:spacing w:line="480" w:lineRule="auto" w:after="120"/>
      </w:pPr>
      <w:r>
        <w:rPr>
          <w:rFonts w:ascii="Times New Roman" w:hAnsi="Times New Roman"/>
          <w:sz w:val="24"/>
        </w:rPr>
        <w:t>The COVID-19 pandemic disrupted Kenya's economy severely, with GDP contracting by 0.3% in 2020 after years of sustained growth averaging 5-6% annually (International Monetary Fund [IMF], 2021). The government and the Central Bank of Kenya (CBK) responded with coordinated fiscal and monetary interventions designed to cushion households and businesses from the economic shock, maintain financial system stability, and position the economy for recovery. This essay describes the fiscal policy measures implemented, explains the monetary policy actions taken by the CBK, and discusses how the combination of these policies affected inflation and overall economic stability.</w:t>
      </w:r>
    </w:p>
    <w:p>
      <w:pPr>
        <w:spacing w:line="480" w:lineRule="auto" w:after="120"/>
      </w:pPr>
      <w:r>
        <w:rPr>
          <w:rFonts w:ascii="Times New Roman" w:hAnsi="Times New Roman"/>
          <w:sz w:val="24"/>
        </w:rPr>
        <w:t>Fiscal Policy Measures During COVID-19</w:t>
      </w:r>
    </w:p>
    <w:p>
      <w:pPr>
        <w:spacing w:line="480" w:lineRule="auto" w:after="120"/>
      </w:pPr>
      <w:r>
        <w:rPr>
          <w:rFonts w:ascii="Times New Roman" w:hAnsi="Times New Roman"/>
          <w:sz w:val="24"/>
        </w:rPr>
        <w:t>Kenya's fiscal response to the pandemic focused on tax relief, direct transfers to vulnerable populations, and increased public spending on healthcare infrastructure. Greenlaw et al. (2022) explain that expansionary fiscal policy increases aggregate demand through government spending increases or tax cuts, both of which shift the aggregate demand curve to the right (Section 30.4). Kenya's approach combined both mechanisms to provide immediate relief while sustaining economic activity.</w:t>
      </w:r>
    </w:p>
    <w:p>
      <w:pPr>
        <w:spacing w:line="480" w:lineRule="auto" w:after="120"/>
      </w:pPr>
      <w:r>
        <w:rPr>
          <w:rFonts w:ascii="Times New Roman" w:hAnsi="Times New Roman"/>
          <w:sz w:val="24"/>
        </w:rPr>
        <w:t>The most significant tax measure was the reduction of the top personal income tax rate from 30% to 25% and the reduction of the Value Added Tax (VAT) rate from 16% to 14%, effective April 2020. The government also increased the personal income tax relief from KES 16,896 to KES 28,800 per month, effectively exempting workers earning below KES 24,000 monthly from income tax entirely. Corporate tax was similarly reduced from 30% to 25%. These measures aimed to increase disposable income for households and reduce the tax burden on businesses struggling with reduced revenue. Greenlaw et al. (2022) note that tax cuts increase disposable income, which consumers then spend, generating a multiplier effect that amplifies the initial fiscal stimulus (Section 30.4).</w:t>
      </w:r>
    </w:p>
    <w:p>
      <w:pPr>
        <w:spacing w:line="480" w:lineRule="auto" w:after="120"/>
      </w:pPr>
      <w:r>
        <w:rPr>
          <w:rFonts w:ascii="Times New Roman" w:hAnsi="Times New Roman"/>
          <w:sz w:val="24"/>
        </w:rPr>
        <w:t>On the spending side, the government allocated KES 40 billion ($370 million) to an economic stimulus program that included infrastructure projects to create employment, cash transfers to elderly and vulnerable citizens through the Inua Jamii program, and increased funding for healthcare facilities to handle COVID-19 cases. The National Hygiene Program (Kazi Mtaani) employed over 280,000 young people in urban areas for sanitation and public works projects, functioning as both a direct employment program and a mechanism to inject cash into communities hardest hit by lockdown measures (World Bank, 2021). These programs operated as discretionary fiscal policy — deliberate government action to stimulate aggregate demand during the economic downturn (Greenlaw et al., 2022, Section 30.4).</w:t>
      </w:r>
    </w:p>
    <w:p>
      <w:pPr>
        <w:spacing w:line="480" w:lineRule="auto" w:after="120"/>
      </w:pPr>
      <w:r>
        <w:rPr>
          <w:rFonts w:ascii="Times New Roman" w:hAnsi="Times New Roman"/>
          <w:sz w:val="24"/>
        </w:rPr>
        <w:t>Additionally, Kenya's existing automatic stabilizers provided some cushioning. The progressive income tax system automatically reduced government revenue as incomes fell, leaving more money in the hands of consumers. However, Kenya's automatic stabilizers are weaker than those in developed economies because the country lacks comprehensive unemployment insurance — only formal sector workers (approximately 17% of the labor force) have access to the National Social Security Fund. Greenlaw et al. (2022) describe automatic stabilizers as programs that increase spending or reduce taxes during recessions without requiring new legislation (Section 30.5). Kenya's limited social safety net meant that discretionary fiscal action was particularly important.</w:t>
      </w:r>
    </w:p>
    <w:p>
      <w:pPr>
        <w:spacing w:line="480" w:lineRule="auto" w:after="120"/>
      </w:pPr>
      <w:r>
        <w:rPr>
          <w:rFonts w:ascii="Times New Roman" w:hAnsi="Times New Roman"/>
          <w:sz w:val="24"/>
        </w:rPr>
        <w:t>Monetary Policy Actions by the Central Bank of Kenya</w:t>
      </w:r>
    </w:p>
    <w:p>
      <w:pPr>
        <w:spacing w:line="480" w:lineRule="auto" w:after="120"/>
      </w:pPr>
      <w:r>
        <w:rPr>
          <w:rFonts w:ascii="Times New Roman" w:hAnsi="Times New Roman"/>
          <w:sz w:val="24"/>
        </w:rPr>
        <w:t>The Central Bank of Kenya implemented aggressive monetary easing to complement the government's fiscal measures. Greenlaw et al. (2022) explain that expansionary monetary policy works by lowering interest rates, which makes borrowing cheaper, stimulates investment and consumption, and increases aggregate demand (Section 28.4). The CBK deployed multiple tools simultaneously to maximize the impact of its intervention.</w:t>
      </w:r>
    </w:p>
    <w:p>
      <w:pPr>
        <w:spacing w:line="480" w:lineRule="auto" w:after="120"/>
      </w:pPr>
      <w:r>
        <w:rPr>
          <w:rFonts w:ascii="Times New Roman" w:hAnsi="Times New Roman"/>
          <w:sz w:val="24"/>
        </w:rPr>
        <w:t>The CBK's Monetary Policy Committee (MPC) cut the Central Bank Rate (CBR) from 8.25% to 7.0% in April 2020 — the lowest level in over a decade. This reduction signaled to commercial banks that they should lower lending rates to encourage borrowing by businesses and consumers. The CBK also reduced the Cash Reserve Ratio (CRR) from 5.25% to 4.25%, releasing approximately KES 35 billion ($325 million) in additional liquidity to the banking system. Greenlaw et al. (2022) explain that lowering reserve requirements allows banks to lend more from the same deposit base, expanding the money supply (Section 28.3). This additional liquidity was intended to ensure that banks could continue lending to businesses facing cash flow difficulties.</w:t>
      </w:r>
    </w:p>
    <w:p>
      <w:pPr>
        <w:spacing w:line="480" w:lineRule="auto" w:after="120"/>
      </w:pPr>
      <w:r>
        <w:rPr>
          <w:rFonts w:ascii="Times New Roman" w:hAnsi="Times New Roman"/>
          <w:sz w:val="24"/>
        </w:rPr>
        <w:t>Beyond these conventional tools, the CBK implemented emergency measures to maintain financial system stability. It provided flexibility on loan classification and provisioning, allowing banks to restructure loans for borrowers affected by the pandemic without immediately classifying them as non-performing. Over KES 1.38 trillion in loans (approximately 54% of the banking sector's gross loans) were restructured under this framework. The CBK also extended the operating hours of the Real Time Gross Settlement (RTGS) system and encouraged the use of mobile money by waiving transaction fees for transfers below KES 1,000, facilitating cashless transactions during lockdown periods. Chugunov et al. (2021) argue that adaptive monetary strategies that respond to specific economic conditions are essential for sustainable development in emerging economies (p. 42). The CBK's combination of rate cuts, reserve ratio reductions, and regulatory flexibility represented exactly this adaptive approach.</w:t>
      </w:r>
    </w:p>
    <w:p>
      <w:pPr>
        <w:spacing w:line="480" w:lineRule="auto" w:after="120"/>
      </w:pPr>
      <w:r>
        <w:rPr>
          <w:rFonts w:ascii="Times New Roman" w:hAnsi="Times New Roman"/>
          <w:sz w:val="24"/>
        </w:rPr>
        <w:t>Impact on Inflation and Economic Stability</w:t>
      </w:r>
    </w:p>
    <w:p>
      <w:pPr>
        <w:spacing w:line="480" w:lineRule="auto" w:after="120"/>
      </w:pPr>
      <w:r>
        <w:rPr>
          <w:rFonts w:ascii="Times New Roman" w:hAnsi="Times New Roman"/>
          <w:sz w:val="24"/>
        </w:rPr>
        <w:t>The coordinated fiscal and monetary response achieved its primary objective of preventing economic collapse, but it also generated inflationary pressures that required careful management. Kenya's GDP recovered strongly in 2021, growing by 7.5% — the fastest rate in over a decade — driven by the resumption of economic activity and the stimulus effects of policy interventions. Unemployment, which had spiked to an estimated 10.4% during the peak of lockdowns, declined as businesses reopened and government employment programs absorbed workers.</w:t>
      </w:r>
    </w:p>
    <w:p>
      <w:pPr>
        <w:spacing w:line="480" w:lineRule="auto" w:after="120"/>
      </w:pPr>
      <w:r>
        <w:rPr>
          <w:rFonts w:ascii="Times New Roman" w:hAnsi="Times New Roman"/>
          <w:sz w:val="24"/>
        </w:rPr>
        <w:t>However, the expansionary policies contributed to rising inflation. Kenya's inflation rate increased from 5.3% in 2020 to 6.1% in 2021 and further to 7.6% in 2022, exceeding the CBK's target range of 2.5-7.5% (IMF, 2021). Greenlaw et al. (2022) explain that expansionary monetary policy risks causing inflation if the economy approaches full capacity (Section 28.4). In Kenya's case, the combination of increased money supply, supply chain disruptions, rising global commodity prices (particularly fuel and food), and the fiscal stimulus all contributed to price pressures. Dietsch (2021) argues that the lack of coordinated fiscal-monetary exit strategies can worsen inflationary outcomes, as expansionary measures that persist beyond the crisis period generate excess demand (p. 160). The depreciation of the Kenyan shilling against the U.S. dollar — from KES 107 in early 2020 to KES 123 by late 2022 — further increased the cost of imports, adding to inflationary pressure.</w:t>
      </w:r>
    </w:p>
    <w:p>
      <w:pPr>
        <w:spacing w:line="480" w:lineRule="auto" w:after="120"/>
      </w:pPr>
      <w:r>
        <w:rPr>
          <w:rFonts w:ascii="Times New Roman" w:hAnsi="Times New Roman"/>
          <w:sz w:val="24"/>
        </w:rPr>
        <w:t>The fiscal measures also significantly widened the budget deficit. Kenya's fiscal deficit expanded from 7.7% of GDP in 2019/20 to 8.3% in 2020/21, and the national debt rose from 62% to 68% of GDP. Greenlaw et al. (2022) note that government borrowing during recessions is justified by the need to maintain aggregate demand, but it raises concerns about long-term debt sustainability (Section 30.3). Kenya's rising debt-to-GDP ratio limited the government's fiscal space for future interventions and increased interest payments that crowded out productive spending.</w:t>
      </w:r>
    </w:p>
    <w:p>
      <w:pPr>
        <w:spacing w:line="480" w:lineRule="auto" w:after="120"/>
      </w:pPr>
      <w:r>
        <w:rPr>
          <w:rFonts w:ascii="Times New Roman" w:hAnsi="Times New Roman"/>
          <w:sz w:val="24"/>
        </w:rPr>
        <w:t>In response to rising inflation, the CBK began tightening monetary policy in 2022, raising the CBR from 7.0% to 8.75% by mid-2022 and further to 10.5% by 2023. This contractionary shift aimed to anchor inflation expectations and stabilize the currency. Greenlaw et al. (2022) describe this as the fundamental trade-off of monetary policy — the same tools that stimulate growth during recession must be reversed to control inflation during recovery (Section 28.4). Burova et al. (2021) note that in emerging markets, tighter monetary policy combined with inflation targeting is essential for restoring price stability after periods of expansionary intervention (p. 62). The transition from expansionary to contractionary policy demonstrated both the effectiveness and the limitations of coordinated fiscal-monetary intervention: the policies successfully prevented economic collapse but created inflationary consequences that required subsequent corrective action.</w:t>
      </w:r>
    </w:p>
    <w:p>
      <w:pPr>
        <w:spacing w:line="480" w:lineRule="auto" w:after="120"/>
      </w:pPr>
      <w:r>
        <w:rPr>
          <w:rFonts w:ascii="Times New Roman" w:hAnsi="Times New Roman"/>
          <w:sz w:val="24"/>
        </w:rPr>
        <w:t>Word count: 1,098</w:t>
      </w:r>
    </w:p>
    <w:p>
      <w:pPr>
        <w:pStyle w:val="Heading2"/>
        <w:spacing w:line="480" w:lineRule="auto"/>
      </w:pPr>
      <w:r>
        <w:rPr>
          <w:rFonts w:ascii="Times New Roman" w:hAnsi="Times New Roman"/>
        </w:rPr>
        <w:t>References</w:t>
      </w:r>
    </w:p>
    <w:p>
      <w:pPr>
        <w:spacing w:line="480" w:lineRule="auto" w:after="120"/>
      </w:pPr>
      <w:r>
        <w:rPr>
          <w:rFonts w:ascii="Times New Roman" w:hAnsi="Times New Roman"/>
          <w:sz w:val="24"/>
        </w:rPr>
        <w:t>Burova, A., Kozlovtseva, I., Makhankova, N., &amp; Morozov, A. (2021). Dollarization, financial stability risks and monetary policy implementation: Exploring the nexus. Ensayos Económicos, (77), 50–71. https://bcra.ojs.theke.io/ensayos_economicos_bcra/article/view/122</w:t>
      </w:r>
    </w:p>
    <w:p>
      <w:pPr>
        <w:spacing w:line="480" w:lineRule="auto" w:after="120"/>
      </w:pPr>
      <w:r>
        <w:rPr>
          <w:rFonts w:ascii="Times New Roman" w:hAnsi="Times New Roman"/>
          <w:sz w:val="24"/>
        </w:rPr>
        <w:t>Chugunov, I., Pasichnyi, M., Koroviy, V., Kaneva, T., &amp; Nikitishin, A. (2021). Fiscal and monetary policy of economic development. European Journal of Sustainable Development, 10(1), 42. https://doi.org/10.14207/ejsd.2021.v10n1p42</w:t>
      </w:r>
    </w:p>
    <w:p>
      <w:pPr>
        <w:spacing w:line="480" w:lineRule="auto" w:after="120"/>
      </w:pPr>
      <w:r>
        <w:rPr>
          <w:rFonts w:ascii="Times New Roman" w:hAnsi="Times New Roman"/>
          <w:sz w:val="24"/>
        </w:rPr>
        <w:t>Dietsch, P. (2021). Designing the fiscal-monetary nexus: Policy options for the EU. Review of Social Economy, 81(1), 154–171. https://doi.org/10.1080/00346764.2021.1938191</w:t>
      </w:r>
    </w:p>
    <w:p>
      <w:pPr>
        <w:spacing w:line="480" w:lineRule="auto" w:after="120"/>
      </w:pPr>
      <w:r>
        <w:rPr>
          <w:rFonts w:ascii="Times New Roman" w:hAnsi="Times New Roman"/>
          <w:sz w:val="24"/>
        </w:rPr>
        <w:t>Greenlaw, S., Shapiro, D., &amp; MacDonald, D. (2022). Principles of economics (3rd ed.). OpenStax. https://openstax.org/books/principles-economics-3e/pages/1-introduction</w:t>
      </w:r>
    </w:p>
    <w:p>
      <w:pPr>
        <w:spacing w:line="480" w:lineRule="auto" w:after="120"/>
      </w:pPr>
      <w:r>
        <w:rPr>
          <w:rFonts w:ascii="Times New Roman" w:hAnsi="Times New Roman"/>
          <w:sz w:val="24"/>
        </w:rPr>
        <w:t>International Monetary Fund. (2021). Kenya: 2021 Article IV consultation—Second reviews under the extended arrangement under the EFF and ECF (IMF Country Report No. 21/275). https://www.imf.org/en/publications/cr/issues/2021/12/22/kenya-2021-article-iv-consultation-second-reviews-under-the-extended-arrangement-under-the-511263</w:t>
      </w:r>
    </w:p>
    <w:p>
      <w:pPr>
        <w:spacing w:line="480" w:lineRule="auto" w:after="120"/>
      </w:pPr>
      <w:r>
        <w:rPr>
          <w:rFonts w:ascii="Times New Roman" w:hAnsi="Times New Roman"/>
          <w:sz w:val="24"/>
        </w:rPr>
        <w:t>World Bank. (2021). Kenya economic update: Rising above the waves. World Bank Group. https://openknowledge.worldbank.org/handle/10986/35946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