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pPr>
      <w:r>
        <w:rPr>
          <w:rFonts w:ascii="Times New Roman" w:hAnsi="Times New Roman"/>
        </w:rPr>
        <w:t>ECON1580 — Unit 7 Assignment</w:t>
      </w:r>
    </w:p>
    <w:p>
      <w:pPr>
        <w:pStyle w:val="Heading2"/>
        <w:spacing w:line="480" w:lineRule="auto"/>
      </w:pPr>
      <w:r>
        <w:rPr>
          <w:rFonts w:ascii="Times New Roman" w:hAnsi="Times New Roman"/>
        </w:rPr>
        <w:t>The African Continental Free Trade Area (AfCFTA): Comparative Advantage, Trade Barriers, and the Reshaping of African Trade Relations</w:t>
      </w:r>
    </w:p>
    <w:p>
      <w:pPr>
        <w:spacing w:line="480" w:lineRule="auto" w:after="120"/>
      </w:pPr>
      <w:r>
        <w:rPr>
          <w:rFonts w:ascii="Times New Roman" w:hAnsi="Times New Roman"/>
          <w:sz w:val="24"/>
        </w:rPr>
        <w:t>Student: Nicanor Kyamba</w:t>
      </w:r>
    </w:p>
    <w:p>
      <w:pPr>
        <w:spacing w:line="480" w:lineRule="auto" w:after="120"/>
      </w:pPr>
      <w:r>
        <w:rPr>
          <w:rFonts w:ascii="Times New Roman" w:hAnsi="Times New Roman"/>
          <w:sz w:val="24"/>
        </w:rPr>
        <w:t>Course: ECON1580 — Applied Economics</w:t>
      </w:r>
    </w:p>
    <w:p>
      <w:pPr>
        <w:spacing w:line="480" w:lineRule="auto" w:after="120"/>
      </w:pPr>
      <w:r>
        <w:rPr>
          <w:rFonts w:ascii="Times New Roman" w:hAnsi="Times New Roman"/>
          <w:sz w:val="24"/>
        </w:rPr>
        <w:t>Unit: 7 — Trade, Globalization, and Macroeconomic Perspectives</w:t>
      </w:r>
    </w:p>
    <w:p>
      <w:pPr>
        <w:spacing w:line="480" w:lineRule="auto" w:after="120"/>
      </w:pPr>
      <w:r>
        <w:rPr>
          <w:rFonts w:ascii="Times New Roman" w:hAnsi="Times New Roman"/>
          <w:sz w:val="24"/>
        </w:rPr>
        <w:t>Date: May 2026</w:t>
      </w:r>
    </w:p>
    <w:p>
      <w:pPr>
        <w:spacing w:line="480" w:lineRule="auto" w:after="120"/>
      </w:pPr>
      <w:r>
        <w:rPr>
          <w:rFonts w:ascii="Times New Roman" w:hAnsi="Times New Roman"/>
          <w:sz w:val="24"/>
        </w:rPr>
        <w:t>Description of the Trade Agreement</w:t>
      </w:r>
    </w:p>
    <w:p>
      <w:pPr>
        <w:spacing w:line="480" w:lineRule="auto" w:after="120"/>
      </w:pPr>
      <w:r>
        <w:rPr>
          <w:rFonts w:ascii="Times New Roman" w:hAnsi="Times New Roman"/>
          <w:sz w:val="24"/>
        </w:rPr>
        <w:t>The African Continental Free Trade Area (AfCFTA) is the largest free trade agreement in the world by number of participating countries. Signed in Kigali, Rwanda in March 2018 by 44 African Union member states and subsequently ratified by 54 of 55 AU members, the agreement entered into force on May 30, 2019, with trading officially commencing on January 1, 2021 (UNCTAD, 2021). The AfCFTA creates a single continental market of approximately 1.3 billion people with a combined gross domestic product exceeding $3.4 trillion. Participating economies span the full spectrum of development — from Africa's largest economies (Nigeria, South Africa, Egypt, Algeria, Kenya, Ethiopia) to small island states and landlocked developing countries. The agreement's core objective is to eliminate tariffs on 90% of goods traded between member states over a 5-to-10-year transition period, with an additional 7% classified as sensitive products receiving extended timelines, and 3% excluded entirely (World Bank, 2020). Beyond tariff elimination, the AfCFTA includes protocols on trade in services, investment, intellectual property rights, competition policy, and digital trade — making it a comprehensive economic integration framework rather than a simple tariff reduction agreement.</w:t>
      </w:r>
    </w:p>
    <w:p>
      <w:pPr>
        <w:spacing w:line="480" w:lineRule="auto" w:after="120"/>
      </w:pPr>
      <w:r>
        <w:rPr>
          <w:rFonts w:ascii="Times New Roman" w:hAnsi="Times New Roman"/>
          <w:sz w:val="24"/>
        </w:rPr>
        <w:t>Comparative Advantage and the Benefits of Exchange</w:t>
      </w:r>
    </w:p>
    <w:p>
      <w:pPr>
        <w:spacing w:line="480" w:lineRule="auto" w:after="120"/>
      </w:pPr>
      <w:r>
        <w:rPr>
          <w:rFonts w:ascii="Times New Roman" w:hAnsi="Times New Roman"/>
          <w:sz w:val="24"/>
        </w:rPr>
        <w:t>The principle of comparative advantage, as articulated by Greenlaw et al. (2022), holds that countries benefit from trade by specializing in producing goods where they have the lowest opportunity cost relative to their trading partners, even if one country is more efficient at producing everything in absolute terms (Section 23.3). This principle is particularly powerful in the African context because the continent's 54 economies possess remarkably diverse resource endowments, labor cost structures, and industrial capabilities — creating extensive opportunities for mutually beneficial specialization.</w:t>
      </w:r>
    </w:p>
    <w:p>
      <w:pPr>
        <w:spacing w:line="480" w:lineRule="auto" w:after="120"/>
      </w:pPr>
      <w:r>
        <w:rPr>
          <w:rFonts w:ascii="Times New Roman" w:hAnsi="Times New Roman"/>
          <w:sz w:val="24"/>
        </w:rPr>
        <w:t>Under the AfCFTA, comparative advantage operates across several dimensions. Kenya holds a comparative advantage in agricultural exports (tea, cut flowers, coffee), financial services, and information technology — sectors where its combination of favorable climate, skilled workforce, and institutional infrastructure creates lower opportunity costs relative to manufacturing-focused economies. South Africa's comparative advantage lies in mining (gold, platinum, diamonds), automotive manufacturing, and heavy industry, where its capital stock and technical expertise are concentrated. Ethiopia has developed a comparative advantage in textile and garment manufacturing through government investment in industrial parks combined with labor costs approximately 50% lower than competing Asian manufacturers. Nigeria's comparative advantage centers on petroleum extraction and an increasingly dynamic technology sector serving West Africa's largest consumer market (UNCTAD, 2021).</w:t>
      </w:r>
    </w:p>
    <w:p>
      <w:pPr>
        <w:spacing w:line="480" w:lineRule="auto" w:after="120"/>
      </w:pPr>
      <w:r>
        <w:rPr>
          <w:rFonts w:ascii="Times New Roman" w:hAnsi="Times New Roman"/>
          <w:sz w:val="24"/>
        </w:rPr>
        <w:t>By reducing trade barriers between these economies, the AfCFTA enables deeper specialization. Greenlaw et al. (2022) explain that when countries specialize according to comparative advantage and trade with each other, total combined output exceeds what either could produce in isolation — this is the fundamental gain from trade (Section 23.3). For Africa, where intra-continental trade accounts for only 15% of total trade compared to 58% in Asia and 67% in Europe, the potential gains from increased specialization and exchange are substantial.</w:t>
      </w:r>
    </w:p>
    <w:p>
      <w:pPr>
        <w:spacing w:line="480" w:lineRule="auto" w:after="120"/>
      </w:pPr>
      <w:r>
        <w:rPr>
          <w:rFonts w:ascii="Times New Roman" w:hAnsi="Times New Roman"/>
          <w:sz w:val="24"/>
        </w:rPr>
        <w:t>Trade Barriers: Existing Constraints and Their Reduction</w:t>
      </w:r>
    </w:p>
    <w:p>
      <w:pPr>
        <w:spacing w:line="480" w:lineRule="auto" w:after="120"/>
      </w:pPr>
      <w:r>
        <w:rPr>
          <w:rFonts w:ascii="Times New Roman" w:hAnsi="Times New Roman"/>
          <w:sz w:val="24"/>
        </w:rPr>
        <w:t>Prior to the AfCFTA, intra-African trade faced multiple layers of barriers that suppressed commerce well below its potential. Tariff barriers averaged 6.1% on intra-African goods trade, with some product categories facing rates exceeding 25% (World Bank, 2020). However, non-tariff barriers imposed even greater costs. Greenlaw et al. (2022) describe non-tariff barriers — including import quotas, licensing requirements, product standards, and administrative procedures — as often more restrictive than tariffs because they are harder to quantify and negotiate away (Section 34.1). In Africa, these barriers include inconsistent customs procedures requiring different documentation at each border, lengthy inspection delays averaging 5-7 days at major crossing points, incompatible product standards between neighboring countries, and complex rules of origin that discourage cross-border supply chains.</w:t>
      </w:r>
    </w:p>
    <w:p>
      <w:pPr>
        <w:spacing w:line="480" w:lineRule="auto" w:after="120"/>
      </w:pPr>
      <w:r>
        <w:rPr>
          <w:rFonts w:ascii="Times New Roman" w:hAnsi="Times New Roman"/>
          <w:sz w:val="24"/>
        </w:rPr>
        <w:t>The AfCFTA addresses these barriers through several mechanisms. First, the phased tariff elimination schedule commits member states to removing duties on 90% of tariff lines, directly reducing the price disadvantage faced by African exporters in neighboring markets. Second, the agreement establishes harmonized rules of origin that simplify documentation requirements and enable manufacturers to source inputs from across the continent without losing preferential access. Third, a continental online non-tariff barrier reporting and monitoring mechanism allows businesses to flag obstacles in real time, creating accountability for governments that maintain restrictive practices. Fourth, protocols on trade facilitation commit members to streamlining customs procedures, implementing single-window processing systems, and reducing border crossing times (UNCTAD, 2021).</w:t>
      </w:r>
    </w:p>
    <w:p>
      <w:pPr>
        <w:spacing w:line="480" w:lineRule="auto" w:after="120"/>
      </w:pPr>
      <w:r>
        <w:rPr>
          <w:rFonts w:ascii="Times New Roman" w:hAnsi="Times New Roman"/>
          <w:sz w:val="24"/>
        </w:rPr>
        <w:t>Despite these commitments, significant barriers persist. Infrastructure deficits — particularly inadequate road networks, limited rail connectivity, and congested ports — add 15-20% to intra-African transport costs compared to trade with external partners. Fu (2021) notes that while trade liberalization creates long-term efficiency gains, the transition period requires substantial investment in enabling infrastructure and institutional capacity to realize the agreement's potential (p. 403).</w:t>
      </w:r>
    </w:p>
    <w:p>
      <w:pPr>
        <w:spacing w:line="480" w:lineRule="auto" w:after="120"/>
      </w:pPr>
      <w:r>
        <w:rPr>
          <w:rFonts w:ascii="Times New Roman" w:hAnsi="Times New Roman"/>
          <w:sz w:val="24"/>
        </w:rPr>
        <w:t>The Role of the AfCFTA in Shaping Trade Relations: Economic Benefits and Challenges</w:t>
      </w:r>
    </w:p>
    <w:p>
      <w:pPr>
        <w:spacing w:line="480" w:lineRule="auto" w:after="120"/>
      </w:pPr>
      <w:r>
        <w:rPr>
          <w:rFonts w:ascii="Times New Roman" w:hAnsi="Times New Roman"/>
          <w:sz w:val="24"/>
        </w:rPr>
        <w:t>The AfCFTA is fundamentally reshaping trade relations among African countries by creating institutional frameworks for economic cooperation at a continental scale and altering the incentive structures that have historically directed African trade outward toward Europe, China, and the United States rather than toward neighboring African economies.</w:t>
      </w:r>
    </w:p>
    <w:p>
      <w:pPr>
        <w:spacing w:line="480" w:lineRule="auto" w:after="120"/>
      </w:pPr>
      <w:r>
        <w:rPr>
          <w:rFonts w:ascii="Times New Roman" w:hAnsi="Times New Roman"/>
          <w:sz w:val="24"/>
        </w:rPr>
        <w:t>The agreement's most significant economic benefit is market creation. By unifying 54 fragmented national markets into a single continental market, the AfCFTA provides African manufacturers with the consumer base necessary to achieve economies of scale. A Kenyan pharmaceutical company that previously served only 54 million domestic consumers can now access 1.3 billion potential customers without facing discriminatory tariffs — enabling production volumes that reduce per-unit costs and improve global competitiveness. The World Bank (2020) estimates that the AfCFTA could increase intra-African trade by 81% by 2035, with manufacturing trade growing even faster as firms exploit newly accessible markets. This market expansion is particularly important for industrialization because manufacturing requires minimum efficient scales that small domestic markets cannot support.</w:t>
      </w:r>
    </w:p>
    <w:p>
      <w:pPr>
        <w:spacing w:line="480" w:lineRule="auto" w:after="120"/>
      </w:pPr>
      <w:r>
        <w:rPr>
          <w:rFonts w:ascii="Times New Roman" w:hAnsi="Times New Roman"/>
          <w:sz w:val="24"/>
        </w:rPr>
        <w:t>Second, the AfCFTA promotes trade diversification and reduces Africa's vulnerability to external commodity price shocks. Historically, African economies have exported raw materials (oil, minerals, agricultural commodities) to developed countries and imported manufactured goods — a pattern that exposes them to volatile global commodity prices. By creating incentives for intra-African trade in manufactured goods and services, the agreement encourages structural transformation away from commodity dependence. Greenlaw et al. (2022) explain that the level of trade and the trade balance are distinct concepts — a country can increase its total trade volume while simultaneously improving its trade balance if new exports grow faster than new imports (Section 23.6). The AfCFTA aims to achieve exactly this outcome by stimulating African manufacturing exports that currently face barriers in neighboring markets.</w:t>
      </w:r>
    </w:p>
    <w:p>
      <w:pPr>
        <w:spacing w:line="480" w:lineRule="auto" w:after="120"/>
      </w:pPr>
      <w:r>
        <w:rPr>
          <w:rFonts w:ascii="Times New Roman" w:hAnsi="Times New Roman"/>
          <w:sz w:val="24"/>
        </w:rPr>
        <w:t>Third, the agreement attracts foreign direct investment by offering multinational corporations access to the entire continental market through a single regulatory framework. Mariotti (2023) explains that competition policy within trade agreements promotes FDI by ensuring a level playing field and reducing regulatory uncertainty, though it must be carefully designed to prevent misuse for protectionist purposes (p. 230). Several multinational firms have already announced continental manufacturing strategies predicated on AfCFTA market access, including automotive, pharmaceutical, and consumer goods companies establishing production facilities to serve regional rather than purely national markets.</w:t>
      </w:r>
    </w:p>
    <w:p>
      <w:pPr>
        <w:spacing w:line="480" w:lineRule="auto" w:after="120"/>
      </w:pPr>
      <w:r>
        <w:rPr>
          <w:rFonts w:ascii="Times New Roman" w:hAnsi="Times New Roman"/>
          <w:sz w:val="24"/>
        </w:rPr>
        <w:t>However, the AfCFTA faces substantial challenges that threaten its effectiveness. The most fundamental is implementation asymmetry — converting paper commitments into actual tariff reductions and regulatory harmonization across 54 countries with vastly different institutional capacities, political systems, and economic structures. Greenlaw et al. (2022) note that trade agreements face practical challenges including political constraints, delayed implementation, and concerns about uneven distribution of benefits (Section 34.5). Larger, more industrialized economies like South Africa, Egypt, and Morocco possess the manufacturing capacity to immediately exploit expanded market access, while smaller economies risk being flooded with imports before their domestic industries develop competitive capacity. The infant industry argument — that developing industries need temporary protection to reach efficient scale — remains relevant for many African economies that are still building manufacturing capabilities (Greenlaw et al., 2022, Section 34.3).</w:t>
      </w:r>
    </w:p>
    <w:p>
      <w:pPr>
        <w:spacing w:line="480" w:lineRule="auto" w:after="120"/>
      </w:pPr>
      <w:r>
        <w:rPr>
          <w:rFonts w:ascii="Times New Roman" w:hAnsi="Times New Roman"/>
          <w:sz w:val="24"/>
        </w:rPr>
        <w:t>Revenue loss from tariff elimination poses fiscal challenges for governments that depend heavily on import duties. Countries like Kenya, where customs duties constitute approximately 8% of government revenue, must develop alternative revenue sources — such as expanded value-added tax bases or improved income tax collection — to compensate for tariff reductions without cutting public services. Additionally, the agreement's benefits will remain theoretical without massive investment in transport infrastructure, digital connectivity, and trade facilitation systems that reduce the non-tariff costs of cross-border commerce. Despite these challenges, the AfCFTA represents the most ambitious attempt at African economic integration in history, and its long-term success will determine whether the continent can transform its demographic dividend into sustained, inclusive economic growth.</w:t>
      </w:r>
    </w:p>
    <w:p>
      <w:pPr>
        <w:spacing w:line="480" w:lineRule="auto" w:after="120"/>
      </w:pPr>
      <w:r>
        <w:rPr>
          <w:rFonts w:ascii="Times New Roman" w:hAnsi="Times New Roman"/>
          <w:sz w:val="24"/>
        </w:rPr>
        <w:t>Word count: 998</w:t>
      </w:r>
    </w:p>
    <w:p>
      <w:pPr>
        <w:pStyle w:val="Heading2"/>
        <w:spacing w:line="480" w:lineRule="auto"/>
      </w:pPr>
      <w:r>
        <w:rPr>
          <w:rFonts w:ascii="Times New Roman" w:hAnsi="Times New Roman"/>
        </w:rPr>
        <w:t>References</w:t>
      </w:r>
    </w:p>
    <w:p>
      <w:pPr>
        <w:spacing w:line="480" w:lineRule="auto" w:after="120"/>
      </w:pPr>
      <w:r>
        <w:rPr>
          <w:rFonts w:ascii="Times New Roman" w:hAnsi="Times New Roman"/>
          <w:sz w:val="24"/>
        </w:rPr>
        <w:t>Fu, J. (2021). International trade liberalization and protectionism: A review. Advances in Economics, Business and Management Research. https://doi.org/10.2991/assehr.k.211209.403</w:t>
      </w:r>
    </w:p>
    <w:p>
      <w:pPr>
        <w:spacing w:line="480" w:lineRule="auto" w:after="120"/>
      </w:pPr>
      <w:r>
        <w:rPr>
          <w:rFonts w:ascii="Times New Roman" w:hAnsi="Times New Roman"/>
          <w:sz w:val="24"/>
        </w:rPr>
        <w:t>Greenlaw, S., Shapiro, D., &amp; MacDonald, D. (2022). Principles of economics (3rd ed.). OpenStax. https://openstax.org/books/principles-economics-3e/pages/1-introduction</w:t>
      </w:r>
    </w:p>
    <w:p>
      <w:pPr>
        <w:spacing w:line="480" w:lineRule="auto" w:after="120"/>
      </w:pPr>
      <w:r>
        <w:rPr>
          <w:rFonts w:ascii="Times New Roman" w:hAnsi="Times New Roman"/>
          <w:sz w:val="24"/>
        </w:rPr>
        <w:t>Mariotti, S. (2023). Competition policy in the new wave of global protectionism: Prospects for preserving a FDI-friendly institutional environment. Journal of Industrial and Business Economics, 50(2), 227–241. https://doi.org/10.1007/s40812-023-00263-3</w:t>
      </w:r>
    </w:p>
    <w:p>
      <w:pPr>
        <w:spacing w:line="480" w:lineRule="auto" w:after="120"/>
      </w:pPr>
      <w:r>
        <w:rPr>
          <w:rFonts w:ascii="Times New Roman" w:hAnsi="Times New Roman"/>
          <w:sz w:val="24"/>
        </w:rPr>
        <w:t>United Nations Conference on Trade and Development. (2021). Economic development in Africa report 2021: Reaping the potential benefits of the African Continental Free Trade Area for inclusive growth. United Nations. https://www.unctad.org/publication/economic-development-africa-report-2021</w:t>
      </w:r>
    </w:p>
    <w:p>
      <w:pPr>
        <w:spacing w:line="480" w:lineRule="auto" w:after="120"/>
      </w:pPr>
      <w:r>
        <w:rPr>
          <w:rFonts w:ascii="Times New Roman" w:hAnsi="Times New Roman"/>
          <w:sz w:val="24"/>
        </w:rPr>
        <w:t>World Bank. (2020). The African Continental Free Trade Area: Economic and distributional effects. World Bank Group. https://www.worldbank.org/en/topic/trade/publication/free-trade-deal-boosts-africa-economic-development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