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6f9cb90ae14cb81f8fa96e04545285998606bd6"/>
    <w:p>
      <w:pPr>
        <w:pStyle w:val="Heading1"/>
        <w:spacing w:line="480" w:lineRule="exact" w:after="0"/>
      </w:pPr>
      <w:r>
        <w:rPr>
          <w:rFonts w:ascii="Times New Roman" w:hAnsi="Times New Roman"/>
          <w:sz w:val="24"/>
        </w:rPr>
        <w:t xml:space="preserve">A Nation’s Economic System and Global Economic Policies: Kenya</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t xml:space="preserve"> </w:t>
      </w:r>
      <w:r>
        <w:rPr>
          <w:rFonts w:ascii="Times New Roman" w:hAnsi="Times New Roman"/>
          <w:b/>
          <w:bCs/>
          <w:sz w:val="24"/>
        </w:rPr>
        <w:t xml:space="preserve">Course</w:t>
      </w:r>
      <w:r>
        <w:rPr>
          <w:rFonts w:ascii="Times New Roman" w:hAnsi="Times New Roman"/>
          <w:sz w:val="24"/>
        </w:rPr>
        <w:t xml:space="preserve">: ECON 1580 — Applied Economics: Theory and Practice</w:t>
      </w:r>
      <w:r>
        <w:rPr>
          <w:rFonts w:ascii="Times New Roman" w:hAnsi="Times New Roman"/>
          <w:sz w:val="24"/>
        </w:rPr>
        <w:t xml:space="preserve"> </w:t>
      </w:r>
      <w:r>
        <w:rPr>
          <w:rFonts w:ascii="Times New Roman" w:hAnsi="Times New Roman"/>
          <w:b/>
          <w:bCs/>
          <w:sz w:val="24"/>
        </w:rPr>
        <w:t xml:space="preserve">Unit</w:t>
      </w:r>
      <w:r>
        <w:rPr>
          <w:rFonts w:ascii="Times New Roman" w:hAnsi="Times New Roman"/>
          <w:sz w:val="24"/>
        </w:rPr>
        <w:t xml:space="preserve">: 1 — Economic Systems and Global Policy Impacts</w:t>
      </w:r>
    </w:p>
    <w:p>
      <w:pPr>
        <w:spacing w:line="480" w:lineRule="exact" w:after="0"/>
      </w:pPr>
      <w:r>
        <w:rPr>
          <w:rFonts w:ascii="Times New Roman" w:hAnsi="Times New Roman"/>
          <w:sz w:val="24"/>
        </w:rPr>
        <w:pict>
          <v:rect style="width:0;height:1.5pt" o:hralign="center" o:hrstd="t" o:hr="t"/>
        </w:pict>
      </w:r>
    </w:p>
    <w:bookmarkStart w:id="9" w:name="introduction"/>
    <w:p>
      <w:pPr>
        <w:pStyle w:val="Heading2"/>
        <w:spacing w:line="480" w:lineRule="exact" w:after="0"/>
      </w:pPr>
      <w:r>
        <w:rPr>
          <w:rFonts w:ascii="Times New Roman" w:hAnsi="Times New Roman"/>
          <w:sz w:val="24"/>
        </w:rPr>
        <w:t xml:space="preserve">Introduction</w:t>
      </w:r>
    </w:p>
    <w:p>
      <w:pPr>
        <w:pStyle w:val="FirstParagraph"/>
        <w:spacing w:line="480" w:lineRule="exact" w:after="0"/>
      </w:pPr>
      <w:r>
        <w:rPr>
          <w:rFonts w:ascii="Times New Roman" w:hAnsi="Times New Roman"/>
          <w:sz w:val="24"/>
        </w:rPr>
        <w:t xml:space="preserve">Kenya, located in East Africa, is one of the continent’s most dynamic economies and offers a compelling case study for examining how economic systems organize resources, manage production, and engage with global policy. This paper identifies Kenya’s economic system and its key characteristics, examines how it allocates labor, capital, and land, and evaluates the impact of the African Continental Free Trade Area (AfCFTA) on Kenya’s trade, development, and financial stability.</w:t>
      </w:r>
    </w:p>
    <w:p>
      <w:pPr>
        <w:spacing w:line="480" w:lineRule="exact" w:after="0"/>
      </w:pPr>
      <w:r>
        <w:rPr>
          <w:rFonts w:ascii="Times New Roman" w:hAnsi="Times New Roman"/>
          <w:sz w:val="24"/>
        </w:rPr>
        <w:pict>
          <v:rect style="width:0;height:1.5pt" o:hralign="center" o:hrstd="t" o:hr="t"/>
        </w:pict>
      </w:r>
    </w:p>
    <w:bookmarkEnd w:id="9"/>
    <w:bookmarkStart w:id="10" w:name="X9bc4653e09dfde1b54eac3b60e8806666fc16fd"/>
    <w:p>
      <w:pPr>
        <w:pStyle w:val="Heading2"/>
        <w:spacing w:line="480" w:lineRule="exact" w:after="0"/>
      </w:pPr>
      <w:r>
        <w:rPr>
          <w:rFonts w:ascii="Times New Roman" w:hAnsi="Times New Roman"/>
          <w:sz w:val="24"/>
        </w:rPr>
        <w:t xml:space="preserve">Question 1: Kenya’s Economic System and Its Key Characteristics</w:t>
      </w:r>
    </w:p>
    <w:p>
      <w:pPr>
        <w:pStyle w:val="FirstParagraph"/>
        <w:spacing w:line="480" w:lineRule="exact" w:after="0"/>
      </w:pPr>
      <w:r>
        <w:rPr>
          <w:rFonts w:ascii="Times New Roman" w:hAnsi="Times New Roman"/>
          <w:sz w:val="24"/>
        </w:rPr>
        <w:t xml:space="preserve">Kenya operates a</w:t>
      </w:r>
      <w:r>
        <w:rPr>
          <w:rFonts w:ascii="Times New Roman" w:hAnsi="Times New Roman"/>
          <w:sz w:val="24"/>
        </w:rPr>
        <w:t xml:space="preserve"> </w:t>
      </w:r>
      <w:r>
        <w:rPr>
          <w:rFonts w:ascii="Times New Roman" w:hAnsi="Times New Roman"/>
          <w:b/>
          <w:bCs/>
          <w:sz w:val="24"/>
        </w:rPr>
        <w:t xml:space="preserve">mixed economy</w:t>
      </w:r>
      <w:r>
        <w:rPr>
          <w:rFonts w:ascii="Times New Roman" w:hAnsi="Times New Roman"/>
          <w:sz w:val="24"/>
        </w:rPr>
        <w:t xml:space="preserve"> </w:t>
      </w:r>
      <w:r>
        <w:rPr>
          <w:rFonts w:ascii="Times New Roman" w:hAnsi="Times New Roman"/>
          <w:sz w:val="24"/>
        </w:rPr>
        <w:t xml:space="preserve">— a system that combines market-driven mechanisms with deliberate government intervention to balance productive efficiency with social equity. In a mixed economy, private enterprise is the primary engine of production, but the government actively regulates markets, provides public goods, and corrects market failures that the private sector cannot address alone (Greenlaw et al., 2022, Section 1.4). This distinguishes Kenya from a pure market economy, where prices and production are determined entirely by supply and demand, and from a command economy, where the state controls all economic decisions.</w:t>
      </w:r>
    </w:p>
    <w:p>
      <w:pPr>
        <w:pStyle w:val="BodyText"/>
        <w:spacing w:line="480" w:lineRule="exact" w:after="0"/>
      </w:pPr>
      <w:r>
        <w:rPr>
          <w:rFonts w:ascii="Times New Roman" w:hAnsi="Times New Roman"/>
          <w:sz w:val="24"/>
        </w:rPr>
        <w:t xml:space="preserve">Kenya’s Constitution of 2010 anchors this system by simultaneously guaranteeing property rights and free enterprise while mandating government responsibility for equitable development and social welfare. In practice, sectors such as telecommunications, banking, and manufacturing are largely privately owned — Safaricom, Equity Bank, and East African Breweries are prominent examples — while the government maintains regulatory oversight through bodies such as the Communications Authority of Kenya and the Capital Markets Authority. The state also operates enterprises in strategic sectors where market provision is insufficient, including Kenya Power in energy and Kenya Railways in transport.</w:t>
      </w:r>
    </w:p>
    <w:p>
      <w:pPr>
        <w:pStyle w:val="BodyText"/>
        <w:spacing w:line="480" w:lineRule="exact" w:after="0"/>
      </w:pPr>
      <w:r>
        <w:rPr>
          <w:rFonts w:ascii="Times New Roman" w:hAnsi="Times New Roman"/>
          <w:sz w:val="24"/>
        </w:rPr>
        <w:t xml:space="preserve">A defining characteristic of Kenya’s mixed economy is its simultaneous use of price mechanisms and government planning. Prices for most consumer goods are market-determined, but the government intervenes in fuel pricing, electricity tariffs, and agricultural commodity prices to protect consumers and smallholder farmers from volatility. This dual approach reflects the core logic of mixed economies: harnessing market efficiency while using government authority to address distributional and structural limitations (Greenlaw et al., 2022, Section 1.4).</w:t>
      </w:r>
    </w:p>
    <w:p>
      <w:pPr>
        <w:spacing w:line="480" w:lineRule="exact" w:after="0"/>
      </w:pPr>
      <w:r>
        <w:rPr>
          <w:rFonts w:ascii="Times New Roman" w:hAnsi="Times New Roman"/>
          <w:sz w:val="24"/>
        </w:rPr>
        <w:pict>
          <v:rect style="width:0;height:1.5pt" o:hralign="center" o:hrstd="t" o:hr="t"/>
        </w:pict>
      </w:r>
    </w:p>
    <w:bookmarkEnd w:id="10"/>
    <w:bookmarkStart w:id="11" w:name="X36a3f8dbead1e90c47b1796b078c03897bfdcae"/>
    <w:p>
      <w:pPr>
        <w:pStyle w:val="Heading2"/>
        <w:spacing w:line="480" w:lineRule="exact" w:after="0"/>
      </w:pPr>
      <w:r>
        <w:rPr>
          <w:rFonts w:ascii="Times New Roman" w:hAnsi="Times New Roman"/>
          <w:sz w:val="24"/>
        </w:rPr>
        <w:t xml:space="preserve">Question 2: Resource Organization and Production Management</w:t>
      </w:r>
    </w:p>
    <w:p>
      <w:pPr>
        <w:pStyle w:val="FirstParagraph"/>
        <w:spacing w:line="480" w:lineRule="exact" w:after="0"/>
      </w:pPr>
      <w:r>
        <w:rPr>
          <w:rFonts w:ascii="Times New Roman" w:hAnsi="Times New Roman"/>
          <w:sz w:val="24"/>
        </w:rPr>
        <w:t xml:space="preserve">Kenya organizes its three primary factors of production — labor, capital, and land — through a combination of market allocation and government direction, with government, businesses, and consumers each playing distinct but interconnected roles.</w:t>
      </w:r>
    </w:p>
    <w:p>
      <w:pPr>
        <w:pStyle w:val="BodyText"/>
        <w:spacing w:line="480" w:lineRule="exact" w:after="0"/>
      </w:pPr>
      <w:r>
        <w:rPr>
          <w:rFonts w:ascii="Times New Roman" w:hAnsi="Times New Roman"/>
          <w:b/>
          <w:bCs/>
          <w:sz w:val="24"/>
        </w:rPr>
        <w:t xml:space="preserve">Labor</w:t>
      </w:r>
      <w:r>
        <w:rPr>
          <w:rFonts w:ascii="Times New Roman" w:hAnsi="Times New Roman"/>
          <w:sz w:val="24"/>
        </w:rPr>
        <w:t xml:space="preserve"> </w:t>
      </w:r>
      <w:r>
        <w:rPr>
          <w:rFonts w:ascii="Times New Roman" w:hAnsi="Times New Roman"/>
          <w:sz w:val="24"/>
        </w:rPr>
        <w:t xml:space="preserve">is Kenya’s most abundant resource. The private sector is the dominant employer, particularly in agriculture, which accounts for approximately 22% of GDP and employs the majority of the rural workforce (Shapiro et al., 2023, Chapter 1). The government manages labor through minimum wage legislation and public sector employment, and invests in human capital through public education and vocational training. Consumers, as workers, supply labor to firms in exchange for wages — a dynamic Greenlaw et al. (2022) illustrate through the circular flow model, where households and firms continuously exchange resources and payments (Section 1.3).</w:t>
      </w:r>
    </w:p>
    <w:p>
      <w:pPr>
        <w:pStyle w:val="BodyText"/>
        <w:spacing w:line="480" w:lineRule="exact" w:after="0"/>
      </w:pPr>
      <w:r>
        <w:rPr>
          <w:rFonts w:ascii="Times New Roman" w:hAnsi="Times New Roman"/>
          <w:b/>
          <w:bCs/>
          <w:sz w:val="24"/>
        </w:rPr>
        <w:t xml:space="preserve">Capital</w:t>
      </w:r>
      <w:r>
        <w:rPr>
          <w:rFonts w:ascii="Times New Roman" w:hAnsi="Times New Roman"/>
          <w:sz w:val="24"/>
        </w:rPr>
        <w:t xml:space="preserve"> </w:t>
      </w:r>
      <w:r>
        <w:rPr>
          <w:rFonts w:ascii="Times New Roman" w:hAnsi="Times New Roman"/>
          <w:sz w:val="24"/>
        </w:rPr>
        <w:t xml:space="preserve">flows through both private and public channels. The Nairobi Securities Exchange enables businesses to raise equity financing, while mobile money platforms such as M-Pesa channel household savings into productive investment. The government directs public capital into infrastructure — roads, ports, and the Standard Gauge Railway — that the private sector would underprovide. The World Bank Group (2025) identifies such infrastructure investment as critical for developing economies, noting that it reduces transaction costs, improves market access, and attracts foreign direct investment (p. 15).</w:t>
      </w:r>
    </w:p>
    <w:p>
      <w:pPr>
        <w:pStyle w:val="BodyText"/>
        <w:spacing w:line="480" w:lineRule="exact" w:after="0"/>
      </w:pPr>
      <w:r>
        <w:rPr>
          <w:rFonts w:ascii="Times New Roman" w:hAnsi="Times New Roman"/>
          <w:b/>
          <w:bCs/>
          <w:sz w:val="24"/>
        </w:rPr>
        <w:t xml:space="preserve">Land</w:t>
      </w:r>
      <w:r>
        <w:rPr>
          <w:rFonts w:ascii="Times New Roman" w:hAnsi="Times New Roman"/>
          <w:sz w:val="24"/>
        </w:rPr>
        <w:t xml:space="preserve"> </w:t>
      </w:r>
      <w:r>
        <w:rPr>
          <w:rFonts w:ascii="Times New Roman" w:hAnsi="Times New Roman"/>
          <w:sz w:val="24"/>
        </w:rPr>
        <w:t xml:space="preserve">operates under a dual system: private ownership supports commercial agriculture and urban development, while community and government land serves public use and conservation. Large-scale farms produce tea, coffee, and horticulture for export, while smallholder farmers — supported by government extension services and subsidized inputs — produce food crops for domestic consumption. Government support is necessary here because smallholders face market failures including limited credit access and price volatility that would otherwise exclude them from productive participation.</w:t>
      </w:r>
    </w:p>
    <w:p>
      <w:pPr>
        <w:pStyle w:val="BodyText"/>
        <w:spacing w:line="480" w:lineRule="exact" w:after="0"/>
      </w:pPr>
      <w:r>
        <w:rPr>
          <w:rFonts w:ascii="Times New Roman" w:hAnsi="Times New Roman"/>
          <w:sz w:val="24"/>
        </w:rPr>
        <w:t xml:space="preserve">The interaction between government, businesses, and consumers is deeply integrated. Government creates the enabling environment; businesses invest and produce in response; consumers signal demand that guides production decisions. This three-way interdependence is the operational reality of Kenya’s mixed economy.</w:t>
      </w:r>
    </w:p>
    <w:p>
      <w:pPr>
        <w:spacing w:line="480" w:lineRule="exact" w:after="0"/>
      </w:pPr>
      <w:r>
        <w:rPr>
          <w:rFonts w:ascii="Times New Roman" w:hAnsi="Times New Roman"/>
          <w:sz w:val="24"/>
        </w:rPr>
        <w:pict>
          <v:rect style="width:0;height:1.5pt" o:hralign="center" o:hrstd="t" o:hr="t"/>
        </w:pict>
      </w:r>
    </w:p>
    <w:bookmarkEnd w:id="11"/>
    <w:bookmarkStart w:id="12" w:name="Xa81ba0630dd39f55affe8630cd19287b8987923"/>
    <w:p>
      <w:pPr>
        <w:pStyle w:val="Heading2"/>
        <w:spacing w:line="480" w:lineRule="exact" w:after="0"/>
      </w:pPr>
      <w:r>
        <w:rPr>
          <w:rFonts w:ascii="Times New Roman" w:hAnsi="Times New Roman"/>
          <w:sz w:val="24"/>
        </w:rPr>
        <w:t xml:space="preserve">Question 3: The African Continental Free Trade Area (AfCFTA) and Its Impact on Kenya</w:t>
      </w:r>
    </w:p>
    <w:p>
      <w:pPr>
        <w:pStyle w:val="FirstParagraph"/>
        <w:spacing w:line="480" w:lineRule="exact" w:after="0"/>
      </w:pPr>
      <w:r>
        <w:rPr>
          <w:rFonts w:ascii="Times New Roman" w:hAnsi="Times New Roman"/>
          <w:sz w:val="24"/>
        </w:rPr>
        <w:t xml:space="preserve">The</w:t>
      </w:r>
      <w:r>
        <w:rPr>
          <w:rFonts w:ascii="Times New Roman" w:hAnsi="Times New Roman"/>
          <w:sz w:val="24"/>
        </w:rPr>
        <w:t xml:space="preserve"> </w:t>
      </w:r>
      <w:r>
        <w:rPr>
          <w:rFonts w:ascii="Times New Roman" w:hAnsi="Times New Roman"/>
          <w:b/>
          <w:bCs/>
          <w:sz w:val="24"/>
        </w:rPr>
        <w:t xml:space="preserve">African Continental Free Trade Area (AfCFTA)</w:t>
      </w:r>
      <w:r>
        <w:rPr>
          <w:rFonts w:ascii="Times New Roman" w:hAnsi="Times New Roman"/>
          <w:sz w:val="24"/>
        </w:rPr>
        <w:t xml:space="preserve">, which entered into force in January 2021, encompasses 54 African Union member states and aims to eliminate tariffs on 90% of intra-African goods, progressively liberalize services trade, and harmonize investment rules across the continent (African Union, 2021). For Kenya, it is the most consequential global economic policy of the current decade.</w:t>
      </w:r>
    </w:p>
    <w:p>
      <w:pPr>
        <w:pStyle w:val="BodyText"/>
        <w:spacing w:line="480" w:lineRule="exact" w:after="0"/>
      </w:pPr>
      <w:r>
        <w:rPr>
          <w:rFonts w:ascii="Times New Roman" w:hAnsi="Times New Roman"/>
          <w:b/>
          <w:bCs/>
          <w:sz w:val="24"/>
        </w:rPr>
        <w:t xml:space="preserve">Impact on international trade</w:t>
      </w:r>
      <w:r>
        <w:rPr>
          <w:rFonts w:ascii="Times New Roman" w:hAnsi="Times New Roman"/>
          <w:sz w:val="24"/>
        </w:rPr>
        <w:t xml:space="preserve">: AfCFTA expands Kenya’s export market dramatically. Prior to the agreement, Kenyan manufacturers and agricultural exporters faced significant tariff and non-tariff barriers in neighboring markets. Under AfCFTA, Kenya’s goods and services — particularly financial services, horticulture, and tea — can access over 1.4 billion consumers with substantially reduced barriers. Edmond (2024) notes that such regional trade frameworks are increasingly vital as geopolitical fragmentation disrupts established global supply chains, making intra-continental trade a strategic priority.</w:t>
      </w:r>
    </w:p>
    <w:p>
      <w:pPr>
        <w:pStyle w:val="BodyText"/>
        <w:spacing w:line="480" w:lineRule="exact" w:after="0"/>
      </w:pPr>
      <w:r>
        <w:rPr>
          <w:rFonts w:ascii="Times New Roman" w:hAnsi="Times New Roman"/>
          <w:b/>
          <w:bCs/>
          <w:sz w:val="24"/>
        </w:rPr>
        <w:t xml:space="preserve">Impact on development</w:t>
      </w:r>
      <w:r>
        <w:rPr>
          <w:rFonts w:ascii="Times New Roman" w:hAnsi="Times New Roman"/>
          <w:sz w:val="24"/>
        </w:rPr>
        <w:t xml:space="preserve">: AfCFTA incentivizes Kenya to move up the value chain — processing raw materials domestically rather than exporting them unprocessed. This drives industrialization, creates higher-skilled employment, and increases the value captured by Kenyan producers. Regional infrastructure investment stimulated by the agreement generates further multiplier effects on economic development (World Bank Group, 2025, p. 15).</w:t>
      </w:r>
    </w:p>
    <w:p>
      <w:pPr>
        <w:pStyle w:val="BodyText"/>
        <w:spacing w:line="480" w:lineRule="exact" w:after="0"/>
      </w:pPr>
      <w:r>
        <w:rPr>
          <w:rFonts w:ascii="Times New Roman" w:hAnsi="Times New Roman"/>
          <w:b/>
          <w:bCs/>
          <w:sz w:val="24"/>
        </w:rPr>
        <w:t xml:space="preserve">Impact on financial stability</w:t>
      </w:r>
      <w:r>
        <w:rPr>
          <w:rFonts w:ascii="Times New Roman" w:hAnsi="Times New Roman"/>
          <w:sz w:val="24"/>
        </w:rPr>
        <w:t xml:space="preserve">: Expanded and diversified export revenues reduce Kenya’s dependence on a narrow range of commodity exports, improving the long-term stability of the Kenyan shilling. However, AfCFTA also exposes Kenyan manufacturers to greater competition from more industrialized African economies, requiring sustained government investment in industrial policy and productivity enhancement to remain competitive.</w:t>
      </w:r>
    </w:p>
    <w:p>
      <w:pPr>
        <w:spacing w:line="480" w:lineRule="exact" w:after="0"/>
      </w:pPr>
      <w:r>
        <w:rPr>
          <w:rFonts w:ascii="Times New Roman" w:hAnsi="Times New Roman"/>
          <w:sz w:val="24"/>
        </w:rPr>
        <w:pict>
          <v:rect style="width:0;height:1.5pt" o:hralign="center" o:hrstd="t" o:hr="t"/>
        </w:pict>
      </w:r>
    </w:p>
    <w:bookmarkEnd w:id="12"/>
    <w:bookmarkStart w:id="13" w:name="conclusion"/>
    <w:p>
      <w:pPr>
        <w:pStyle w:val="Heading2"/>
        <w:spacing w:line="480" w:lineRule="exact" w:after="0"/>
      </w:pPr>
      <w:r>
        <w:rPr>
          <w:rFonts w:ascii="Times New Roman" w:hAnsi="Times New Roman"/>
          <w:sz w:val="24"/>
        </w:rPr>
        <w:t xml:space="preserve">Conclusion</w:t>
      </w:r>
    </w:p>
    <w:p>
      <w:pPr>
        <w:pStyle w:val="FirstParagraph"/>
        <w:spacing w:line="480" w:lineRule="exact" w:after="0"/>
      </w:pPr>
      <w:r>
        <w:rPr>
          <w:rFonts w:ascii="Times New Roman" w:hAnsi="Times New Roman"/>
          <w:sz w:val="24"/>
        </w:rPr>
        <w:t xml:space="preserve">Kenya’s mixed economic system reflects a pragmatic approach to development — leveraging market efficiency while using government intervention to address inequality and build the infrastructure private capital alone would not provide. The AfCFTA agreement amplifies Kenya’s economic potential by opening a continental market, incentivizing industrialization, and strengthening financial resilience, while also demanding continued investment in competitiveness. Together, Kenya’s domestic economic architecture and its engagement with global trade policy illustrate how national development outcomes are shaped by the interaction of internal institutional choices and external economic forces.</w:t>
      </w:r>
    </w:p>
    <w:p>
      <w:pPr>
        <w:spacing w:line="480" w:lineRule="exact" w:after="0"/>
      </w:pPr>
      <w:r>
        <w:rPr>
          <w:rFonts w:ascii="Times New Roman" w:hAnsi="Times New Roman"/>
          <w:sz w:val="24"/>
        </w:rPr>
        <w:pict>
          <v:rect style="width:0;height:1.5pt" o:hralign="center" o:hrstd="t" o:hr="t"/>
        </w:pict>
      </w:r>
    </w:p>
    <w:bookmarkEnd w:id="13"/>
    <w:bookmarkStart w:id="14"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African Union. (2021).</w:t>
      </w:r>
      <w:r>
        <w:rPr>
          <w:rFonts w:ascii="Times New Roman" w:hAnsi="Times New Roman"/>
          <w:sz w:val="24"/>
        </w:rPr>
        <w:t xml:space="preserve"> </w:t>
      </w:r>
      <w:r>
        <w:rPr>
          <w:rFonts w:ascii="Times New Roman" w:hAnsi="Times New Roman"/>
          <w:i/>
          <w:iCs/>
          <w:sz w:val="24"/>
        </w:rPr>
        <w:t xml:space="preserve">Agreement establishing the African Continental Free Trade Area</w:t>
      </w:r>
      <w:r>
        <w:rPr>
          <w:rFonts w:ascii="Times New Roman" w:hAnsi="Times New Roman"/>
          <w:sz w:val="24"/>
        </w:rPr>
        <w:t xml:space="preserve">. https://au.int/en/treaties/agreement-establishing-african-continental-free-trade-area</w:t>
      </w:r>
    </w:p>
    <w:p>
      <w:pPr>
        <w:pStyle w:val="BodyText"/>
        <w:spacing w:line="480" w:lineRule="exact" w:after="0"/>
      </w:pPr>
      <w:r>
        <w:rPr>
          <w:rFonts w:ascii="Times New Roman" w:hAnsi="Times New Roman"/>
          <w:sz w:val="24"/>
        </w:rPr>
        <w:t xml:space="preserve">Edmond, C. (2024, December 13). Geopolitics and trade policy are becoming intertwined.</w:t>
      </w:r>
      <w:r>
        <w:rPr>
          <w:rFonts w:ascii="Times New Roman" w:hAnsi="Times New Roman"/>
          <w:sz w:val="24"/>
        </w:rPr>
        <w:t xml:space="preserve"> </w:t>
      </w:r>
      <w:r>
        <w:rPr>
          <w:rFonts w:ascii="Times New Roman" w:hAnsi="Times New Roman"/>
          <w:i/>
          <w:iCs/>
          <w:sz w:val="24"/>
        </w:rPr>
        <w:t xml:space="preserve">World Economic Forum</w:t>
      </w:r>
      <w:r>
        <w:rPr>
          <w:rFonts w:ascii="Times New Roman" w:hAnsi="Times New Roman"/>
          <w:sz w:val="24"/>
        </w:rPr>
        <w:t xml:space="preserve">. https://www.weforum.org/stories/2024/12/global-trade-geopolitics-uncertainty-economic-policy/</w:t>
      </w:r>
    </w:p>
    <w:p>
      <w:pPr>
        <w:pStyle w:val="BodyText"/>
        <w:spacing w:line="480" w:lineRule="exact" w:after="0"/>
      </w:pPr>
      <w:r>
        <w:rPr>
          <w:rFonts w:ascii="Times New Roman" w:hAnsi="Times New Roman"/>
          <w:sz w:val="24"/>
        </w:rPr>
        <w:t xml:space="preserve">Greenlaw, S., Shapiro, D., &amp; MacDonald, D. (2022).</w:t>
      </w:r>
      <w:r>
        <w:rPr>
          <w:rFonts w:ascii="Times New Roman" w:hAnsi="Times New Roman"/>
          <w:sz w:val="24"/>
        </w:rPr>
        <w:t xml:space="preserve"> </w:t>
      </w:r>
      <w:r>
        <w:rPr>
          <w:rFonts w:ascii="Times New Roman" w:hAnsi="Times New Roman"/>
          <w:i/>
          <w:iCs/>
          <w:sz w:val="24"/>
        </w:rPr>
        <w:t xml:space="preserve">Principles of economics</w:t>
      </w:r>
      <w:r>
        <w:rPr>
          <w:rFonts w:ascii="Times New Roman" w:hAnsi="Times New Roman"/>
          <w:sz w:val="24"/>
        </w:rPr>
        <w:t xml:space="preserve"> </w:t>
      </w:r>
      <w:r>
        <w:rPr>
          <w:rFonts w:ascii="Times New Roman" w:hAnsi="Times New Roman"/>
          <w:sz w:val="24"/>
        </w:rPr>
        <w:t xml:space="preserve">(3rd ed.). OpenStax. https://openstax.org/books/principles-economics-3e/pages/1-introduction</w:t>
      </w:r>
    </w:p>
    <w:p>
      <w:pPr>
        <w:pStyle w:val="BodyText"/>
        <w:spacing w:line="480" w:lineRule="exact" w:after="0"/>
      </w:pPr>
      <w:r>
        <w:rPr>
          <w:rFonts w:ascii="Times New Roman" w:hAnsi="Times New Roman"/>
          <w:sz w:val="24"/>
        </w:rPr>
        <w:t xml:space="preserve">Shapiro, D., MacDonald, D., Greenlaw, S. A., Dodge, E., Gamez, C., Jauregui, A., Keenan, D., Moledina, A., Richardson, C., &amp; Sonenshine, R. (2023).</w:t>
      </w:r>
      <w:r>
        <w:rPr>
          <w:rFonts w:ascii="Times New Roman" w:hAnsi="Times New Roman"/>
          <w:sz w:val="24"/>
        </w:rPr>
        <w:t xml:space="preserve"> </w:t>
      </w:r>
      <w:r>
        <w:rPr>
          <w:rFonts w:ascii="Times New Roman" w:hAnsi="Times New Roman"/>
          <w:i/>
          <w:iCs/>
          <w:sz w:val="24"/>
        </w:rPr>
        <w:t xml:space="preserve">Principles of macroeconomics</w:t>
      </w:r>
      <w:r>
        <w:rPr>
          <w:rFonts w:ascii="Times New Roman" w:hAnsi="Times New Roman"/>
          <w:sz w:val="24"/>
        </w:rPr>
        <w:t xml:space="preserve"> </w:t>
      </w:r>
      <w:r>
        <w:rPr>
          <w:rFonts w:ascii="Times New Roman" w:hAnsi="Times New Roman"/>
          <w:sz w:val="24"/>
        </w:rPr>
        <w:t xml:space="preserve">(3rd ed.). OpenStax. https://openstax.org/details/books/principles-macroeconomics-3e</w:t>
      </w:r>
    </w:p>
    <w:p>
      <w:pPr>
        <w:pStyle w:val="BodyText"/>
        <w:spacing w:line="480" w:lineRule="exact" w:after="0"/>
      </w:pPr>
      <w:r>
        <w:rPr>
          <w:rFonts w:ascii="Times New Roman" w:hAnsi="Times New Roman"/>
          <w:sz w:val="24"/>
        </w:rPr>
        <w:t xml:space="preserve">World Bank Group. (2025).</w:t>
      </w:r>
      <w:r>
        <w:rPr>
          <w:rFonts w:ascii="Times New Roman" w:hAnsi="Times New Roman"/>
          <w:sz w:val="24"/>
        </w:rPr>
        <w:t xml:space="preserve"> </w:t>
      </w:r>
      <w:r>
        <w:rPr>
          <w:rFonts w:ascii="Times New Roman" w:hAnsi="Times New Roman"/>
          <w:i/>
          <w:iCs/>
          <w:sz w:val="24"/>
        </w:rPr>
        <w:t xml:space="preserve">Global economic prospects: Chapter 1</w:t>
      </w:r>
      <w:r>
        <w:rPr>
          <w:rFonts w:ascii="Times New Roman" w:hAnsi="Times New Roman"/>
          <w:sz w:val="24"/>
        </w:rPr>
        <w:t xml:space="preserve">. World Bank Publications. https://doi.org/10.1596/978-1-4648-2147-9</w:t>
      </w:r>
    </w:p>
    <w:bookmarkEnd w:id="14"/>
    <w:bookmarkEnd w:id="15"/>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2026-04-12T09:51:28Z</dcterms:created>
  <dcterms:modified xsi:type="dcterms:W3CDTF">2026-04-12T09:51:28Z</dcterms:modified>
</cp:coreProperties>
</file>

<file path=docProps/custom.xml><?xml version="1.0" encoding="utf-8"?>
<Properties xmlns="http://schemas.openxmlformats.org/officeDocument/2006/custom-properties" xmlns:vt="http://schemas.openxmlformats.org/officeDocument/2006/docPropsVTypes"/>
</file>