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con-1580-unit-1-discussion-assignment"/>
    <w:p>
      <w:pPr>
        <w:pStyle w:val="Heading1"/>
        <w:spacing w:line="480" w:lineRule="exact" w:after="0"/>
      </w:pPr>
      <w:r>
        <w:rPr>
          <w:rFonts w:ascii="Times New Roman" w:hAnsi="Times New Roman"/>
          <w:sz w:val="24"/>
        </w:rPr>
        <w:t xml:space="preserve">ECON 1580 — Unit 1 Discussion Assignment</w:t>
      </w:r>
    </w:p>
    <w:bookmarkStart w:id="9" w:name="X36fdc0aaa4c4ebd81bf0dcee40d73cbb9e8edb3"/>
    <w:p>
      <w:pPr>
        <w:pStyle w:val="Heading2"/>
        <w:spacing w:line="480" w:lineRule="exact" w:after="0"/>
      </w:pPr>
      <w:r>
        <w:rPr>
          <w:rFonts w:ascii="Times New Roman" w:hAnsi="Times New Roman"/>
          <w:sz w:val="24"/>
        </w:rPr>
        <w:t xml:space="preserve">Public and Private Sector Interdependence</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ECON 1580 — Applied Economics: Theory and Practice</w:t>
      </w:r>
      <w:r>
        <w:rPr>
          <w:rFonts w:ascii="Times New Roman" w:hAnsi="Times New Roman"/>
          <w:sz w:val="24"/>
        </w:rPr>
        <w:t xml:space="preserve"> </w:t>
      </w:r>
      <w:r>
        <w:rPr>
          <w:rFonts w:ascii="Times New Roman" w:hAnsi="Times New Roman"/>
          <w:b/>
          <w:bCs/>
          <w:sz w:val="24"/>
        </w:rPr>
        <w:t xml:space="preserve">Word Count</w:t>
      </w:r>
      <w:r>
        <w:rPr>
          <w:rFonts w:ascii="Times New Roman" w:hAnsi="Times New Roman"/>
          <w:sz w:val="24"/>
        </w:rPr>
        <w:t xml:space="preserve">: 468</w:t>
      </w:r>
    </w:p>
    <w:p>
      <w:pPr>
        <w:spacing w:line="480" w:lineRule="exact" w:after="0"/>
      </w:pPr>
      <w:r>
        <w:rPr>
          <w:rFonts w:ascii="Times New Roman" w:hAnsi="Times New Roman"/>
          <w:sz w:val="24"/>
        </w:rPr>
        <w:pict>
          <v:rect style="width:0;height:1.5pt" o:hralign="center" o:hrstd="t" o:hr="t"/>
        </w:pict>
      </w:r>
    </w:p>
    <w:p>
      <w:pPr>
        <w:pStyle w:val="FirstParagraph"/>
        <w:spacing w:line="480" w:lineRule="exact" w:after="0"/>
      </w:pPr>
      <w:r>
        <w:rPr>
          <w:rFonts w:ascii="Times New Roman" w:hAnsi="Times New Roman"/>
          <w:sz w:val="24"/>
        </w:rPr>
        <w:t xml:space="preserve">In a market-driven economy, the public and private sectors are not competing forces — they are structurally interdependent. The public sector establishes the legal and regulatory environment, funds public goods, and corrects market failures that the private sector cannot or will not address on its own. The private sector, in turn, drives production, innovation, and employment, generating the tax revenues that sustain public services. As Greenlaw et al. (2022) explain, most modern economies are mixed systems that deliberately combine market mechanisms with government intervention to balance efficiency and social welfare (Section 1.4). Neither sector can deliver optimal economic outcomes in isolation.</w:t>
      </w:r>
    </w:p>
    <w:p>
      <w:pPr>
        <w:pStyle w:val="BodyText"/>
        <w:spacing w:line="480" w:lineRule="exact" w:after="0"/>
      </w:pPr>
      <w:r>
        <w:rPr>
          <w:rFonts w:ascii="Times New Roman" w:hAnsi="Times New Roman"/>
          <w:sz w:val="24"/>
        </w:rPr>
        <w:t xml:space="preserve">A concrete illustration of this interdependence is Kenya’s</w:t>
      </w:r>
      <w:r>
        <w:rPr>
          <w:rFonts w:ascii="Times New Roman" w:hAnsi="Times New Roman"/>
          <w:sz w:val="24"/>
        </w:rPr>
        <w:t xml:space="preserve"> </w:t>
      </w:r>
      <w:r>
        <w:rPr>
          <w:rFonts w:ascii="Times New Roman" w:hAnsi="Times New Roman"/>
          <w:b/>
          <w:bCs/>
          <w:sz w:val="24"/>
        </w:rPr>
        <w:t xml:space="preserve">Konza Technopolis</w:t>
      </w:r>
      <w:r>
        <w:rPr>
          <w:rFonts w:ascii="Times New Roman" w:hAnsi="Times New Roman"/>
          <w:sz w:val="24"/>
        </w:rPr>
        <w:t xml:space="preserve"> </w:t>
      </w:r>
      <w:r>
        <w:rPr>
          <w:rFonts w:ascii="Times New Roman" w:hAnsi="Times New Roman"/>
          <w:sz w:val="24"/>
        </w:rPr>
        <w:t xml:space="preserve">project — a government-initiated smart city development designed to establish Kenya as a regional hub for technology and business process outsourcing. The Kenyan government, through the Konza Technopolis Development Authority, provides the foundational public inputs: land allocation, roads, fiber optic backbone infrastructure, water systems, and a legal framework that guarantees investor protections and intellectual property rights. Private technology firms, real estate developers, and multinational corporations then invest in the zone, establishing data centers, software development companies, and BPO operations. This arrangement directly reflects the Hybrid Public-Private Partnership model analyzed by the World Bank (2024), in which government funding and concessional financing reduce investment risk, enabling private capital to flow into projects that would otherwise be financially unviable for the private sector alone.</w:t>
      </w:r>
    </w:p>
    <w:p>
      <w:pPr>
        <w:pStyle w:val="BodyText"/>
        <w:spacing w:line="480" w:lineRule="exact" w:after="0"/>
      </w:pPr>
      <w:r>
        <w:rPr>
          <w:rFonts w:ascii="Times New Roman" w:hAnsi="Times New Roman"/>
          <w:sz w:val="24"/>
        </w:rPr>
        <w:t xml:space="preserve">The economic impact of this interdependence operates across three dimensions. For</w:t>
      </w:r>
      <w:r>
        <w:rPr>
          <w:rFonts w:ascii="Times New Roman" w:hAnsi="Times New Roman"/>
          <w:sz w:val="24"/>
        </w:rPr>
        <w:t xml:space="preserve"> </w:t>
      </w:r>
      <w:r>
        <w:rPr>
          <w:rFonts w:ascii="Times New Roman" w:hAnsi="Times New Roman"/>
          <w:b/>
          <w:bCs/>
          <w:sz w:val="24"/>
        </w:rPr>
        <w:t xml:space="preserve">businesses</w:t>
      </w:r>
      <w:r>
        <w:rPr>
          <w:rFonts w:ascii="Times New Roman" w:hAnsi="Times New Roman"/>
          <w:sz w:val="24"/>
        </w:rPr>
        <w:t xml:space="preserve">, the government’s infrastructure investment lowers operating costs and provides the legal certainty necessary to commit long-term capital. Without the public sector’s foundational role, private firms would face prohibitive costs in building their own infrastructure and navigating an uncertain regulatory environment. For</w:t>
      </w:r>
      <w:r>
        <w:rPr>
          <w:rFonts w:ascii="Times New Roman" w:hAnsi="Times New Roman"/>
          <w:sz w:val="24"/>
        </w:rPr>
        <w:t xml:space="preserve"> </w:t>
      </w:r>
      <w:r>
        <w:rPr>
          <w:rFonts w:ascii="Times New Roman" w:hAnsi="Times New Roman"/>
          <w:b/>
          <w:bCs/>
          <w:sz w:val="24"/>
        </w:rPr>
        <w:t xml:space="preserve">consumers</w:t>
      </w:r>
      <w:r>
        <w:rPr>
          <w:rFonts w:ascii="Times New Roman" w:hAnsi="Times New Roman"/>
          <w:sz w:val="24"/>
        </w:rPr>
        <w:t xml:space="preserve">, the project generates employment, expands access to affordable digital services, and stimulates market competition in the technology sector, which exerts downward pressure on prices and raises service quality. For</w:t>
      </w:r>
      <w:r>
        <w:rPr>
          <w:rFonts w:ascii="Times New Roman" w:hAnsi="Times New Roman"/>
          <w:sz w:val="24"/>
        </w:rPr>
        <w:t xml:space="preserve"> </w:t>
      </w:r>
      <w:r>
        <w:rPr>
          <w:rFonts w:ascii="Times New Roman" w:hAnsi="Times New Roman"/>
          <w:b/>
          <w:bCs/>
          <w:sz w:val="24"/>
        </w:rPr>
        <w:t xml:space="preserve">overall economic stability</w:t>
      </w:r>
      <w:r>
        <w:rPr>
          <w:rFonts w:ascii="Times New Roman" w:hAnsi="Times New Roman"/>
          <w:sz w:val="24"/>
        </w:rPr>
        <w:t xml:space="preserve">, Konza diversifies Kenya’s economy beyond its traditional dependence on agriculture and tourism, strengthens foreign exchange earnings through technology service exports, and builds the human capital base that sustains long-term productivity growth.</w:t>
      </w:r>
    </w:p>
    <w:p>
      <w:pPr>
        <w:pStyle w:val="BodyText"/>
        <w:spacing w:line="480" w:lineRule="exact" w:after="0"/>
      </w:pPr>
      <w:r>
        <w:rPr>
          <w:rFonts w:ascii="Times New Roman" w:hAnsi="Times New Roman"/>
          <w:sz w:val="24"/>
        </w:rPr>
        <w:t xml:space="preserve">This example also illustrates a principle that Greenlaw et al. (2022) capture in the circular flow model: government, households, businesses, and the foreign sector are all interconnected nodes in the economy, with each sector’s decisions creating ripple effects across the others (Section 1.3). When public investment crowds in private capital — rather than displacing it — the multiplier effect on economic activity is substantial. Edmond (2024) reinforces this point by noting that in today’s geopolitically fragmented trade environment, governments that strategically partner with the private sector to build domestic productive capacity are better positioned to maintain economic resilience and competitiveness.</w:t>
      </w:r>
    </w:p>
    <w:p>
      <w:pPr>
        <w:pStyle w:val="BodyText"/>
        <w:spacing w:line="480" w:lineRule="exact" w:after="0"/>
      </w:pPr>
      <w:r>
        <w:rPr>
          <w:rFonts w:ascii="Times New Roman" w:hAnsi="Times New Roman"/>
          <w:sz w:val="24"/>
        </w:rPr>
        <w:t xml:space="preserve">The Konza case demonstrates that the most effective economic outcomes emerge not when government and business operate independently, but when their respective strengths are deliberately combined.</w:t>
      </w:r>
    </w:p>
    <w:p>
      <w:pPr>
        <w:spacing w:line="480" w:lineRule="exact" w:after="0"/>
      </w:pPr>
      <w:r>
        <w:rPr>
          <w:rFonts w:ascii="Times New Roman" w:hAnsi="Times New Roman"/>
          <w:sz w:val="24"/>
        </w:rPr>
        <w:pict>
          <v:rect style="width:0;height:1.5pt" o:hralign="center" o:hrstd="t" o:hr="t"/>
        </w:pict>
      </w:r>
    </w:p>
    <w:bookmarkEnd w:id="9"/>
    <w:bookmarkStart w:id="10"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Edmond, C. (2024, December 13). Geopolitics and trade policy are becoming intertwined.</w:t>
      </w:r>
      <w:r>
        <w:rPr>
          <w:rFonts w:ascii="Times New Roman" w:hAnsi="Times New Roman"/>
          <w:sz w:val="24"/>
        </w:rPr>
        <w:t xml:space="preserve"> </w:t>
      </w:r>
      <w:r>
        <w:rPr>
          <w:rFonts w:ascii="Times New Roman" w:hAnsi="Times New Roman"/>
          <w:i/>
          <w:iCs/>
          <w:sz w:val="24"/>
        </w:rPr>
        <w:t xml:space="preserve">World Economic Forum</w:t>
      </w:r>
      <w:r>
        <w:rPr>
          <w:rFonts w:ascii="Times New Roman" w:hAnsi="Times New Roman"/>
          <w:sz w:val="24"/>
        </w:rPr>
        <w:t xml:space="preserve">. https://www.weforum.org/stories/2024/12/global-trade-geopolitics-uncertainty-economic-policy/</w:t>
      </w:r>
    </w:p>
    <w:p>
      <w:pPr>
        <w:pStyle w:val="BodyText"/>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World Bank. (2024, October 14). Understanding hybrid public-private partnerships: A model for delivering infrastructure. https://www.worldbank.org/en/topic/sustainableinfrastructurefinance/brief/understanding-hybrid-public-private-partnerships-a-model-for-delivering-infrastructure</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2026-04-12T09:51:27Z</dcterms:created>
  <dcterms:modified xsi:type="dcterms:W3CDTF">2026-04-12T09:51:27Z</dcterms:modified>
</cp:coreProperties>
</file>

<file path=docProps/custom.xml><?xml version="1.0" encoding="utf-8"?>
<Properties xmlns="http://schemas.openxmlformats.org/officeDocument/2006/custom-properties" xmlns:vt="http://schemas.openxmlformats.org/officeDocument/2006/docPropsVTypes"/>
</file>