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econ-1580-unit-1-assignment-activity"/>
    <w:p>
      <w:pPr>
        <w:pStyle w:val="Heading1"/>
        <w:spacing w:line="480" w:lineRule="exact" w:after="0"/>
      </w:pPr>
      <w:r>
        <w:rPr>
          <w:rFonts w:ascii="Times New Roman" w:hAnsi="Times New Roman"/>
          <w:sz w:val="24"/>
        </w:rPr>
        <w:t xml:space="preserve">ECON 1580 — Unit 1 Assignment Activity</w:t>
      </w:r>
    </w:p>
    <w:bookmarkStart w:id="9" w:name="X6f9cb90ae14cb81f8fa96e04545285998606bd6"/>
    <w:p>
      <w:pPr>
        <w:pStyle w:val="Heading2"/>
        <w:spacing w:line="480" w:lineRule="exact" w:after="0"/>
      </w:pPr>
      <w:r>
        <w:rPr>
          <w:rFonts w:ascii="Times New Roman" w:hAnsi="Times New Roman"/>
          <w:sz w:val="24"/>
        </w:rPr>
        <w:t xml:space="preserve">A Nation’s Economic System and Global Economic Policies: Kenya</w:t>
      </w:r>
    </w:p>
    <w:p>
      <w:pPr>
        <w:pStyle w:val="FirstParagraph"/>
        <w:spacing w:line="480" w:lineRule="exact" w:after="0"/>
      </w:pPr>
      <w:r>
        <w:rPr>
          <w:rFonts w:ascii="Times New Roman" w:hAnsi="Times New Roman"/>
          <w:b/>
          <w:bCs/>
          <w:sz w:val="24"/>
        </w:rPr>
        <w:t xml:space="preserve">Student</w:t>
      </w:r>
      <w:r>
        <w:rPr>
          <w:rFonts w:ascii="Times New Roman" w:hAnsi="Times New Roman"/>
          <w:sz w:val="24"/>
        </w:rPr>
        <w:t xml:space="preserve">: Nicanor Kyamba</w:t>
      </w:r>
      <w:r>
        <w:rPr>
          <w:rFonts w:ascii="Times New Roman" w:hAnsi="Times New Roman"/>
          <w:sz w:val="24"/>
        </w:rPr>
        <w:t xml:space="preserve"> </w:t>
      </w:r>
      <w:r>
        <w:rPr>
          <w:rFonts w:ascii="Times New Roman" w:hAnsi="Times New Roman"/>
          <w:b/>
          <w:bCs/>
          <w:sz w:val="24"/>
        </w:rPr>
        <w:t xml:space="preserve">Course</w:t>
      </w:r>
      <w:r>
        <w:rPr>
          <w:rFonts w:ascii="Times New Roman" w:hAnsi="Times New Roman"/>
          <w:sz w:val="24"/>
        </w:rPr>
        <w:t xml:space="preserve">: ECON 1580 — Applied Economics: Theory and Practice</w:t>
      </w:r>
      <w:r>
        <w:rPr>
          <w:rFonts w:ascii="Times New Roman" w:hAnsi="Times New Roman"/>
          <w:sz w:val="24"/>
        </w:rPr>
        <w:t xml:space="preserve"> </w:t>
      </w:r>
      <w:r>
        <w:rPr>
          <w:rFonts w:ascii="Times New Roman" w:hAnsi="Times New Roman"/>
          <w:b/>
          <w:bCs/>
          <w:sz w:val="24"/>
        </w:rPr>
        <w:t xml:space="preserve">Unit</w:t>
      </w:r>
      <w:r>
        <w:rPr>
          <w:rFonts w:ascii="Times New Roman" w:hAnsi="Times New Roman"/>
          <w:sz w:val="24"/>
        </w:rPr>
        <w:t xml:space="preserve">: 1 — Economic Systems and Global Policy Impacts</w:t>
      </w:r>
    </w:p>
    <w:p>
      <w:pPr>
        <w:spacing w:line="480" w:lineRule="exact" w:after="0"/>
      </w:pPr>
      <w:r>
        <w:rPr>
          <w:rFonts w:ascii="Times New Roman" w:hAnsi="Times New Roman"/>
          <w:sz w:val="24"/>
        </w:rPr>
        <w:pict>
          <v:rect style="width:0;height:1.5pt" o:hralign="center" o:hrstd="t" o:hr="t"/>
        </w:pict>
      </w:r>
    </w:p>
    <w:bookmarkEnd w:id="9"/>
    <w:bookmarkStart w:id="10" w:name="introduction"/>
    <w:p>
      <w:pPr>
        <w:pStyle w:val="Heading2"/>
        <w:spacing w:line="480" w:lineRule="exact" w:after="0"/>
      </w:pPr>
      <w:r>
        <w:rPr>
          <w:rFonts w:ascii="Times New Roman" w:hAnsi="Times New Roman"/>
          <w:sz w:val="24"/>
        </w:rPr>
        <w:t xml:space="preserve">Introduction</w:t>
      </w:r>
    </w:p>
    <w:p>
      <w:pPr>
        <w:pStyle w:val="FirstParagraph"/>
        <w:spacing w:line="480" w:lineRule="exact" w:after="0"/>
      </w:pPr>
      <w:r>
        <w:rPr>
          <w:rFonts w:ascii="Times New Roman" w:hAnsi="Times New Roman"/>
          <w:sz w:val="24"/>
        </w:rPr>
        <w:t xml:space="preserve">Kenya, located in East Africa, offers a rich case study for understanding how economic systems function in a developing market context. As one of the continent’s most dynamic economies, Kenya operates a mixed economic system that blends market-driven mechanisms with significant government intervention. This paper examines Kenya’s economic system, how it organizes resources and manages production, and the impact of the African Continental Free Trade Area (AfCFTA) agreement as a defining global economic policy shaping Kenya’s trade, development, and financial stability.</w:t>
      </w:r>
    </w:p>
    <w:p>
      <w:pPr>
        <w:spacing w:line="480" w:lineRule="exact" w:after="0"/>
      </w:pPr>
      <w:r>
        <w:rPr>
          <w:rFonts w:ascii="Times New Roman" w:hAnsi="Times New Roman"/>
          <w:sz w:val="24"/>
        </w:rPr>
        <w:pict>
          <v:rect style="width:0;height:1.5pt" o:hralign="center" o:hrstd="t" o:hr="t"/>
        </w:pict>
      </w:r>
    </w:p>
    <w:bookmarkEnd w:id="10"/>
    <w:bookmarkStart w:id="11" w:name="X9bc4653e09dfde1b54eac3b60e8806666fc16fd"/>
    <w:p>
      <w:pPr>
        <w:pStyle w:val="Heading2"/>
        <w:spacing w:line="480" w:lineRule="exact" w:after="0"/>
      </w:pPr>
      <w:r>
        <w:rPr>
          <w:rFonts w:ascii="Times New Roman" w:hAnsi="Times New Roman"/>
          <w:sz w:val="24"/>
        </w:rPr>
        <w:t xml:space="preserve">Question 1: Kenya’s Economic System and Its Key Characteristics</w:t>
      </w:r>
    </w:p>
    <w:p>
      <w:pPr>
        <w:pStyle w:val="FirstParagraph"/>
        <w:spacing w:line="480" w:lineRule="exact" w:after="0"/>
      </w:pPr>
      <w:r>
        <w:rPr>
          <w:rFonts w:ascii="Times New Roman" w:hAnsi="Times New Roman"/>
          <w:sz w:val="24"/>
        </w:rPr>
        <w:t xml:space="preserve">Kenya operates a</w:t>
      </w:r>
      <w:r>
        <w:rPr>
          <w:rFonts w:ascii="Times New Roman" w:hAnsi="Times New Roman"/>
          <w:sz w:val="24"/>
        </w:rPr>
        <w:t xml:space="preserve"> </w:t>
      </w:r>
      <w:r>
        <w:rPr>
          <w:rFonts w:ascii="Times New Roman" w:hAnsi="Times New Roman"/>
          <w:b/>
          <w:bCs/>
          <w:sz w:val="24"/>
        </w:rPr>
        <w:t xml:space="preserve">mixed economy</w:t>
      </w:r>
      <w:r>
        <w:rPr>
          <w:rFonts w:ascii="Times New Roman" w:hAnsi="Times New Roman"/>
          <w:sz w:val="24"/>
        </w:rPr>
        <w:t xml:space="preserve"> </w:t>
      </w:r>
      <w:r>
        <w:rPr>
          <w:rFonts w:ascii="Times New Roman" w:hAnsi="Times New Roman"/>
          <w:sz w:val="24"/>
        </w:rPr>
        <w:t xml:space="preserve">— a system that combines elements of both market and command economies, allowing private enterprise to drive production while the government regulates markets, provides public goods, and intervenes to correct market failures (Greenlaw et al., 2022, Section 1.4). This system is codified in Kenya’s Constitution of 2010, which guarantees property rights and free enterprise while mandating government responsibility for equitable development and social welfare.</w:t>
      </w:r>
    </w:p>
    <w:p>
      <w:pPr>
        <w:pStyle w:val="BodyText"/>
        <w:spacing w:line="480" w:lineRule="exact" w:after="0"/>
      </w:pPr>
      <w:r>
        <w:rPr>
          <w:rFonts w:ascii="Times New Roman" w:hAnsi="Times New Roman"/>
          <w:sz w:val="24"/>
        </w:rPr>
        <w:t xml:space="preserve">The key characteristics of Kenya’s mixed economy include:</w:t>
      </w:r>
    </w:p>
    <w:p>
      <w:pPr>
        <w:pStyle w:val="Compact"/>
        <w:numPr>
          <w:ilvl w:val="0"/>
          <w:numId w:val="1001"/>
        </w:numPr>
        <w:spacing w:line="480" w:lineRule="exact" w:after="0"/>
      </w:pPr>
      <w:r>
        <w:rPr>
          <w:rFonts w:ascii="Times New Roman" w:hAnsi="Times New Roman"/>
          <w:b/>
          <w:bCs/>
          <w:sz w:val="24"/>
        </w:rPr>
        <w:t xml:space="preserve">Private sector dominance in production</w:t>
      </w:r>
      <w:r>
        <w:rPr>
          <w:rFonts w:ascii="Times New Roman" w:hAnsi="Times New Roman"/>
          <w:sz w:val="24"/>
        </w:rPr>
        <w:t xml:space="preserve">: Agriculture, manufacturing, telecommunications, and financial services are largely privately owned and market-driven. Companies like Safaricom, Equity Bank, and Kenya Airways operate competitively in their respective markets.</w:t>
      </w:r>
    </w:p>
    <w:p>
      <w:pPr>
        <w:pStyle w:val="Compact"/>
        <w:numPr>
          <w:ilvl w:val="0"/>
          <w:numId w:val="1001"/>
        </w:numPr>
        <w:spacing w:line="480" w:lineRule="exact" w:after="0"/>
      </w:pPr>
      <w:r>
        <w:rPr>
          <w:rFonts w:ascii="Times New Roman" w:hAnsi="Times New Roman"/>
          <w:b/>
          <w:bCs/>
          <w:sz w:val="24"/>
        </w:rPr>
        <w:t xml:space="preserve">Government regulation and public enterprise</w:t>
      </w:r>
      <w:r>
        <w:rPr>
          <w:rFonts w:ascii="Times New Roman" w:hAnsi="Times New Roman"/>
          <w:sz w:val="24"/>
        </w:rPr>
        <w:t xml:space="preserve">: The government regulates key sectors through bodies such as the Communications Authority of Kenya and the Energy and Petroleum Regulatory Authority. State-owned enterprises operate in strategic sectors including energy (Kenya Power) and infrastructure (Kenya Railways).</w:t>
      </w:r>
    </w:p>
    <w:p>
      <w:pPr>
        <w:pStyle w:val="Compact"/>
        <w:numPr>
          <w:ilvl w:val="0"/>
          <w:numId w:val="1001"/>
        </w:numPr>
        <w:spacing w:line="480" w:lineRule="exact" w:after="0"/>
      </w:pPr>
      <w:r>
        <w:rPr>
          <w:rFonts w:ascii="Times New Roman" w:hAnsi="Times New Roman"/>
          <w:b/>
          <w:bCs/>
          <w:sz w:val="24"/>
        </w:rPr>
        <w:t xml:space="preserve">Social welfare provisions</w:t>
      </w:r>
      <w:r>
        <w:rPr>
          <w:rFonts w:ascii="Times New Roman" w:hAnsi="Times New Roman"/>
          <w:sz w:val="24"/>
        </w:rPr>
        <w:t xml:space="preserve">: The government funds public education, healthcare, and infrastructure, redistributing resources to address inequality and provide services the market would underprovide.</w:t>
      </w:r>
    </w:p>
    <w:p>
      <w:pPr>
        <w:pStyle w:val="Compact"/>
        <w:numPr>
          <w:ilvl w:val="0"/>
          <w:numId w:val="1001"/>
        </w:numPr>
        <w:spacing w:line="480" w:lineRule="exact" w:after="0"/>
      </w:pPr>
      <w:r>
        <w:rPr>
          <w:rFonts w:ascii="Times New Roman" w:hAnsi="Times New Roman"/>
          <w:b/>
          <w:bCs/>
          <w:sz w:val="24"/>
        </w:rPr>
        <w:t xml:space="preserve">Price mechanism</w:t>
      </w:r>
      <w:r>
        <w:rPr>
          <w:rFonts w:ascii="Times New Roman" w:hAnsi="Times New Roman"/>
          <w:sz w:val="24"/>
        </w:rPr>
        <w:t xml:space="preserve">: Prices for most goods and services are determined by supply and demand, with the exception of regulated utilities and fuel, where the government sets price caps to protect consumers.</w:t>
      </w:r>
    </w:p>
    <w:p>
      <w:pPr>
        <w:pStyle w:val="FirstParagraph"/>
        <w:spacing w:line="480" w:lineRule="exact" w:after="0"/>
      </w:pPr>
      <w:r>
        <w:rPr>
          <w:rFonts w:ascii="Times New Roman" w:hAnsi="Times New Roman"/>
          <w:sz w:val="24"/>
        </w:rPr>
        <w:t xml:space="preserve">This mixed approach reflects what Greenlaw et al. (2022) describe as the attempt to</w:t>
      </w:r>
      <w:r>
        <w:rPr>
          <w:rFonts w:ascii="Times New Roman" w:hAnsi="Times New Roman"/>
          <w:sz w:val="24"/>
        </w:rPr>
        <w:t xml:space="preserve"> </w:t>
      </w:r>
      <w:r>
        <w:rPr>
          <w:rFonts w:ascii="Times New Roman" w:hAnsi="Times New Roman"/>
          <w:sz w:val="24"/>
        </w:rPr>
        <w:t xml:space="preserve">“combine the best aspects”</w:t>
      </w:r>
      <w:r>
        <w:rPr>
          <w:rFonts w:ascii="Times New Roman" w:hAnsi="Times New Roman"/>
          <w:sz w:val="24"/>
        </w:rPr>
        <w:t xml:space="preserve"> </w:t>
      </w:r>
      <w:r>
        <w:rPr>
          <w:rFonts w:ascii="Times New Roman" w:hAnsi="Times New Roman"/>
          <w:sz w:val="24"/>
        </w:rPr>
        <w:t xml:space="preserve">of market and command systems — harnessing private sector efficiency while using government intervention to address inequality and market failures (Section 1.4).</w:t>
      </w:r>
    </w:p>
    <w:p>
      <w:pPr>
        <w:spacing w:line="480" w:lineRule="exact" w:after="0"/>
      </w:pPr>
      <w:r>
        <w:rPr>
          <w:rFonts w:ascii="Times New Roman" w:hAnsi="Times New Roman"/>
          <w:sz w:val="24"/>
        </w:rPr>
        <w:pict>
          <v:rect style="width:0;height:1.5pt" o:hralign="center" o:hrstd="t" o:hr="t"/>
        </w:pict>
      </w:r>
    </w:p>
    <w:bookmarkEnd w:id="11"/>
    <w:bookmarkStart w:id="12" w:name="X36a3f8dbead1e90c47b1796b078c03897bfdcae"/>
    <w:p>
      <w:pPr>
        <w:pStyle w:val="Heading2"/>
        <w:spacing w:line="480" w:lineRule="exact" w:after="0"/>
      </w:pPr>
      <w:r>
        <w:rPr>
          <w:rFonts w:ascii="Times New Roman" w:hAnsi="Times New Roman"/>
          <w:sz w:val="24"/>
        </w:rPr>
        <w:t xml:space="preserve">Question 2: Resource Organization and Production Management</w:t>
      </w:r>
    </w:p>
    <w:p>
      <w:pPr>
        <w:pStyle w:val="FirstParagraph"/>
        <w:spacing w:line="480" w:lineRule="exact" w:after="0"/>
      </w:pPr>
      <w:r>
        <w:rPr>
          <w:rFonts w:ascii="Times New Roman" w:hAnsi="Times New Roman"/>
          <w:sz w:val="24"/>
        </w:rPr>
        <w:t xml:space="preserve">Kenya’s economic system organizes its three primary factors of production —</w:t>
      </w:r>
      <w:r>
        <w:rPr>
          <w:rFonts w:ascii="Times New Roman" w:hAnsi="Times New Roman"/>
          <w:sz w:val="24"/>
        </w:rPr>
        <w:t xml:space="preserve"> </w:t>
      </w:r>
      <w:r>
        <w:rPr>
          <w:rFonts w:ascii="Times New Roman" w:hAnsi="Times New Roman"/>
          <w:b/>
          <w:bCs/>
          <w:sz w:val="24"/>
        </w:rPr>
        <w:t xml:space="preserve">labor, capital, and land</w:t>
      </w:r>
      <w:r>
        <w:rPr>
          <w:rFonts w:ascii="Times New Roman" w:hAnsi="Times New Roman"/>
          <w:sz w:val="24"/>
        </w:rPr>
        <w:t xml:space="preserve"> </w:t>
      </w:r>
      <w:r>
        <w:rPr>
          <w:rFonts w:ascii="Times New Roman" w:hAnsi="Times New Roman"/>
          <w:sz w:val="24"/>
        </w:rPr>
        <w:t xml:space="preserve">— through a combination of market allocation and government direction.</w:t>
      </w:r>
    </w:p>
    <w:p>
      <w:pPr>
        <w:pStyle w:val="BodyText"/>
        <w:spacing w:line="480" w:lineRule="exact" w:after="0"/>
      </w:pPr>
      <w:r>
        <w:rPr>
          <w:rFonts w:ascii="Times New Roman" w:hAnsi="Times New Roman"/>
          <w:b/>
          <w:bCs/>
          <w:sz w:val="24"/>
        </w:rPr>
        <w:t xml:space="preserve">Labor</w:t>
      </w:r>
      <w:r>
        <w:rPr>
          <w:rFonts w:ascii="Times New Roman" w:hAnsi="Times New Roman"/>
          <w:sz w:val="24"/>
        </w:rPr>
        <w:t xml:space="preserve"> </w:t>
      </w:r>
      <w:r>
        <w:rPr>
          <w:rFonts w:ascii="Times New Roman" w:hAnsi="Times New Roman"/>
          <w:sz w:val="24"/>
        </w:rPr>
        <w:t xml:space="preserve">is the most abundant resource in Kenya, with a young and growing population. The private sector is the primary employer, particularly in agriculture, which employs approximately 40% of the formal workforce and accounts for 34% of GDP (World Bank Group, 2025). The government manages labor through minimum wage legislation, labor laws, and public sector employment. Consumers, as workers, supply their labor to firms in exchange for wages, which they then use to purchase goods and services — a dynamic captured in the circular flow model (Greenlaw et al., 2022, Section 1.3).</w:t>
      </w:r>
    </w:p>
    <w:p>
      <w:pPr>
        <w:pStyle w:val="BodyText"/>
        <w:spacing w:line="480" w:lineRule="exact" w:after="0"/>
      </w:pPr>
      <w:r>
        <w:rPr>
          <w:rFonts w:ascii="Times New Roman" w:hAnsi="Times New Roman"/>
          <w:b/>
          <w:bCs/>
          <w:sz w:val="24"/>
        </w:rPr>
        <w:t xml:space="preserve">Capital</w:t>
      </w:r>
      <w:r>
        <w:rPr>
          <w:rFonts w:ascii="Times New Roman" w:hAnsi="Times New Roman"/>
          <w:sz w:val="24"/>
        </w:rPr>
        <w:t xml:space="preserve"> </w:t>
      </w:r>
      <w:r>
        <w:rPr>
          <w:rFonts w:ascii="Times New Roman" w:hAnsi="Times New Roman"/>
          <w:sz w:val="24"/>
        </w:rPr>
        <w:t xml:space="preserve">is organized through both private investment and public expenditure. The Nairobi Securities Exchange facilitates private capital formation, allowing businesses to raise funds for expansion. The government channels public capital into infrastructure — roads, ports, and the Standard Gauge Railway — which reduces transportation costs for businesses and improves market access for producers in rural areas. The World Bank Group (2025) notes that infrastructure investment is critical for developing economies to unlock productivity gains and attract foreign direct investment.</w:t>
      </w:r>
    </w:p>
    <w:p>
      <w:pPr>
        <w:pStyle w:val="BodyText"/>
        <w:spacing w:line="480" w:lineRule="exact" w:after="0"/>
      </w:pPr>
      <w:r>
        <w:rPr>
          <w:rFonts w:ascii="Times New Roman" w:hAnsi="Times New Roman"/>
          <w:b/>
          <w:bCs/>
          <w:sz w:val="24"/>
        </w:rPr>
        <w:t xml:space="preserve">Land</w:t>
      </w:r>
      <w:r>
        <w:rPr>
          <w:rFonts w:ascii="Times New Roman" w:hAnsi="Times New Roman"/>
          <w:sz w:val="24"/>
        </w:rPr>
        <w:t xml:space="preserve"> </w:t>
      </w:r>
      <w:r>
        <w:rPr>
          <w:rFonts w:ascii="Times New Roman" w:hAnsi="Times New Roman"/>
          <w:sz w:val="24"/>
        </w:rPr>
        <w:t xml:space="preserve">is managed through a dual system: private land ownership for commercial agriculture and urban development, and community or government land for public use and conservation. Large-scale commercial farms produce tea, coffee, and horticulture for export, while smallholder farmers — supported by government extension services and subsidized inputs — produce food crops for domestic consumption.</w:t>
      </w:r>
    </w:p>
    <w:p>
      <w:pPr>
        <w:pStyle w:val="BodyText"/>
        <w:spacing w:line="480" w:lineRule="exact" w:after="0"/>
      </w:pPr>
      <w:r>
        <w:rPr>
          <w:rFonts w:ascii="Times New Roman" w:hAnsi="Times New Roman"/>
          <w:sz w:val="24"/>
        </w:rPr>
        <w:t xml:space="preserve">The interaction between government, businesses, and consumers in Kenya’s production system is therefore deeply integrated. The government creates the enabling environment through policy and infrastructure; businesses respond by investing and producing; consumers drive demand that signals what and how much to produce.</w:t>
      </w:r>
    </w:p>
    <w:p>
      <w:pPr>
        <w:spacing w:line="480" w:lineRule="exact" w:after="0"/>
      </w:pPr>
      <w:r>
        <w:rPr>
          <w:rFonts w:ascii="Times New Roman" w:hAnsi="Times New Roman"/>
          <w:sz w:val="24"/>
        </w:rPr>
        <w:pict>
          <v:rect style="width:0;height:1.5pt" o:hralign="center" o:hrstd="t" o:hr="t"/>
        </w:pict>
      </w:r>
    </w:p>
    <w:bookmarkEnd w:id="12"/>
    <w:bookmarkStart w:id="13" w:name="Xa959251d7c9c7b3bd5deb41f9f81f2385ad0ede"/>
    <w:p>
      <w:pPr>
        <w:pStyle w:val="Heading2"/>
        <w:spacing w:line="480" w:lineRule="exact" w:after="0"/>
      </w:pPr>
      <w:r>
        <w:rPr>
          <w:rFonts w:ascii="Times New Roman" w:hAnsi="Times New Roman"/>
          <w:sz w:val="24"/>
        </w:rPr>
        <w:t xml:space="preserve">Question 3: The African Continental Free Trade Area (AfCFTA) and Its Impact</w:t>
      </w:r>
    </w:p>
    <w:p>
      <w:pPr>
        <w:pStyle w:val="FirstParagraph"/>
        <w:spacing w:line="480" w:lineRule="exact" w:after="0"/>
      </w:pPr>
      <w:r>
        <w:rPr>
          <w:rFonts w:ascii="Times New Roman" w:hAnsi="Times New Roman"/>
          <w:sz w:val="24"/>
        </w:rPr>
        <w:t xml:space="preserve">The</w:t>
      </w:r>
      <w:r>
        <w:rPr>
          <w:rFonts w:ascii="Times New Roman" w:hAnsi="Times New Roman"/>
          <w:sz w:val="24"/>
        </w:rPr>
        <w:t xml:space="preserve"> </w:t>
      </w:r>
      <w:r>
        <w:rPr>
          <w:rFonts w:ascii="Times New Roman" w:hAnsi="Times New Roman"/>
          <w:b/>
          <w:bCs/>
          <w:sz w:val="24"/>
        </w:rPr>
        <w:t xml:space="preserve">African Continental Free Trade Area (AfCFTA)</w:t>
      </w:r>
      <w:r>
        <w:rPr>
          <w:rFonts w:ascii="Times New Roman" w:hAnsi="Times New Roman"/>
          <w:sz w:val="24"/>
        </w:rPr>
        <w:t xml:space="preserve">, which entered into force in 2021, is one of the most significant global economic policies affecting Kenya’s economic trajectory. AfCFTA aims to create a single continental market for goods and services among 54 African Union member states, eliminating tariffs on 90% of goods and progressively liberalizing trade in services and investment (Edmond, 2024).</w:t>
      </w:r>
    </w:p>
    <w:p>
      <w:pPr>
        <w:pStyle w:val="BodyText"/>
        <w:spacing w:line="480" w:lineRule="exact" w:after="0"/>
      </w:pPr>
      <w:r>
        <w:rPr>
          <w:rFonts w:ascii="Times New Roman" w:hAnsi="Times New Roman"/>
          <w:b/>
          <w:bCs/>
          <w:sz w:val="24"/>
        </w:rPr>
        <w:t xml:space="preserve">Impact on international trade</w:t>
      </w:r>
      <w:r>
        <w:rPr>
          <w:rFonts w:ascii="Times New Roman" w:hAnsi="Times New Roman"/>
          <w:sz w:val="24"/>
        </w:rPr>
        <w:t xml:space="preserve">: For Kenya, AfCFTA dramatically expands the potential market for its exports. Kenya’s manufactured goods, agricultural products, and services — particularly financial and digital services — can now access a continental market of over 1.4 billion people with reduced trade barriers. This is particularly significant for Kenya’s horticulture and tea sectors, which previously faced high tariffs in neighboring markets.</w:t>
      </w:r>
    </w:p>
    <w:p>
      <w:pPr>
        <w:pStyle w:val="BodyText"/>
        <w:spacing w:line="480" w:lineRule="exact" w:after="0"/>
      </w:pPr>
      <w:r>
        <w:rPr>
          <w:rFonts w:ascii="Times New Roman" w:hAnsi="Times New Roman"/>
          <w:b/>
          <w:bCs/>
          <w:sz w:val="24"/>
        </w:rPr>
        <w:t xml:space="preserve">Impact on development</w:t>
      </w:r>
      <w:r>
        <w:rPr>
          <w:rFonts w:ascii="Times New Roman" w:hAnsi="Times New Roman"/>
          <w:sz w:val="24"/>
        </w:rPr>
        <w:t xml:space="preserve">: AfCFTA incentivizes Kenya to move up the value chain — processing raw materials domestically rather than exporting them unprocessed. This drives industrialization, creates higher-skilled employment, and increases the value of Kenya’s exports. The agreement also encourages regional infrastructure investment to facilitate cross-border trade, which has multiplier effects on economic development (World Bank Group, 2025).</w:t>
      </w:r>
    </w:p>
    <w:p>
      <w:pPr>
        <w:pStyle w:val="BodyText"/>
        <w:spacing w:line="480" w:lineRule="exact" w:after="0"/>
      </w:pPr>
      <w:r>
        <w:rPr>
          <w:rFonts w:ascii="Times New Roman" w:hAnsi="Times New Roman"/>
          <w:b/>
          <w:bCs/>
          <w:sz w:val="24"/>
        </w:rPr>
        <w:t xml:space="preserve">Impact on financial stability</w:t>
      </w:r>
      <w:r>
        <w:rPr>
          <w:rFonts w:ascii="Times New Roman" w:hAnsi="Times New Roman"/>
          <w:sz w:val="24"/>
        </w:rPr>
        <w:t xml:space="preserve">: Increased export revenues diversify Kenya’s foreign exchange earnings, reducing dependence on a narrow range of commodity exports and improving the stability of the Kenyan shilling. However, AfCFTA also exposes Kenyan manufacturers to greater competition from more industrialized African economies, requiring firms to improve productivity and the government to invest in industrial policy to remain competitive.</w:t>
      </w:r>
    </w:p>
    <w:p>
      <w:pPr>
        <w:pStyle w:val="BodyText"/>
        <w:spacing w:line="480" w:lineRule="exact" w:after="0"/>
      </w:pPr>
      <w:r>
        <w:rPr>
          <w:rFonts w:ascii="Times New Roman" w:hAnsi="Times New Roman"/>
          <w:sz w:val="24"/>
        </w:rPr>
        <w:t xml:space="preserve">Edmond (2024) notes that trade policy is increasingly intertwined with geopolitics, and AfCFTA represents Africa’s strategic response — building intra-continental trade resilience against the fragmentation of global supply chains driven by U.S.-China tensions and protectionist policies elsewhere.</w:t>
      </w:r>
    </w:p>
    <w:p>
      <w:pPr>
        <w:spacing w:line="480" w:lineRule="exact" w:after="0"/>
      </w:pPr>
      <w:r>
        <w:rPr>
          <w:rFonts w:ascii="Times New Roman" w:hAnsi="Times New Roman"/>
          <w:sz w:val="24"/>
        </w:rPr>
        <w:pict>
          <v:rect style="width:0;height:1.5pt" o:hralign="center" o:hrstd="t" o:hr="t"/>
        </w:pict>
      </w:r>
    </w:p>
    <w:bookmarkEnd w:id="13"/>
    <w:bookmarkStart w:id="14" w:name="conclusion"/>
    <w:p>
      <w:pPr>
        <w:pStyle w:val="Heading2"/>
        <w:spacing w:line="480" w:lineRule="exact" w:after="0"/>
      </w:pPr>
      <w:r>
        <w:rPr>
          <w:rFonts w:ascii="Times New Roman" w:hAnsi="Times New Roman"/>
          <w:sz w:val="24"/>
        </w:rPr>
        <w:t xml:space="preserve">Conclusion</w:t>
      </w:r>
    </w:p>
    <w:p>
      <w:pPr>
        <w:pStyle w:val="FirstParagraph"/>
        <w:spacing w:line="480" w:lineRule="exact" w:after="0"/>
      </w:pPr>
      <w:r>
        <w:rPr>
          <w:rFonts w:ascii="Times New Roman" w:hAnsi="Times New Roman"/>
          <w:sz w:val="24"/>
        </w:rPr>
        <w:t xml:space="preserve">Kenya’s mixed economic system reflects a pragmatic approach to development — leveraging market efficiency while using government intervention to address inequality and build the infrastructure that private capital alone would not provide. The AfCFTA agreement amplifies Kenya’s economic potential by opening a continental market, driving industrialization, and strengthening financial stability, while also presenting competitive challenges that require continued policy investment. Together, Kenya’s domestic economic structure and its engagement with global trade policy illustrate how national and international economic forces are deeply interconnected in shaping development outcomes.</w:t>
      </w:r>
    </w:p>
    <w:p>
      <w:pPr>
        <w:spacing w:line="480" w:lineRule="exact" w:after="0"/>
      </w:pPr>
      <w:r>
        <w:rPr>
          <w:rFonts w:ascii="Times New Roman" w:hAnsi="Times New Roman"/>
          <w:sz w:val="24"/>
        </w:rPr>
        <w:pict>
          <v:rect style="width:0;height:1.5pt" o:hralign="center" o:hrstd="t" o:hr="t"/>
        </w:pict>
      </w:r>
    </w:p>
    <w:bookmarkEnd w:id="14"/>
    <w:bookmarkStart w:id="15" w:name="references"/>
    <w:p>
      <w:pPr>
        <w:pStyle w:val="Heading2"/>
        <w:spacing w:line="480" w:lineRule="exact" w:after="0"/>
      </w:pPr>
      <w:r>
        <w:rPr>
          <w:rFonts w:ascii="Times New Roman" w:hAnsi="Times New Roman"/>
          <w:sz w:val="24"/>
        </w:rPr>
        <w:t xml:space="preserve">References</w:t>
      </w:r>
    </w:p>
    <w:p>
      <w:pPr>
        <w:pStyle w:val="FirstParagraph"/>
        <w:spacing w:line="480" w:lineRule="exact" w:after="0"/>
      </w:pPr>
      <w:r>
        <w:rPr>
          <w:rFonts w:ascii="Times New Roman" w:hAnsi="Times New Roman"/>
          <w:sz w:val="24"/>
        </w:rPr>
        <w:t xml:space="preserve">Edmond, C. (2024, December 13). Geopolitics and trade policy are becoming intertwined.</w:t>
      </w:r>
      <w:r>
        <w:rPr>
          <w:rFonts w:ascii="Times New Roman" w:hAnsi="Times New Roman"/>
          <w:sz w:val="24"/>
        </w:rPr>
        <w:t xml:space="preserve"> </w:t>
      </w:r>
      <w:r>
        <w:rPr>
          <w:rFonts w:ascii="Times New Roman" w:hAnsi="Times New Roman"/>
          <w:i/>
          <w:iCs/>
          <w:sz w:val="24"/>
        </w:rPr>
        <w:t xml:space="preserve">World Economic Forum</w:t>
      </w:r>
      <w:r>
        <w:rPr>
          <w:rFonts w:ascii="Times New Roman" w:hAnsi="Times New Roman"/>
          <w:sz w:val="24"/>
        </w:rPr>
        <w:t xml:space="preserve">. https://www.weforum.org/stories/2024/12/global-trade-geopolitics-uncertainty-economic-policy/</w:t>
      </w:r>
    </w:p>
    <w:p>
      <w:pPr>
        <w:pStyle w:val="BodyText"/>
        <w:spacing w:line="480" w:lineRule="exact" w:after="0"/>
      </w:pPr>
      <w:r>
        <w:rPr>
          <w:rFonts w:ascii="Times New Roman" w:hAnsi="Times New Roman"/>
          <w:sz w:val="24"/>
        </w:rPr>
        <w:t xml:space="preserve">Greenlaw, S., Shapiro, D., &amp; MacDonald, D. (2022).</w:t>
      </w:r>
      <w:r>
        <w:rPr>
          <w:rFonts w:ascii="Times New Roman" w:hAnsi="Times New Roman"/>
          <w:sz w:val="24"/>
        </w:rPr>
        <w:t xml:space="preserve"> </w:t>
      </w:r>
      <w:r>
        <w:rPr>
          <w:rFonts w:ascii="Times New Roman" w:hAnsi="Times New Roman"/>
          <w:i/>
          <w:iCs/>
          <w:sz w:val="24"/>
        </w:rPr>
        <w:t xml:space="preserve">Principles of economics</w:t>
      </w:r>
      <w:r>
        <w:rPr>
          <w:rFonts w:ascii="Times New Roman" w:hAnsi="Times New Roman"/>
          <w:sz w:val="24"/>
        </w:rPr>
        <w:t xml:space="preserve"> </w:t>
      </w:r>
      <w:r>
        <w:rPr>
          <w:rFonts w:ascii="Times New Roman" w:hAnsi="Times New Roman"/>
          <w:sz w:val="24"/>
        </w:rPr>
        <w:t xml:space="preserve">(3rd ed.). OpenStax. https://openstax.org/books/principles-economics-3e/pages/1-introduction</w:t>
      </w:r>
    </w:p>
    <w:p>
      <w:pPr>
        <w:pStyle w:val="BodyText"/>
        <w:spacing w:line="480" w:lineRule="exact" w:after="0"/>
      </w:pPr>
      <w:r>
        <w:rPr>
          <w:rFonts w:ascii="Times New Roman" w:hAnsi="Times New Roman"/>
          <w:sz w:val="24"/>
        </w:rPr>
        <w:t xml:space="preserve">World Bank Group. (2025).</w:t>
      </w:r>
      <w:r>
        <w:rPr>
          <w:rFonts w:ascii="Times New Roman" w:hAnsi="Times New Roman"/>
          <w:sz w:val="24"/>
        </w:rPr>
        <w:t xml:space="preserve"> </w:t>
      </w:r>
      <w:r>
        <w:rPr>
          <w:rFonts w:ascii="Times New Roman" w:hAnsi="Times New Roman"/>
          <w:i/>
          <w:iCs/>
          <w:sz w:val="24"/>
        </w:rPr>
        <w:t xml:space="preserve">Global economic prospects: Chapter 1</w:t>
      </w:r>
      <w:r>
        <w:rPr>
          <w:rFonts w:ascii="Times New Roman" w:hAnsi="Times New Roman"/>
          <w:sz w:val="24"/>
        </w:rPr>
        <w:t xml:space="preserve">. World Bank Publications. https://doi.org/10.1596/978-1-4648-2147-9</w:t>
      </w:r>
    </w:p>
    <w:bookmarkEnd w:id="15"/>
    <w:bookmarkEnd w:id="16"/>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2026-04-12T09:38:55Z</dcterms:created>
  <dcterms:modified xsi:type="dcterms:W3CDTF">2026-04-12T09:38:55Z</dcterms:modified>
</cp:coreProperties>
</file>

<file path=docProps/custom.xml><?xml version="1.0" encoding="utf-8"?>
<Properties xmlns="http://schemas.openxmlformats.org/officeDocument/2006/custom-properties" xmlns:vt="http://schemas.openxmlformats.org/officeDocument/2006/docPropsVTypes"/>
</file>