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econ-1580-unit-1-discussion-assignment"/>
    <w:p>
      <w:pPr>
        <w:pStyle w:val="Heading1"/>
        <w:spacing w:line="480" w:lineRule="exact" w:after="0"/>
      </w:pPr>
      <w:r>
        <w:rPr>
          <w:rFonts w:ascii="Times New Roman" w:hAnsi="Times New Roman"/>
          <w:sz w:val="24"/>
        </w:rPr>
        <w:t xml:space="preserve">ECON 1580 — Unit 1 Discussion Assignment</w:t>
      </w:r>
    </w:p>
    <w:bookmarkStart w:id="9" w:name="X36fdc0aaa4c4ebd81bf0dcee40d73cbb9e8edb3"/>
    <w:p>
      <w:pPr>
        <w:pStyle w:val="Heading2"/>
        <w:spacing w:line="480" w:lineRule="exact" w:after="0"/>
      </w:pPr>
      <w:r>
        <w:rPr>
          <w:rFonts w:ascii="Times New Roman" w:hAnsi="Times New Roman"/>
          <w:sz w:val="24"/>
        </w:rPr>
        <w:t xml:space="preserve">Public and Private Sector Interdependence</w:t>
      </w:r>
    </w:p>
    <w:p>
      <w:pPr>
        <w:pStyle w:val="FirstParagraph"/>
        <w:spacing w:line="480" w:lineRule="exact" w:after="0"/>
      </w:pPr>
      <w:r>
        <w:rPr>
          <w:rFonts w:ascii="Times New Roman" w:hAnsi="Times New Roman"/>
          <w:b/>
          <w:bCs/>
          <w:sz w:val="24"/>
        </w:rPr>
        <w:t xml:space="preserve">Student</w:t>
      </w:r>
      <w:r>
        <w:rPr>
          <w:rFonts w:ascii="Times New Roman" w:hAnsi="Times New Roman"/>
          <w:sz w:val="24"/>
        </w:rPr>
        <w:t xml:space="preserve">: Nicanor Kyamba</w:t>
      </w:r>
      <w:r>
        <w:rPr>
          <w:rFonts w:ascii="Times New Roman" w:hAnsi="Times New Roman"/>
          <w:sz w:val="24"/>
        </w:rPr>
        <w:t xml:space="preserve"> </w:t>
      </w:r>
      <w:r>
        <w:rPr>
          <w:rFonts w:ascii="Times New Roman" w:hAnsi="Times New Roman"/>
          <w:b/>
          <w:bCs/>
          <w:sz w:val="24"/>
        </w:rPr>
        <w:t xml:space="preserve">Word Count</w:t>
      </w:r>
      <w:r>
        <w:rPr>
          <w:rFonts w:ascii="Times New Roman" w:hAnsi="Times New Roman"/>
          <w:sz w:val="24"/>
        </w:rPr>
        <w:t xml:space="preserve">: 420</w:t>
      </w:r>
    </w:p>
    <w:p>
      <w:pPr>
        <w:spacing w:line="480" w:lineRule="exact" w:after="0"/>
      </w:pPr>
      <w:r>
        <w:rPr>
          <w:rFonts w:ascii="Times New Roman" w:hAnsi="Times New Roman"/>
          <w:sz w:val="24"/>
        </w:rPr>
        <w:pict>
          <v:rect style="width:0;height:1.5pt" o:hralign="center" o:hrstd="t" o:hr="t"/>
        </w:pict>
      </w:r>
    </w:p>
    <w:p>
      <w:pPr>
        <w:pStyle w:val="FirstParagraph"/>
        <w:spacing w:line="480" w:lineRule="exact" w:after="0"/>
      </w:pPr>
      <w:r>
        <w:rPr>
          <w:rFonts w:ascii="Times New Roman" w:hAnsi="Times New Roman"/>
          <w:sz w:val="24"/>
        </w:rPr>
        <w:t xml:space="preserve">In a market-driven economy, the public and private sectors are not opposing forces — they are interdependent partners whose interaction shapes economic outcomes at every level. The public sector establishes the regulatory environment, funds public goods, and corrects market failures, while the private sector drives production, innovation, and employment. Neither can function optimally without the other. As Greenlaw et al. (2022) explain, most modern economies are mixed systems that deliberately combine market mechanisms with government intervention to balance efficiency and social welfare (Section 1.4).</w:t>
      </w:r>
    </w:p>
    <w:p>
      <w:pPr>
        <w:pStyle w:val="BodyText"/>
        <w:spacing w:line="480" w:lineRule="exact" w:after="0"/>
      </w:pPr>
      <w:r>
        <w:rPr>
          <w:rFonts w:ascii="Times New Roman" w:hAnsi="Times New Roman"/>
          <w:sz w:val="24"/>
        </w:rPr>
        <w:t xml:space="preserve">A compelling real-world example of this interdependence is Kenya’s</w:t>
      </w:r>
      <w:r>
        <w:rPr>
          <w:rFonts w:ascii="Times New Roman" w:hAnsi="Times New Roman"/>
          <w:sz w:val="24"/>
        </w:rPr>
        <w:t xml:space="preserve"> </w:t>
      </w:r>
      <w:r>
        <w:rPr>
          <w:rFonts w:ascii="Times New Roman" w:hAnsi="Times New Roman"/>
          <w:b/>
          <w:bCs/>
          <w:sz w:val="24"/>
        </w:rPr>
        <w:t xml:space="preserve">Konza Technopolis</w:t>
      </w:r>
      <w:r>
        <w:rPr>
          <w:rFonts w:ascii="Times New Roman" w:hAnsi="Times New Roman"/>
          <w:sz w:val="24"/>
        </w:rPr>
        <w:t xml:space="preserve"> </w:t>
      </w:r>
      <w:r>
        <w:rPr>
          <w:rFonts w:ascii="Times New Roman" w:hAnsi="Times New Roman"/>
          <w:sz w:val="24"/>
        </w:rPr>
        <w:t xml:space="preserve">project — a government-led smart city initiative designed to position Kenya as a technology and business process outsourcing hub in East Africa. The Kenyan government, through the Konza Technopolis Development Authority (KoTDA), provides the public infrastructure: land allocation, roads, fiber optic connectivity, water, and a regulatory framework that guarantees investor protections. Private technology firms, real estate developers, and multinational corporations then invest in the zone, establishing data centers, software development firms, and BPO operations. This structure mirrors the Hybrid Public-Private Partnership model described by the World Bank (2024), where government funding and concessional financing de-risk the investment environment, enabling private capital to flow into projects that would otherwise be too uncertain or costly for the private sector alone.</w:t>
      </w:r>
    </w:p>
    <w:p>
      <w:pPr>
        <w:pStyle w:val="BodyText"/>
        <w:spacing w:line="480" w:lineRule="exact" w:after="0"/>
      </w:pPr>
      <w:r>
        <w:rPr>
          <w:rFonts w:ascii="Times New Roman" w:hAnsi="Times New Roman"/>
          <w:sz w:val="24"/>
        </w:rPr>
        <w:t xml:space="preserve">The interdependence between the two sectors in this case operates on multiple levels. For</w:t>
      </w:r>
      <w:r>
        <w:rPr>
          <w:rFonts w:ascii="Times New Roman" w:hAnsi="Times New Roman"/>
          <w:sz w:val="24"/>
        </w:rPr>
        <w:t xml:space="preserve"> </w:t>
      </w:r>
      <w:r>
        <w:rPr>
          <w:rFonts w:ascii="Times New Roman" w:hAnsi="Times New Roman"/>
          <w:b/>
          <w:bCs/>
          <w:sz w:val="24"/>
        </w:rPr>
        <w:t xml:space="preserve">businesses</w:t>
      </w:r>
      <w:r>
        <w:rPr>
          <w:rFonts w:ascii="Times New Roman" w:hAnsi="Times New Roman"/>
          <w:sz w:val="24"/>
        </w:rPr>
        <w:t xml:space="preserve">, the government’s infrastructure investment reduces operating costs and provides legal certainty, making it viable to establish operations in a developing market. For</w:t>
      </w:r>
      <w:r>
        <w:rPr>
          <w:rFonts w:ascii="Times New Roman" w:hAnsi="Times New Roman"/>
          <w:sz w:val="24"/>
        </w:rPr>
        <w:t xml:space="preserve"> </w:t>
      </w:r>
      <w:r>
        <w:rPr>
          <w:rFonts w:ascii="Times New Roman" w:hAnsi="Times New Roman"/>
          <w:b/>
          <w:bCs/>
          <w:sz w:val="24"/>
        </w:rPr>
        <w:t xml:space="preserve">consumers</w:t>
      </w:r>
      <w:r>
        <w:rPr>
          <w:rFonts w:ascii="Times New Roman" w:hAnsi="Times New Roman"/>
          <w:sz w:val="24"/>
        </w:rPr>
        <w:t xml:space="preserve">, the project creates employment, expands access to digital services, and stimulates competition in the technology sector, which drives down prices and improves service quality. For</w:t>
      </w:r>
      <w:r>
        <w:rPr>
          <w:rFonts w:ascii="Times New Roman" w:hAnsi="Times New Roman"/>
          <w:sz w:val="24"/>
        </w:rPr>
        <w:t xml:space="preserve"> </w:t>
      </w:r>
      <w:r>
        <w:rPr>
          <w:rFonts w:ascii="Times New Roman" w:hAnsi="Times New Roman"/>
          <w:b/>
          <w:bCs/>
          <w:sz w:val="24"/>
        </w:rPr>
        <w:t xml:space="preserve">overall economic stability</w:t>
      </w:r>
      <w:r>
        <w:rPr>
          <w:rFonts w:ascii="Times New Roman" w:hAnsi="Times New Roman"/>
          <w:sz w:val="24"/>
        </w:rPr>
        <w:t xml:space="preserve">, the initiative diversifies Kenya’s economy beyond agriculture and tourism, strengthens foreign exchange earnings through technology exports, and builds human capital through the skills demanded by the sector.</w:t>
      </w:r>
    </w:p>
    <w:p>
      <w:pPr>
        <w:pStyle w:val="BodyText"/>
        <w:spacing w:line="480" w:lineRule="exact" w:after="0"/>
      </w:pPr>
      <w:r>
        <w:rPr>
          <w:rFonts w:ascii="Times New Roman" w:hAnsi="Times New Roman"/>
          <w:sz w:val="24"/>
        </w:rPr>
        <w:t xml:space="preserve">This example also illustrates a broader principle: when public investment crowds in private capital rather than crowding it out, the multiplier effect on economic activity is substantial. The government does not replace the market — it creates the conditions under which the market can function more effectively. Greenlaw et al. (2022) capture this dynamic in the circular flow model, where government, households, businesses, and the foreign sector are all interconnected, with each sector’s decisions affecting the others (Section 1.3).</w:t>
      </w:r>
    </w:p>
    <w:p>
      <w:pPr>
        <w:pStyle w:val="BodyText"/>
        <w:spacing w:line="480" w:lineRule="exact" w:after="0"/>
      </w:pPr>
      <w:r>
        <w:rPr>
          <w:rFonts w:ascii="Times New Roman" w:hAnsi="Times New Roman"/>
          <w:sz w:val="24"/>
        </w:rPr>
        <w:t xml:space="preserve">Understanding this interdependence is essential for analyzing any economic policy, because outcomes are rarely the product of one sector acting alone.</w:t>
      </w:r>
    </w:p>
    <w:p>
      <w:pPr>
        <w:spacing w:line="480" w:lineRule="exact" w:after="0"/>
      </w:pPr>
      <w:r>
        <w:rPr>
          <w:rFonts w:ascii="Times New Roman" w:hAnsi="Times New Roman"/>
          <w:sz w:val="24"/>
        </w:rPr>
        <w:pict>
          <v:rect style="width:0;height:1.5pt" o:hralign="center" o:hrstd="t" o:hr="t"/>
        </w:pict>
      </w:r>
    </w:p>
    <w:bookmarkEnd w:id="9"/>
    <w:bookmarkStart w:id="10" w:name="references"/>
    <w:p>
      <w:pPr>
        <w:pStyle w:val="Heading2"/>
        <w:spacing w:line="480" w:lineRule="exact" w:after="0"/>
      </w:pPr>
      <w:r>
        <w:rPr>
          <w:rFonts w:ascii="Times New Roman" w:hAnsi="Times New Roman"/>
          <w:sz w:val="24"/>
        </w:rPr>
        <w:t xml:space="preserve">References</w:t>
      </w:r>
    </w:p>
    <w:p>
      <w:pPr>
        <w:pStyle w:val="FirstParagraph"/>
        <w:spacing w:line="480" w:lineRule="exact" w:after="0"/>
      </w:pPr>
      <w:r>
        <w:rPr>
          <w:rFonts w:ascii="Times New Roman" w:hAnsi="Times New Roman"/>
          <w:sz w:val="24"/>
        </w:rPr>
        <w:t xml:space="preserve">Greenlaw, S., Shapiro, D., &amp; MacDonald, D. (2022).</w:t>
      </w:r>
      <w:r>
        <w:rPr>
          <w:rFonts w:ascii="Times New Roman" w:hAnsi="Times New Roman"/>
          <w:sz w:val="24"/>
        </w:rPr>
        <w:t xml:space="preserve"> </w:t>
      </w:r>
      <w:r>
        <w:rPr>
          <w:rFonts w:ascii="Times New Roman" w:hAnsi="Times New Roman"/>
          <w:i/>
          <w:iCs/>
          <w:sz w:val="24"/>
        </w:rPr>
        <w:t xml:space="preserve">Principles of economics</w:t>
      </w:r>
      <w:r>
        <w:rPr>
          <w:rFonts w:ascii="Times New Roman" w:hAnsi="Times New Roman"/>
          <w:sz w:val="24"/>
        </w:rPr>
        <w:t xml:space="preserve"> </w:t>
      </w:r>
      <w:r>
        <w:rPr>
          <w:rFonts w:ascii="Times New Roman" w:hAnsi="Times New Roman"/>
          <w:sz w:val="24"/>
        </w:rPr>
        <w:t xml:space="preserve">(3rd ed.). OpenStax. https://openstax.org/books/principles-economics-3e/pages/1-introduction</w:t>
      </w:r>
    </w:p>
    <w:p>
      <w:pPr>
        <w:pStyle w:val="BodyText"/>
        <w:spacing w:line="480" w:lineRule="exact" w:after="0"/>
      </w:pPr>
      <w:r>
        <w:rPr>
          <w:rFonts w:ascii="Times New Roman" w:hAnsi="Times New Roman"/>
          <w:sz w:val="24"/>
        </w:rPr>
        <w:t xml:space="preserve">World Bank. (2024, October 14). Understanding hybrid public-private partnerships: A model for delivering infrastructure. https://www.worldbank.org/en/topic/sustainableinfrastructurefinance/brief/understanding-hybrid-public-private-partnerships-a-model-for-delivering-infrastructure</w:t>
      </w:r>
    </w:p>
    <w:bookmarkEnd w:id="10"/>
    <w:bookmarkEnd w:id="11"/>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2026-04-12T09:38:54Z</dcterms:created>
  <dcterms:modified xsi:type="dcterms:W3CDTF">2026-04-12T09:38:54Z</dcterms:modified>
</cp:coreProperties>
</file>

<file path=docProps/custom.xml><?xml version="1.0" encoding="utf-8"?>
<Properties xmlns="http://schemas.openxmlformats.org/officeDocument/2006/custom-properties" xmlns:vt="http://schemas.openxmlformats.org/officeDocument/2006/docPropsVTypes"/>
</file>