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 It is</w:t>
      </w:r>
      <w:r>
        <w:rPr>
          <w:rFonts w:ascii="Times New Roman" w:hAnsi="Times New Roman"/>
          <w:sz w:val="24"/>
        </w:rPr>
        <w:t xml:space="preserve"> </w:t>
      </w:r>
      <w:r>
        <w:rPr>
          <w:rFonts w:ascii="Times New Roman" w:hAnsi="Times New Roman"/>
          <w:b/>
          <w:bCs/>
          <w:sz w:val="24"/>
        </w:rPr>
        <w:t xml:space="preserve">Specific</w:t>
      </w:r>
      <w:r>
        <w:rPr>
          <w:rFonts w:ascii="Times New Roman" w:hAnsi="Times New Roman"/>
          <w:sz w:val="24"/>
        </w:rPr>
        <w:t xml:space="preserve"> </w:t>
      </w:r>
      <w:r>
        <w:rPr>
          <w:rFonts w:ascii="Times New Roman" w:hAnsi="Times New Roman"/>
          <w:sz w:val="24"/>
        </w:rPr>
        <w:t xml:space="preserve">by defining exact measures and outcomes;</w:t>
      </w:r>
      <w:r>
        <w:rPr>
          <w:rFonts w:ascii="Times New Roman" w:hAnsi="Times New Roman"/>
          <w:sz w:val="24"/>
        </w:rPr>
        <w:t xml:space="preserve"> </w:t>
      </w:r>
      <w:r>
        <w:rPr>
          <w:rFonts w:ascii="Times New Roman" w:hAnsi="Times New Roman"/>
          <w:b/>
          <w:bCs/>
          <w:sz w:val="24"/>
        </w:rPr>
        <w:t xml:space="preserve">Measurable</w:t>
      </w:r>
      <w:r>
        <w:rPr>
          <w:rFonts w:ascii="Times New Roman" w:hAnsi="Times New Roman"/>
          <w:sz w:val="24"/>
        </w:rPr>
        <w:t xml:space="preserve"> </w:t>
      </w:r>
      <w:r>
        <w:rPr>
          <w:rFonts w:ascii="Times New Roman" w:hAnsi="Times New Roman"/>
          <w:sz w:val="24"/>
        </w:rPr>
        <w:t xml:space="preserve">through quantifiable metrics (10% budget, 50% reduction, 24 months);</w:t>
      </w:r>
      <w:r>
        <w:rPr>
          <w:rFonts w:ascii="Times New Roman" w:hAnsi="Times New Roman"/>
          <w:sz w:val="24"/>
        </w:rPr>
        <w:t xml:space="preserve"> </w:t>
      </w:r>
      <w:r>
        <w:rPr>
          <w:rFonts w:ascii="Times New Roman" w:hAnsi="Times New Roman"/>
          <w:b/>
          <w:bCs/>
          <w:sz w:val="24"/>
        </w:rPr>
        <w:t xml:space="preserve">Achievable</w:t>
      </w:r>
      <w:r>
        <w:rPr>
          <w:rFonts w:ascii="Times New Roman" w:hAnsi="Times New Roman"/>
          <w:sz w:val="24"/>
        </w:rPr>
        <w:t xml:space="preserve"> </w:t>
      </w:r>
      <w:r>
        <w:rPr>
          <w:rFonts w:ascii="Times New Roman" w:hAnsi="Times New Roman"/>
          <w:sz w:val="24"/>
        </w:rPr>
        <w:t xml:space="preserve">as industry standards recommend 6-15% IT budget allocation for security (Cybersecurity &amp; Infrastructure Security Agency, 2023);</w:t>
      </w:r>
      <w:r>
        <w:rPr>
          <w:rFonts w:ascii="Times New Roman" w:hAnsi="Times New Roman"/>
          <w:sz w:val="24"/>
        </w:rPr>
        <w:t xml:space="preserve"> </w:t>
      </w:r>
      <w:r>
        <w:rPr>
          <w:rFonts w:ascii="Times New Roman" w:hAnsi="Times New Roman"/>
          <w:b/>
          <w:bCs/>
          <w:sz w:val="24"/>
        </w:rPr>
        <w:t xml:space="preserve">Relevant</w:t>
      </w:r>
      <w:r>
        <w:rPr>
          <w:rFonts w:ascii="Times New Roman" w:hAnsi="Times New Roman"/>
          <w:sz w:val="24"/>
        </w:rPr>
        <w:t xml:space="preserve"> </w:t>
      </w:r>
      <w:r>
        <w:rPr>
          <w:rFonts w:ascii="Times New Roman" w:hAnsi="Times New Roman"/>
          <w:sz w:val="24"/>
        </w:rPr>
        <w:t xml:space="preserve">since 60% of small businesses close within six months of cyberattacks (National Cyber Security Alliance, 2023); and</w:t>
      </w:r>
      <w:r>
        <w:rPr>
          <w:rFonts w:ascii="Times New Roman" w:hAnsi="Times New Roman"/>
          <w:sz w:val="24"/>
        </w:rPr>
        <w:t xml:space="preserve"> </w:t>
      </w:r>
      <w:r>
        <w:rPr>
          <w:rFonts w:ascii="Times New Roman" w:hAnsi="Times New Roman"/>
          <w:b/>
          <w:bCs/>
          <w:sz w:val="24"/>
        </w:rPr>
        <w:t xml:space="preserve">Time-bound</w:t>
      </w:r>
      <w:r>
        <w:rPr>
          <w:rFonts w:ascii="Times New Roman" w:hAnsi="Times New Roman"/>
          <w:sz w:val="24"/>
        </w:rPr>
        <w:t xml:space="preserve"> </w:t>
      </w:r>
      <w:r>
        <w:rPr>
          <w:rFonts w:ascii="Times New Roman" w:hAnsi="Times New Roman"/>
          <w:sz w:val="24"/>
        </w:rPr>
        <w:t xml:space="preserve">with a clear 24-month evaluation period. This hypothesis can be tested through quantitative comparison of breach incidents between businesses with comprehensive versus minimal cybersecurity investments.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making it highly reliable for foundational cybersecurity best practices.</w:t>
      </w:r>
    </w:p>
    <w:bookmarkEnd w:id="21"/>
    <w:bookmarkStart w:id="22" w:name="Xfa082e291afaae36afeeee3b3a761798453a25a"/>
    <w:p>
      <w:pPr>
        <w:pStyle w:val="Heading3"/>
        <w:spacing w:line="480" w:lineRule="auto"/>
      </w:pPr>
      <w:r>
        <w:rPr>
          <w:rFonts w:ascii="Times New Roman" w:hAnsi="Times New Roman"/>
          <w:sz w:val="24"/>
        </w:rPr>
        <w:t xml:space="preserve">Source 2: Computers &amp; 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 </w:t>
      </w:r>
      <w:r>
        <w:rPr>
          <w:rFonts w:ascii="Times New Roman" w:hAnsi="Times New Roman"/>
          <w:sz w:val="24"/>
        </w:rPr>
        <w:t xml:space="preserve">is a peer-reviewed academic journal published by Emerald Publishing, ensuring multiple independent experts evaluate research methodology before publication (George, 2024). The authors, Martin Eling and Werner Schnell from the University of St. Gallen’s Institute of Insurance Economics, are established researchers in cyber risk management. Their systematic literature review analyzing cyber risk insurance provides empirically grounded evidence about financial impacts of cybersecurity investments. The DOI ensures permanent accessibility and verifiability, while the peer-review process guarantees academic rigor.</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despite Verizon’s commercial status.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w:t>
      </w:r>
    </w:p>
    <w:bookmarkEnd w:id="24"/>
    <w:bookmarkStart w:id="25" w:name="X1dc0e1c364648d5690a91b638483f0cdcd4799d"/>
    <w:p>
      <w:pPr>
        <w:pStyle w:val="Heading3"/>
        <w:spacing w:line="480" w:lineRule="auto"/>
      </w:pPr>
      <w:r>
        <w:rPr>
          <w:rFonts w:ascii="Times New Roman" w:hAnsi="Times New Roman"/>
          <w:sz w:val="24"/>
        </w:rPr>
        <w:t xml:space="preserve">Source 5: Small Business Administration (SBA) Cybersecurity Guide</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U.S. Small Business Administration is a federal agency dedicated to supporting American small businesses. As a .gov source with no commercial interests, it provides authoritative, unbiased guidance specifically tailored to small business needs and constraints. The SBA collaborates with cybersecurity experts and industry partners to develop practical, actionable recommendations. This resource addresses the unique economic vulnerabilities and resource limitations small businesses face when implementing cybersecurity measures, providing business-focused analysis that complements technical sources.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SBA), peer-reviewed academic research, and industry data analysis (Verizon DBIR)—providing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Retrieved January 31, 2026, from https://corporatefinanceinstitute.com/resources/management/smart-goal/</w:t>
      </w:r>
    </w:p>
    <w:p>
      <w:pPr>
        <w:pStyle w:val="BodyText"/>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Retrieved January 31, 2026, from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Ryan, E. (2023, May 31). How to find sources | Scholarly articles, books, etc.</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https://www.scribbr.com/working-with-sources/finding-sources/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sz w:val="24"/>
        </w:rPr>
        <w:t xml:space="preserve">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649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2026-02-09T06:30:32Z</dcterms:created>
  <dcterms:modified xsi:type="dcterms:W3CDTF">2026-02-09T06:30:32Z</dcterms:modified>
</cp:coreProperties>
</file>

<file path=docProps/custom.xml><?xml version="1.0" encoding="utf-8"?>
<Properties xmlns="http://schemas.openxmlformats.org/officeDocument/2006/custom-properties" xmlns:vt="http://schemas.openxmlformats.org/officeDocument/2006/docPropsVTypes"/>
</file>