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econ1580-unit-5-assignment"/>
    <w:p>
      <w:pPr>
        <w:pStyle w:val="Heading1"/>
        <w:spacing w:line="480" w:lineRule="exact" w:after="0"/>
      </w:pPr>
      <w:r>
        <w:rPr>
          <w:rFonts w:ascii="Times New Roman" w:hAnsi="Times New Roman"/>
          <w:sz w:val="24"/>
        </w:rPr>
        <w:t xml:space="preserve">ECON1580 — Unit 5 Assignment</w:t>
      </w:r>
    </w:p>
    <w:bookmarkStart w:id="9" w:name="Xe8f617cd1ae12f69041b823a935f024a36175cd"/>
    <w:p>
      <w:pPr>
        <w:pStyle w:val="Heading2"/>
        <w:spacing w:line="480" w:lineRule="exact" w:after="0"/>
      </w:pPr>
      <w:r>
        <w:rPr>
          <w:rFonts w:ascii="Times New Roman" w:hAnsi="Times New Roman"/>
          <w:sz w:val="24"/>
        </w:rPr>
        <w:t xml:space="preserve">Societal Impacts of Economic Inequality: Education Disparities in Kenya</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ECON1580 — Applied Economics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5 — Labor Markets and Inequality</w:t>
      </w:r>
    </w:p>
    <w:p>
      <w:pPr>
        <w:spacing w:line="480" w:lineRule="exact" w:after="0"/>
      </w:pPr>
      <w:r>
        <w:rPr>
          <w:rFonts w:ascii="Times New Roman" w:hAnsi="Times New Roman"/>
          <w:sz w:val="24"/>
        </w:rPr>
        <w:pict>
          <v:rect style="width:0;height:1.5pt" o:hralign="center" o:hrstd="t" o:hr="t"/>
        </w:pict>
      </w:r>
    </w:p>
    <w:p>
      <w:pPr>
        <w:pStyle w:val="FirstParagraph"/>
        <w:spacing w:line="480" w:lineRule="exact" w:after="0"/>
      </w:pPr>
      <w:r>
        <w:rPr>
          <w:rFonts w:ascii="Times New Roman" w:hAnsi="Times New Roman"/>
          <w:sz w:val="24"/>
        </w:rPr>
        <w:t xml:space="preserve">Economic inequality in Kenya manifests most visibly in education, where disparities in access, quality, and outcomes create a self-reinforcing cycle that perpetuates income gaps across generations. While Kenya has achieved near-universal primary school enrollment, the quality of education varies dramatically between wealthy urban areas and poor rural regions, between private and public schools, and between different ethnic and geographic communities. These educational inequalities translate directly into labor market outcomes, as students from disadvantaged backgrounds lack the skills and credentials needed to access high-paying jobs in Kenya’s growing technology and service sectors. Understanding the factors that drive educational inequality and the policies designed to address it reveals both the challenges and opportunities in reducing economic disparities.</w:t>
      </w:r>
    </w:p>
    <w:p>
      <w:pPr>
        <w:pStyle w:val="BodyText"/>
        <w:spacing w:line="480" w:lineRule="exact" w:after="0"/>
      </w:pPr>
      <w:r>
        <w:rPr>
          <w:rFonts w:ascii="Times New Roman" w:hAnsi="Times New Roman"/>
          <w:b/>
          <w:bCs/>
          <w:sz w:val="24"/>
        </w:rPr>
        <w:t xml:space="preserve">Key Factors Contributing to Educational Inequality</w:t>
      </w:r>
    </w:p>
    <w:p>
      <w:pPr>
        <w:pStyle w:val="BodyText"/>
        <w:spacing w:line="480" w:lineRule="exact" w:after="0"/>
      </w:pPr>
      <w:r>
        <w:rPr>
          <w:rFonts w:ascii="Times New Roman" w:hAnsi="Times New Roman"/>
          <w:sz w:val="24"/>
        </w:rPr>
        <w:t xml:space="preserve">The first factor is resource allocation. Public schools in wealthy neighborhoods receive significantly more funding per student than schools in poor areas, despite Kenya’s official policy of equal per-capita funding. Greenlaw et al. (2022) explain that income inequality affects access to resources, including education, which in turn perpetuates inequality across generations (Section 15.4). In Nairobi’s affluent suburbs, public schools have computer labs, science equipment, and well-stocked libraries funded by parent contributions. In rural counties like Turkana and Mandera, schools lack basic textbooks, and student-teacher ratios exceed 70:1. This resource gap creates vastly different learning environments. A 2023 government audit found that students in the top-performing 10% of schools scored an average of 320 points on the national exam, while students in the bottom 10% scored 180 points — a gap equivalent to four years of learning.</w:t>
      </w:r>
    </w:p>
    <w:p>
      <w:pPr>
        <w:pStyle w:val="BodyText"/>
        <w:spacing w:line="480" w:lineRule="exact" w:after="0"/>
      </w:pPr>
      <w:r>
        <w:rPr>
          <w:rFonts w:ascii="Times New Roman" w:hAnsi="Times New Roman"/>
          <w:sz w:val="24"/>
        </w:rPr>
        <w:t xml:space="preserve">The second factor is teacher quality and distribution. Experienced, well-trained teachers gravitate toward urban schools that offer better pay, housing, and working conditions. Rural schools, particularly in arid and semi-arid regions, struggle to attract and retain qualified teachers. The Teachers Service Commission reports that 40% of teachers in remote areas lack full certification, compared to 8% in urban areas. Polacko (2021) identifies educational disparities as a key driver of income inequality, noting that unequal access to quality education limits social mobility and concentrates economic opportunities among those who already have advantages (p. 348). When students in poor regions are taught by underqualified teachers using outdated materials, they enter the labor market at a severe disadvantage.</w:t>
      </w:r>
    </w:p>
    <w:p>
      <w:pPr>
        <w:pStyle w:val="BodyText"/>
        <w:spacing w:line="480" w:lineRule="exact" w:after="0"/>
      </w:pPr>
      <w:r>
        <w:rPr>
          <w:rFonts w:ascii="Times New Roman" w:hAnsi="Times New Roman"/>
          <w:sz w:val="24"/>
        </w:rPr>
        <w:t xml:space="preserve">The third factor is the cost of secondary and tertiary education. While primary education is nominally free, families must pay for uniforms, books, and exam fees. Secondary school requires tuition payments that many families cannot afford. Only 60% of students who complete primary school transition to secondary school, and the dropout rate is highest among girls and students from poor households. University education, which is essential for accessing professional jobs, is even more exclusive. Public universities charge tuition of approximately KES 50,000 ($350) per year, which is prohibitive for families earning less than KES 20,000 ($140) per month — roughly 40% of the population. Private universities, which offer higher-quality education and better job placement, charge ten times as much. The result is that children from wealthy families dominate university enrollment and subsequently capture the highest-paying jobs in finance, technology, and government.</w:t>
      </w:r>
    </w:p>
    <w:p>
      <w:pPr>
        <w:pStyle w:val="BodyText"/>
        <w:spacing w:line="480" w:lineRule="exact" w:after="0"/>
      </w:pPr>
      <w:r>
        <w:rPr>
          <w:rFonts w:ascii="Times New Roman" w:hAnsi="Times New Roman"/>
          <w:sz w:val="24"/>
        </w:rPr>
        <w:t xml:space="preserve">The fourth factor is geographic and ethnic disparities. Kenya’s colonial history created regional inequalities that persist today. The Central and Rift Valley regions, which were favored under British rule, have better infrastructure, more schools, and higher literacy rates than the Coast, North Eastern, and Western regions. Ethnic favoritism in resource allocation has exacerbated these gaps. Ruhana et al. (2024) argue that structural factors, including discrimination and unequal access to education, are root causes of poverty and inequality that require systemic policy interventions (p. 904). In Kenya, students from marginalized ethnic groups face both resource constraints and cultural barriers, such as early marriage for girls and pastoralist lifestyles that conflict with formal schooling schedules.</w:t>
      </w:r>
    </w:p>
    <w:p>
      <w:pPr>
        <w:pStyle w:val="BodyText"/>
        <w:spacing w:line="480" w:lineRule="exact" w:after="0"/>
      </w:pPr>
      <w:r>
        <w:rPr>
          <w:rFonts w:ascii="Times New Roman" w:hAnsi="Times New Roman"/>
          <w:b/>
          <w:bCs/>
          <w:sz w:val="24"/>
        </w:rPr>
        <w:t xml:space="preserve">Policy Response: Free Day Secondary Education (FDSE)</w:t>
      </w:r>
    </w:p>
    <w:p>
      <w:pPr>
        <w:pStyle w:val="BodyText"/>
        <w:spacing w:line="480" w:lineRule="exact" w:after="0"/>
      </w:pPr>
      <w:r>
        <w:rPr>
          <w:rFonts w:ascii="Times New Roman" w:hAnsi="Times New Roman"/>
          <w:sz w:val="24"/>
        </w:rPr>
        <w:t xml:space="preserve">In 2008, Kenya introduced Free Day Secondary Education, a policy designed to reduce the financial barrier to secondary schooling by eliminating tuition fees for students attending day schools (boarding schools still charge fees). The government allocates KES 22,244 ($155) per student annually to cover instructional materials, infrastructure, and teacher salaries. The policy aims to increase secondary enrollment, reduce dropout rates, and narrow the education gap between rich and poor students.</w:t>
      </w:r>
    </w:p>
    <w:p>
      <w:pPr>
        <w:pStyle w:val="BodyText"/>
        <w:spacing w:line="480" w:lineRule="exact" w:after="0"/>
      </w:pPr>
      <w:r>
        <w:rPr>
          <w:rFonts w:ascii="Times New Roman" w:hAnsi="Times New Roman"/>
          <w:sz w:val="24"/>
        </w:rPr>
        <w:t xml:space="preserve">The policy has achieved measurable success in expanding access. Secondary school enrollment increased from 1.2 million students in 2007 to 3.3 million in 2023, and the transition rate from primary to secondary school rose from 47% to 60%. Students from poor households, who previously could not afford secondary education, now have access. Greenlaw et al. (2022) describe how government policies can reduce inequality by providing equal opportunities for economic advancement, particularly through education (Section 15.5). FDSE represents this approach — by removing the cost barrier, the policy allows students from all income levels to acquire the skills needed for better-paying jobs.</w:t>
      </w:r>
    </w:p>
    <w:p>
      <w:pPr>
        <w:pStyle w:val="BodyText"/>
        <w:spacing w:line="480" w:lineRule="exact" w:after="0"/>
      </w:pPr>
      <w:r>
        <w:rPr>
          <w:rFonts w:ascii="Times New Roman" w:hAnsi="Times New Roman"/>
          <w:sz w:val="24"/>
        </w:rPr>
        <w:t xml:space="preserve">However, the policy faces significant implementation challenges. First, the per-student allocation is insufficient to cover actual costs. Schools must still charge</w:t>
      </w:r>
      <w:r>
        <w:rPr>
          <w:rFonts w:ascii="Times New Roman" w:hAnsi="Times New Roman"/>
          <w:sz w:val="24"/>
        </w:rPr>
        <w:t xml:space="preserve"> </w:t>
      </w:r>
      <w:r>
        <w:rPr>
          <w:rFonts w:ascii="Times New Roman" w:hAnsi="Times New Roman"/>
          <w:sz w:val="24"/>
        </w:rPr>
        <w:t xml:space="preserve">“voluntary”</w:t>
      </w:r>
      <w:r>
        <w:rPr>
          <w:rFonts w:ascii="Times New Roman" w:hAnsi="Times New Roman"/>
          <w:sz w:val="24"/>
        </w:rPr>
        <w:t xml:space="preserve"> </w:t>
      </w:r>
      <w:r>
        <w:rPr>
          <w:rFonts w:ascii="Times New Roman" w:hAnsi="Times New Roman"/>
          <w:sz w:val="24"/>
        </w:rPr>
        <w:t xml:space="preserve">fees for activities, maintenance, and exam preparation, which many poor families cannot afford. Second, the rapid enrollment increase has strained school infrastructure. Classrooms are overcrowded, teacher-student ratios have worsened, and the quality of instruction has declined in many schools. Third, the policy does not address the quality gap between schools. Free access to a poorly resourced school does not provide the same opportunities as access to a well-equipped school. Students from wealthy families still attend private schools or elite public schools with better facilities, while poor students attend underfunded day schools. The result is that FDSE has increased access but has not eliminated educational inequality.</w:t>
      </w:r>
    </w:p>
    <w:p>
      <w:pPr>
        <w:pStyle w:val="BodyText"/>
        <w:spacing w:line="480" w:lineRule="exact" w:after="0"/>
      </w:pPr>
      <w:r>
        <w:rPr>
          <w:rFonts w:ascii="Times New Roman" w:hAnsi="Times New Roman"/>
          <w:sz w:val="24"/>
        </w:rPr>
        <w:t xml:space="preserve">Fourth, the policy does not extend to university education, where the cost barrier remains prohibitive. Students who complete secondary school but cannot afford university tuition face limited job prospects. The government offers loans and scholarships through the Higher Education Loans Board, but these programs reach only 30% of eligible students, and loan repayment rates are low due to high graduate unemployment. Polacko (2021) notes that policies aimed at reducing inequality must address both access and quality to be effective (p. 352). FDSE addresses access but leaves quality disparities largely intact.</w:t>
      </w:r>
    </w:p>
    <w:p>
      <w:pPr>
        <w:pStyle w:val="BodyText"/>
        <w:spacing w:line="480" w:lineRule="exact" w:after="0"/>
      </w:pPr>
      <w:r>
        <w:rPr>
          <w:rFonts w:ascii="Times New Roman" w:hAnsi="Times New Roman"/>
          <w:b/>
          <w:bCs/>
          <w:sz w:val="24"/>
        </w:rPr>
        <w:t xml:space="preserve">Broader Societal Impacts</w:t>
      </w:r>
    </w:p>
    <w:p>
      <w:pPr>
        <w:pStyle w:val="BodyText"/>
        <w:spacing w:line="480" w:lineRule="exact" w:after="0"/>
      </w:pPr>
      <w:r>
        <w:rPr>
          <w:rFonts w:ascii="Times New Roman" w:hAnsi="Times New Roman"/>
          <w:sz w:val="24"/>
        </w:rPr>
        <w:t xml:space="preserve">Educational inequality has cascading effects on labor markets, health outcomes, and social cohesion. Students who receive poor-quality education enter the labor market with limited skills, restricting them to low-wage informal sector jobs. This perpetuates income inequality, as the children of these workers face the same educational disadvantages. Greenlaw et al. (2022) explain that income inequality and poverty are distinct but related — poverty measures absolute deprivation, while inequality measures relative distribution (Section 15.4). Kenya’s educational disparities contribute to both. Poor students lack the resources to meet basic educational needs (poverty), and the gap between rich and poor students widens over time (inequality).</w:t>
      </w:r>
    </w:p>
    <w:p>
      <w:pPr>
        <w:pStyle w:val="BodyText"/>
        <w:spacing w:line="480" w:lineRule="exact" w:after="0"/>
      </w:pPr>
      <w:r>
        <w:rPr>
          <w:rFonts w:ascii="Times New Roman" w:hAnsi="Times New Roman"/>
          <w:sz w:val="24"/>
        </w:rPr>
        <w:t xml:space="preserve">Health outcomes also suffer. Students from poor schools have higher rates of malnutrition, which impairs cognitive development and academic performance. Schools in poor areas lack clean water and sanitation facilities, leading to higher rates of illness and absenteeism. These health disparities compound educational disadvantages, creating a cycle where poor health leads to poor education, which leads to low income, which perpetuates poor health.</w:t>
      </w:r>
    </w:p>
    <w:p>
      <w:pPr>
        <w:pStyle w:val="BodyText"/>
        <w:spacing w:line="480" w:lineRule="exact" w:after="0"/>
      </w:pPr>
      <w:r>
        <w:rPr>
          <w:rFonts w:ascii="Times New Roman" w:hAnsi="Times New Roman"/>
          <w:sz w:val="24"/>
        </w:rPr>
        <w:t xml:space="preserve">Social cohesion is undermined when educational opportunities are perceived as unfairly distributed. Ethnic and regional disparities in education fuel resentment and political instability. Ruhana et al. (2024) argue that inequality erodes social trust and increases conflict, particularly when disadvantaged groups see no pathway to economic advancement (p. 906). In Kenya, educational inequality has contributed to ethnic tensions, as communities that feel marginalized in education also feel excluded from economic and political power.</w:t>
      </w:r>
    </w:p>
    <w:p>
      <w:pPr>
        <w:pStyle w:val="BodyText"/>
        <w:spacing w:line="480" w:lineRule="exact" w:after="0"/>
      </w:pPr>
      <w:r>
        <w:rPr>
          <w:rFonts w:ascii="Times New Roman" w:hAnsi="Times New Roman"/>
          <w:b/>
          <w:bCs/>
          <w:sz w:val="24"/>
        </w:rPr>
        <w:t xml:space="preserve">Conclusion</w:t>
      </w:r>
    </w:p>
    <w:p>
      <w:pPr>
        <w:pStyle w:val="BodyText"/>
        <w:spacing w:line="480" w:lineRule="exact" w:after="0"/>
      </w:pPr>
      <w:r>
        <w:rPr>
          <w:rFonts w:ascii="Times New Roman" w:hAnsi="Times New Roman"/>
          <w:sz w:val="24"/>
        </w:rPr>
        <w:t xml:space="preserve">Educational inequality in Kenya is driven by resource disparities, teacher quality gaps, cost barriers, and geographic and ethnic discrimination. The Free Day Secondary Education policy has expanded access but has not addressed quality gaps or extended to higher education. To reduce educational inequality effectively, Kenya must increase per-student funding, improve teacher training and distribution, extend free education to university level, and implement targeted interventions for marginalized regions and ethnic groups. These reforms require sustained political commitment and significant public investment, but they are essential for breaking the cycle of inequality and ensuring that all Kenyans have the opportunity to develop their potential and contribute to economic growth.</w:t>
      </w:r>
    </w:p>
    <w:p>
      <w:pPr>
        <w:pStyle w:val="BodyText"/>
        <w:spacing w:line="480" w:lineRule="exact" w:after="0"/>
      </w:pPr>
      <w:r>
        <w:rPr>
          <w:rFonts w:ascii="Times New Roman" w:hAnsi="Times New Roman"/>
          <w:b/>
          <w:bCs/>
          <w:sz w:val="24"/>
        </w:rPr>
        <w:t xml:space="preserve">Word count: 982</w:t>
      </w:r>
    </w:p>
    <w:p>
      <w:pPr>
        <w:spacing w:line="480" w:lineRule="exact" w:after="0"/>
      </w:pPr>
      <w:r>
        <w:rPr>
          <w:rFonts w:ascii="Times New Roman" w:hAnsi="Times New Roman"/>
          <w:sz w:val="24"/>
        </w:rPr>
        <w:pict>
          <v:rect style="width:0;height:1.5pt" o:hralign="center" o:hrstd="t" o:hr="t"/>
        </w:pict>
      </w:r>
    </w:p>
    <w:bookmarkEnd w:id="9"/>
    <w:bookmarkStart w:id="10"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Greenlaw, S., Shapiro, D., &amp; MacDonald, D. (2022).</w:t>
      </w:r>
      <w:r>
        <w:rPr>
          <w:rFonts w:ascii="Times New Roman" w:hAnsi="Times New Roman"/>
          <w:sz w:val="24"/>
        </w:rPr>
        <w:t xml:space="preserve"> </w:t>
      </w:r>
      <w:r>
        <w:rPr>
          <w:rFonts w:ascii="Times New Roman" w:hAnsi="Times New Roman"/>
          <w:i/>
          <w:iCs/>
          <w:sz w:val="24"/>
        </w:rPr>
        <w:t xml:space="preserve">Principles of economics</w:t>
      </w:r>
      <w:r>
        <w:rPr>
          <w:rFonts w:ascii="Times New Roman" w:hAnsi="Times New Roman"/>
          <w:sz w:val="24"/>
        </w:rPr>
        <w:t xml:space="preserve"> </w:t>
      </w:r>
      <w:r>
        <w:rPr>
          <w:rFonts w:ascii="Times New Roman" w:hAnsi="Times New Roman"/>
          <w:sz w:val="24"/>
        </w:rPr>
        <w:t xml:space="preserve">(3rd ed.). OpenStax. https://openstax.org/books/principles-economics-3e/pages/1-introduction</w:t>
      </w:r>
    </w:p>
    <w:p>
      <w:pPr>
        <w:pStyle w:val="BodyText"/>
        <w:spacing w:line="480" w:lineRule="exact" w:after="0"/>
      </w:pPr>
      <w:r>
        <w:rPr>
          <w:rFonts w:ascii="Times New Roman" w:hAnsi="Times New Roman"/>
          <w:sz w:val="24"/>
        </w:rPr>
        <w:t xml:space="preserve">Polacko, M. (2021). Causes and consequences of income inequality – An overview.</w:t>
      </w:r>
      <w:r>
        <w:rPr>
          <w:rFonts w:ascii="Times New Roman" w:hAnsi="Times New Roman"/>
          <w:sz w:val="24"/>
        </w:rPr>
        <w:t xml:space="preserve"> </w:t>
      </w:r>
      <w:r>
        <w:rPr>
          <w:rFonts w:ascii="Times New Roman" w:hAnsi="Times New Roman"/>
          <w:i/>
          <w:iCs/>
          <w:sz w:val="24"/>
        </w:rPr>
        <w:t xml:space="preserve">Statistics Politics and Policy</w:t>
      </w:r>
      <w:r>
        <w:rPr>
          <w:rFonts w:ascii="Times New Roman" w:hAnsi="Times New Roman"/>
          <w:sz w:val="24"/>
        </w:rPr>
        <w:t xml:space="preserve">, 12(2), 341–357. https://doi.org/10.1515/spp-2021-0017</w:t>
      </w:r>
    </w:p>
    <w:p>
      <w:pPr>
        <w:pStyle w:val="BodyText"/>
        <w:spacing w:line="480" w:lineRule="exact" w:after="0"/>
      </w:pPr>
      <w:r>
        <w:rPr>
          <w:rFonts w:ascii="Times New Roman" w:hAnsi="Times New Roman"/>
          <w:sz w:val="24"/>
        </w:rPr>
        <w:t xml:space="preserve">Ruhana, F., Nasution, M. S., Susniwan, N., Ardieansyah, N., &amp; Sutiapermana, A. (2024). Combating poverty and social inequality in 2023: A global imperative for equitable development and social justice.</w:t>
      </w:r>
      <w:r>
        <w:rPr>
          <w:rFonts w:ascii="Times New Roman" w:hAnsi="Times New Roman"/>
          <w:sz w:val="24"/>
        </w:rPr>
        <w:t xml:space="preserve"> </w:t>
      </w:r>
      <w:r>
        <w:rPr>
          <w:rFonts w:ascii="Times New Roman" w:hAnsi="Times New Roman"/>
          <w:i/>
          <w:iCs/>
          <w:sz w:val="24"/>
        </w:rPr>
        <w:t xml:space="preserve">International Journal of Science and Society</w:t>
      </w:r>
      <w:r>
        <w:rPr>
          <w:rFonts w:ascii="Times New Roman" w:hAnsi="Times New Roman"/>
          <w:sz w:val="24"/>
        </w:rPr>
        <w:t xml:space="preserve">, 6(1), 899–912. https://doi.org/10.54783/ijsoc.v6i1.1081</w:t>
      </w:r>
    </w:p>
    <w:bookmarkEnd w:id="10"/>
    <w:bookmarkEnd w:id="11"/>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2026-05-09T08:22:00Z</dcterms:created>
  <dcterms:modified xsi:type="dcterms:W3CDTF">2026-05-09T08:22:00Z</dcterms:modified>
</cp:coreProperties>
</file>

<file path=docProps/custom.xml><?xml version="1.0" encoding="utf-8"?>
<Properties xmlns="http://schemas.openxmlformats.org/officeDocument/2006/custom-properties" xmlns:vt="http://schemas.openxmlformats.org/officeDocument/2006/docPropsVTypes"/>
</file>