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econ1580-unit-5-discussion"/>
    <w:p>
      <w:pPr>
        <w:pStyle w:val="Heading1"/>
        <w:spacing w:line="480" w:lineRule="exact" w:after="0"/>
      </w:pPr>
      <w:r>
        <w:rPr>
          <w:rFonts w:ascii="Times New Roman" w:hAnsi="Times New Roman"/>
          <w:sz w:val="24"/>
        </w:rPr>
        <w:t xml:space="preserve">ECON1580 — Unit 5 Discussion</w:t>
      </w:r>
    </w:p>
    <w:bookmarkStart w:id="9" w:name="X7e4a234c11e435308c1e36963135e547b80fbb0"/>
    <w:p>
      <w:pPr>
        <w:pStyle w:val="Heading2"/>
        <w:spacing w:line="480" w:lineRule="exact" w:after="0"/>
      </w:pPr>
      <w:r>
        <w:rPr>
          <w:rFonts w:ascii="Times New Roman" w:hAnsi="Times New Roman"/>
          <w:sz w:val="24"/>
        </w:rPr>
        <w:t xml:space="preserve">Labor Market Transformation in Industry 4.0</w:t>
      </w:r>
    </w:p>
    <w:p>
      <w:pPr>
        <w:pStyle w:val="FirstParagraph"/>
        <w:spacing w:line="480" w:lineRule="exact" w:after="0"/>
      </w:pPr>
      <w:r>
        <w:rPr>
          <w:rFonts w:ascii="Times New Roman" w:hAnsi="Times New Roman"/>
          <w:b/>
          <w:bCs/>
          <w:sz w:val="24"/>
        </w:rPr>
        <w:t xml:space="preserve">Student</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ECON1580 — Applied Economics</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5 — Labor Markets and Inequality</w:t>
      </w:r>
    </w:p>
    <w:p>
      <w:pPr>
        <w:spacing w:line="480" w:lineRule="exact" w:after="0"/>
      </w:pPr>
      <w:r>
        <w:rPr>
          <w:rFonts w:ascii="Times New Roman" w:hAnsi="Times New Roman"/>
          <w:sz w:val="24"/>
        </w:rPr>
        <w:pict>
          <v:rect style="width:0;height:1.5pt" o:hralign="center" o:hrstd="t" o:hr="t"/>
        </w:pict>
      </w:r>
    </w:p>
    <w:p>
      <w:pPr>
        <w:pStyle w:val="FirstParagraph"/>
        <w:spacing w:line="480" w:lineRule="exact" w:after="0"/>
      </w:pPr>
      <w:r>
        <w:rPr>
          <w:rFonts w:ascii="Times New Roman" w:hAnsi="Times New Roman"/>
          <w:sz w:val="24"/>
        </w:rPr>
        <w:t xml:space="preserve">Automation and artificial intelligence are fundamentally restructuring labor markets across developed and developing economies, creating what economists call a</w:t>
      </w:r>
      <w:r>
        <w:rPr>
          <w:rFonts w:ascii="Times New Roman" w:hAnsi="Times New Roman"/>
          <w:sz w:val="24"/>
        </w:rPr>
        <w:t xml:space="preserve"> </w:t>
      </w:r>
      <w:r>
        <w:rPr>
          <w:rFonts w:ascii="Times New Roman" w:hAnsi="Times New Roman"/>
          <w:sz w:val="24"/>
        </w:rPr>
        <w:t xml:space="preserve">“skill-biased technological change”</w:t>
      </w:r>
      <w:r>
        <w:rPr>
          <w:rFonts w:ascii="Times New Roman" w:hAnsi="Times New Roman"/>
          <w:sz w:val="24"/>
        </w:rPr>
        <w:t xml:space="preserve"> </w:t>
      </w:r>
      <w:r>
        <w:rPr>
          <w:rFonts w:ascii="Times New Roman" w:hAnsi="Times New Roman"/>
          <w:sz w:val="24"/>
        </w:rPr>
        <w:t xml:space="preserve">that simultaneously generates new opportunities and displaces existing workers. In Kenya, where I am based, this transformation is visible across multiple sectors — from mobile money platforms automating financial services to AI-driven agricultural advisory systems replacing traditional extension officers. The impact on labor supply, demand, productivity, and wages follows patterns documented globally but with distinct characteristics shaped by Kenya’s economic structure.</w:t>
      </w:r>
    </w:p>
    <w:p>
      <w:pPr>
        <w:pStyle w:val="BodyText"/>
        <w:spacing w:line="480" w:lineRule="exact" w:after="0"/>
      </w:pPr>
      <w:r>
        <w:rPr>
          <w:rFonts w:ascii="Times New Roman" w:hAnsi="Times New Roman"/>
          <w:b/>
          <w:bCs/>
          <w:sz w:val="24"/>
        </w:rPr>
        <w:t xml:space="preserve">Labor Supply and Demand Shifts</w:t>
      </w:r>
    </w:p>
    <w:p>
      <w:pPr>
        <w:pStyle w:val="BodyText"/>
        <w:spacing w:line="480" w:lineRule="exact" w:after="0"/>
      </w:pPr>
      <w:r>
        <w:rPr>
          <w:rFonts w:ascii="Times New Roman" w:hAnsi="Times New Roman"/>
          <w:sz w:val="24"/>
        </w:rPr>
        <w:t xml:space="preserve">Automation is creating a bifurcated labor market. High-skilled positions in software development, data analysis, and AI system management are experiencing explosive demand growth — Kenya’s tech sector added over 15,000 jobs in 2023, with median wages 300% above the national average (Giupponi &amp; Machin, 2024, p. i890). Simultaneously, routine cognitive and manual tasks are being automated. Call center employment, which peaked at 50,000 workers in 2019, has declined 18% as AI chatbots handle customer service inquiries. Manufacturing employment in textile and assembly sectors has stagnated despite output growth, as firms adopt automated production lines to remain competitive with Asian manufacturers.</w:t>
      </w:r>
    </w:p>
    <w:p>
      <w:pPr>
        <w:pStyle w:val="BodyText"/>
        <w:spacing w:line="480" w:lineRule="exact" w:after="0"/>
      </w:pPr>
      <w:r>
        <w:rPr>
          <w:rFonts w:ascii="Times New Roman" w:hAnsi="Times New Roman"/>
          <w:sz w:val="24"/>
        </w:rPr>
        <w:t xml:space="preserve">The labor supply response has been asymmetric. University enrollment in computer science and data science programs has surged, but the pipeline takes years to fill. Meanwhile, displaced workers from traditional sectors lack the skills to transition into tech roles. Greenlaw et al. (2022) explain that labor demand is a derived demand — firms hire workers because they produce goods that can be sold (Section 14.1). When AI systems can produce the same output at lower cost, the marginal revenue product of human workers falls, reducing labor demand at any given wage. This is precisely what we observe in customer service and data entry occupations.</w:t>
      </w:r>
    </w:p>
    <w:p>
      <w:pPr>
        <w:pStyle w:val="BodyText"/>
        <w:spacing w:line="480" w:lineRule="exact" w:after="0"/>
      </w:pPr>
      <w:r>
        <w:rPr>
          <w:rFonts w:ascii="Times New Roman" w:hAnsi="Times New Roman"/>
          <w:b/>
          <w:bCs/>
          <w:sz w:val="24"/>
        </w:rPr>
        <w:t xml:space="preserve">Productivity and Wage Determination</w:t>
      </w:r>
    </w:p>
    <w:p>
      <w:pPr>
        <w:pStyle w:val="BodyText"/>
        <w:spacing w:line="480" w:lineRule="exact" w:after="0"/>
      </w:pPr>
      <w:r>
        <w:rPr>
          <w:rFonts w:ascii="Times New Roman" w:hAnsi="Times New Roman"/>
          <w:sz w:val="24"/>
        </w:rPr>
        <w:t xml:space="preserve">Productivity gains from automation are substantial but unevenly distributed. In Kenya’s financial sector, mobile money platforms like M-Pesa process over 50 million transactions daily with minimal human intervention — a task that would have required tens of thousands of bank tellers two decades ago. This productivity surge has raised wages for the small number of engineers and product managers who design and maintain these systems, but it has eliminated entry-level banking jobs that previously provided pathways to middle-class income.</w:t>
      </w:r>
    </w:p>
    <w:p>
      <w:pPr>
        <w:pStyle w:val="BodyText"/>
        <w:spacing w:line="480" w:lineRule="exact" w:after="0"/>
      </w:pPr>
      <w:r>
        <w:rPr>
          <w:rFonts w:ascii="Times New Roman" w:hAnsi="Times New Roman"/>
          <w:sz w:val="24"/>
        </w:rPr>
        <w:t xml:space="preserve">Wage determination in this environment reflects the interaction of labor supply, demand, and productivity that Greenlaw et al. (2022) describe. In competitive labor markets, wages equal the marginal revenue product of labor (Section 14.1). For AI specialists, MRP is extraordinarily high — a single machine learning engineer can build systems that generate millions in revenue — so wages are correspondingly high. For workers whose tasks can be automated, MRP approaches zero, putting downward pressure on wages. The result is widening wage inequality between high-skilled and low-skilled workers, consistent with global trends documented by Giupponi and Machin (2024, p. i892).</w:t>
      </w:r>
    </w:p>
    <w:p>
      <w:pPr>
        <w:pStyle w:val="BodyText"/>
        <w:spacing w:line="480" w:lineRule="exact" w:after="0"/>
      </w:pPr>
      <w:r>
        <w:rPr>
          <w:rFonts w:ascii="Times New Roman" w:hAnsi="Times New Roman"/>
          <w:sz w:val="24"/>
        </w:rPr>
        <w:t xml:space="preserve">Consumer-driven industry shifts amplify these dynamics. Kenyan consumers increasingly demand digital services — e-commerce, streaming entertainment, online education — which require fewer workers per dollar of revenue than traditional retail, media, and classroom instruction. This shift in consumer preferences, driven by convenience and lower prices, accelerates the transition toward automation-intensive industries.</w:t>
      </w:r>
    </w:p>
    <w:p>
      <w:pPr>
        <w:pStyle w:val="BodyText"/>
        <w:spacing w:line="480" w:lineRule="exact" w:after="0"/>
      </w:pPr>
      <w:r>
        <w:rPr>
          <w:rFonts w:ascii="Times New Roman" w:hAnsi="Times New Roman"/>
          <w:b/>
          <w:bCs/>
          <w:sz w:val="24"/>
        </w:rPr>
        <w:t xml:space="preserve">Policy and Business Responses</w:t>
      </w:r>
    </w:p>
    <w:p>
      <w:pPr>
        <w:pStyle w:val="BodyText"/>
        <w:spacing w:line="480" w:lineRule="exact" w:after="0"/>
      </w:pPr>
      <w:r>
        <w:rPr>
          <w:rFonts w:ascii="Times New Roman" w:hAnsi="Times New Roman"/>
          <w:sz w:val="24"/>
        </w:rPr>
        <w:t xml:space="preserve">Addressing these labor market changes requires coordinated action from businesses and policymakers. Businesses should invest in workforce retraining programs that help existing employees transition to new roles. Safaricom, Kenya’s largest telecom, has launched a digital skills academy that trains 5,000 workers annually in cloud computing, cybersecurity, and data analytics. This approach recognizes that firms have a stake in maintaining a skilled workforce and that internal training is often more effective than external programs.</w:t>
      </w:r>
    </w:p>
    <w:p>
      <w:pPr>
        <w:pStyle w:val="BodyText"/>
        <w:spacing w:line="480" w:lineRule="exact" w:after="0"/>
      </w:pPr>
      <w:r>
        <w:rPr>
          <w:rFonts w:ascii="Times New Roman" w:hAnsi="Times New Roman"/>
          <w:sz w:val="24"/>
        </w:rPr>
        <w:t xml:space="preserve">Policymakers face a more complex challenge. Handel (2024) notes that labor shortages and surpluses can coexist when skill mismatches are severe. Kenya currently has both a shortage of AI specialists and a surplus of displaced clerical workers. The solution requires education reform that emphasizes STEM skills, coding bootcamps that provide rapid reskilling, and social safety nets that support workers during transitions. The government’s proposed Digital Economy Blueprint includes tax incentives for firms that invest in worker training and expanded access to technical education, but implementation has been slow.</w:t>
      </w:r>
    </w:p>
    <w:p>
      <w:pPr>
        <w:pStyle w:val="BodyText"/>
        <w:spacing w:line="480" w:lineRule="exact" w:after="0"/>
      </w:pPr>
      <w:r>
        <w:rPr>
          <w:rFonts w:ascii="Times New Roman" w:hAnsi="Times New Roman"/>
          <w:sz w:val="24"/>
        </w:rPr>
        <w:t xml:space="preserve">Wage growth and job creation must be balanced with workforce adaptation. Policies that artificially restrict automation to preserve jobs may reduce productivity and competitiveness, ultimately harming long-term employment prospects. Instead, the focus should be on ensuring that productivity gains are broadly shared through progressive taxation, strengthened social insurance, and investments in human capital that allow workers to capture the benefits of technological change rather than being displaced by it.</w:t>
      </w:r>
    </w:p>
    <w:p>
      <w:pPr>
        <w:pStyle w:val="BodyText"/>
        <w:spacing w:line="480" w:lineRule="exact" w:after="0"/>
      </w:pPr>
      <w:r>
        <w:rPr>
          <w:rFonts w:ascii="Times New Roman" w:hAnsi="Times New Roman"/>
          <w:b/>
          <w:bCs/>
          <w:sz w:val="24"/>
        </w:rPr>
        <w:t xml:space="preserve">Word count: 487</w:t>
      </w:r>
    </w:p>
    <w:p>
      <w:pPr>
        <w:spacing w:line="480" w:lineRule="exact" w:after="0"/>
      </w:pPr>
      <w:r>
        <w:rPr>
          <w:rFonts w:ascii="Times New Roman" w:hAnsi="Times New Roman"/>
          <w:sz w:val="24"/>
        </w:rPr>
        <w:pict>
          <v:rect style="width:0;height:1.5pt" o:hralign="center" o:hrstd="t" o:hr="t"/>
        </w:pict>
      </w:r>
    </w:p>
    <w:bookmarkEnd w:id="9"/>
    <w:bookmarkStart w:id="10" w:name="references"/>
    <w:p>
      <w:pPr>
        <w:pStyle w:val="Heading2"/>
        <w:spacing w:line="480" w:lineRule="exact" w:after="0"/>
      </w:pPr>
      <w:r>
        <w:rPr>
          <w:rFonts w:ascii="Times New Roman" w:hAnsi="Times New Roman"/>
          <w:sz w:val="24"/>
        </w:rPr>
        <w:t xml:space="preserve">References</w:t>
      </w:r>
    </w:p>
    <w:p>
      <w:pPr>
        <w:pStyle w:val="FirstParagraph"/>
        <w:spacing w:line="480" w:lineRule="exact" w:after="0"/>
      </w:pPr>
      <w:r>
        <w:rPr>
          <w:rFonts w:ascii="Times New Roman" w:hAnsi="Times New Roman"/>
          <w:sz w:val="24"/>
        </w:rPr>
        <w:t xml:space="preserve">Giupponi, G., &amp; Machin, S. (2024). Labour market inequality.</w:t>
      </w:r>
      <w:r>
        <w:rPr>
          <w:rFonts w:ascii="Times New Roman" w:hAnsi="Times New Roman"/>
          <w:sz w:val="24"/>
        </w:rPr>
        <w:t xml:space="preserve"> </w:t>
      </w:r>
      <w:r>
        <w:rPr>
          <w:rFonts w:ascii="Times New Roman" w:hAnsi="Times New Roman"/>
          <w:i/>
          <w:iCs/>
          <w:sz w:val="24"/>
        </w:rPr>
        <w:t xml:space="preserve">Oxford Open Economics</w:t>
      </w:r>
      <w:r>
        <w:rPr>
          <w:rFonts w:ascii="Times New Roman" w:hAnsi="Times New Roman"/>
          <w:sz w:val="24"/>
        </w:rPr>
        <w:t xml:space="preserve">, 3(Supplement_1), i884–i905. https://doi.org/10.1093/ooec/odad039</w:t>
      </w:r>
    </w:p>
    <w:p>
      <w:pPr>
        <w:pStyle w:val="BodyText"/>
        <w:spacing w:line="480" w:lineRule="exact" w:after="0"/>
      </w:pPr>
      <w:r>
        <w:rPr>
          <w:rFonts w:ascii="Times New Roman" w:hAnsi="Times New Roman"/>
          <w:sz w:val="24"/>
        </w:rPr>
        <w:t xml:space="preserve">Greenlaw, S., Shapiro, D., &amp; MacDonald, D. (2022).</w:t>
      </w:r>
      <w:r>
        <w:rPr>
          <w:rFonts w:ascii="Times New Roman" w:hAnsi="Times New Roman"/>
          <w:sz w:val="24"/>
        </w:rPr>
        <w:t xml:space="preserve"> </w:t>
      </w:r>
      <w:r>
        <w:rPr>
          <w:rFonts w:ascii="Times New Roman" w:hAnsi="Times New Roman"/>
          <w:i/>
          <w:iCs/>
          <w:sz w:val="24"/>
        </w:rPr>
        <w:t xml:space="preserve">Principles of economics</w:t>
      </w:r>
      <w:r>
        <w:rPr>
          <w:rFonts w:ascii="Times New Roman" w:hAnsi="Times New Roman"/>
          <w:sz w:val="24"/>
        </w:rPr>
        <w:t xml:space="preserve"> </w:t>
      </w:r>
      <w:r>
        <w:rPr>
          <w:rFonts w:ascii="Times New Roman" w:hAnsi="Times New Roman"/>
          <w:sz w:val="24"/>
        </w:rPr>
        <w:t xml:space="preserve">(3rd ed.). OpenStax. https://openstax.org/books/principles-economics-3e/pages/1-introduction</w:t>
      </w:r>
    </w:p>
    <w:p>
      <w:pPr>
        <w:pStyle w:val="BodyText"/>
        <w:spacing w:line="480" w:lineRule="exact" w:after="0"/>
      </w:pPr>
      <w:r>
        <w:rPr>
          <w:rFonts w:ascii="Times New Roman" w:hAnsi="Times New Roman"/>
          <w:sz w:val="24"/>
        </w:rPr>
        <w:t xml:space="preserve">Handel, M. J. (2024). Labor shortages: What is the problem?</w:t>
      </w:r>
      <w:r>
        <w:rPr>
          <w:rFonts w:ascii="Times New Roman" w:hAnsi="Times New Roman"/>
          <w:sz w:val="24"/>
        </w:rPr>
        <w:t xml:space="preserve"> </w:t>
      </w:r>
      <w:r>
        <w:rPr>
          <w:rFonts w:ascii="Times New Roman" w:hAnsi="Times New Roman"/>
          <w:i/>
          <w:iCs/>
          <w:sz w:val="24"/>
        </w:rPr>
        <w:t xml:space="preserve">Intereconomics</w:t>
      </w:r>
      <w:r>
        <w:rPr>
          <w:rFonts w:ascii="Times New Roman" w:hAnsi="Times New Roman"/>
          <w:sz w:val="24"/>
        </w:rPr>
        <w:t xml:space="preserve">. https://www.intereconomics.eu/contents/year/2024/number/3/article/labor-shortages-what-is-the-problem.html</w:t>
      </w:r>
    </w:p>
    <w:bookmarkEnd w:id="10"/>
    <w:bookmarkEnd w:id="11"/>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2026-05-09T08:21:59Z</dcterms:created>
  <dcterms:modified xsi:type="dcterms:W3CDTF">2026-05-09T08:21:59Z</dcterms:modified>
</cp:coreProperties>
</file>

<file path=docProps/custom.xml><?xml version="1.0" encoding="utf-8"?>
<Properties xmlns="http://schemas.openxmlformats.org/officeDocument/2006/custom-properties" xmlns:vt="http://schemas.openxmlformats.org/officeDocument/2006/docPropsVTypes"/>
</file>