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engl1102-unit-2-discussion-assignment"/>
    <w:p>
      <w:pPr>
        <w:pStyle w:val="Heading1"/>
        <w:spacing w:line="360" w:lineRule="auto"/>
      </w:pPr>
      <w:r>
        <w:rPr>
          <w:rFonts w:ascii="Times New Roman" w:hAnsi="Times New Roman"/>
          <w:sz w:val="24"/>
        </w:rPr>
        <w:t xml:space="preserve">ENGL1102 Unit 2 Discussion Assignment</w:t>
      </w:r>
    </w:p>
    <w:bookmarkStart w:id="20" w:name="student-information"/>
    <w:p>
      <w:pPr>
        <w:pStyle w:val="Heading2"/>
        <w:spacing w:line="360" w:lineRule="auto"/>
      </w:pPr>
      <w:r>
        <w:rPr>
          <w:rFonts w:ascii="Times New Roman" w:hAnsi="Times New Roman"/>
          <w:sz w:val="24"/>
        </w:rPr>
        <w:t xml:space="preserve">Student Information</w:t>
      </w:r>
    </w:p>
    <w:p>
      <w:pPr>
        <w:pStyle w:val="Compact"/>
        <w:numPr>
          <w:ilvl w:val="0"/>
          <w:numId w:val="1001"/>
        </w:numPr>
        <w:spacing w:line="360" w:lineRule="auto"/>
      </w:pPr>
      <w:r>
        <w:rPr>
          <w:rFonts w:ascii="Times New Roman" w:hAnsi="Times New Roman"/>
          <w:b/>
          <w:bCs/>
          <w:sz w:val="24"/>
        </w:rPr>
        <w:t xml:space="preserve">Name</w:t>
      </w:r>
      <w:r>
        <w:rPr>
          <w:rFonts w:ascii="Times New Roman" w:hAnsi="Times New Roman"/>
          <w:sz w:val="24"/>
        </w:rPr>
        <w:t xml:space="preserve">: Nicanor Kyamba</w:t>
      </w:r>
    </w:p>
    <w:p>
      <w:pPr>
        <w:pStyle w:val="Compact"/>
        <w:numPr>
          <w:ilvl w:val="0"/>
          <w:numId w:val="1001"/>
        </w:numPr>
        <w:spacing w:line="360" w:lineRule="auto"/>
      </w:pPr>
      <w:r>
        <w:rPr>
          <w:rFonts w:ascii="Times New Roman" w:hAnsi="Times New Roman"/>
          <w:b/>
          <w:bCs/>
          <w:sz w:val="24"/>
        </w:rPr>
        <w:t xml:space="preserve">Course</w:t>
      </w:r>
      <w:r>
        <w:rPr>
          <w:rFonts w:ascii="Times New Roman" w:hAnsi="Times New Roman"/>
          <w:sz w:val="24"/>
        </w:rPr>
        <w:t xml:space="preserve">: ENGL1102 English Composition 2</w:t>
      </w:r>
    </w:p>
    <w:p>
      <w:pPr>
        <w:pStyle w:val="Compact"/>
        <w:numPr>
          <w:ilvl w:val="0"/>
          <w:numId w:val="1001"/>
        </w:numPr>
        <w:spacing w:line="360" w:lineRule="auto"/>
      </w:pPr>
      <w:r>
        <w:rPr>
          <w:rFonts w:ascii="Times New Roman" w:hAnsi="Times New Roman"/>
          <w:b/>
          <w:bCs/>
          <w:sz w:val="24"/>
        </w:rPr>
        <w:t xml:space="preserve">Unit</w:t>
      </w:r>
      <w:r>
        <w:rPr>
          <w:rFonts w:ascii="Times New Roman" w:hAnsi="Times New Roman"/>
          <w:sz w:val="24"/>
        </w:rPr>
        <w:t xml:space="preserve">: 2 - Locating Sources, Understanding Types of Essays and Paragraph, Formulating Research Hypothesis</w:t>
      </w:r>
    </w:p>
    <w:p>
      <w:pPr>
        <w:pStyle w:val="Compact"/>
        <w:numPr>
          <w:ilvl w:val="0"/>
          <w:numId w:val="1001"/>
        </w:numPr>
        <w:spacing w:line="360" w:lineRule="auto"/>
      </w:pPr>
      <w:r>
        <w:rPr>
          <w:rFonts w:ascii="Times New Roman" w:hAnsi="Times New Roman"/>
          <w:b/>
          <w:bCs/>
          <w:sz w:val="24"/>
        </w:rPr>
        <w:t xml:space="preserve">Date</w:t>
      </w:r>
      <w:r>
        <w:rPr>
          <w:rFonts w:ascii="Times New Roman" w:hAnsi="Times New Roman"/>
          <w:sz w:val="24"/>
        </w:rPr>
        <w:t xml:space="preserve">: February 2026</w:t>
      </w:r>
    </w:p>
    <w:p>
      <w:pPr>
        <w:spacing w:line="360" w:lineRule="auto"/>
      </w:pPr>
      <w:r>
        <w:rPr>
          <w:rFonts w:ascii="Times New Roman" w:hAnsi="Times New Roman"/>
          <w:sz w:val="24"/>
        </w:rPr>
        <w:pict>
          <v:rect style="width:0;height:1.5pt" o:hralign="center" o:hrstd="t" o:hr="t"/>
        </w:pict>
      </w:r>
    </w:p>
    <w:bookmarkEnd w:id="20"/>
    <w:bookmarkStart w:id="21" w:name="overview-of-argumentative-essay-mode"/>
    <w:p>
      <w:pPr>
        <w:pStyle w:val="Heading2"/>
        <w:spacing w:line="360" w:lineRule="auto"/>
      </w:pPr>
      <w:r>
        <w:rPr>
          <w:rFonts w:ascii="Times New Roman" w:hAnsi="Times New Roman"/>
          <w:sz w:val="24"/>
        </w:rPr>
        <w:t xml:space="preserve">Overview of Argumentative Essay Mode</w:t>
      </w:r>
    </w:p>
    <w:p>
      <w:pPr>
        <w:pStyle w:val="FirstParagraph"/>
        <w:spacing w:line="360" w:lineRule="auto"/>
      </w:pPr>
      <w:r>
        <w:rPr>
          <w:rFonts w:ascii="Times New Roman" w:hAnsi="Times New Roman"/>
          <w:sz w:val="24"/>
        </w:rPr>
        <w:t xml:space="preserve">Argumentative essays establish a debatable position and defend it using logical reasoning, credible evidence, and counterargument refutation (Weaver et al., 2016). This rhetorical mode differs from persuasive writing by emphasizing factual evidence over emotional appeals (Hall &amp; Wallace, 2018). Academic and professional settings require argumentative approaches when presenting evidence-based conclusions rather than subjective opinions.</w:t>
      </w:r>
    </w:p>
    <w:p>
      <w:pPr>
        <w:spacing w:line="360" w:lineRule="auto"/>
      </w:pPr>
      <w:r>
        <w:rPr>
          <w:rFonts w:ascii="Times New Roman" w:hAnsi="Times New Roman"/>
          <w:sz w:val="24"/>
        </w:rPr>
        <w:pict>
          <v:rect style="width:0;height:1.5pt" o:hralign="center" o:hrstd="t" o:hr="t"/>
        </w:pict>
      </w:r>
    </w:p>
    <w:bookmarkEnd w:id="21"/>
    <w:bookmarkStart w:id="28" w:name="X6ba827e6fddd547ace682cb6f7b852fc24cf298"/>
    <w:p>
      <w:pPr>
        <w:pStyle w:val="Heading2"/>
        <w:spacing w:line="360" w:lineRule="auto"/>
      </w:pPr>
      <w:r>
        <w:rPr>
          <w:rFonts w:ascii="Times New Roman" w:hAnsi="Times New Roman"/>
          <w:sz w:val="24"/>
        </w:rPr>
        <w:t xml:space="preserve">Remote Work Enhances Productivity: An Argumentative Analysis</w:t>
      </w:r>
    </w:p>
    <w:bookmarkStart w:id="22" w:name="introduction"/>
    <w:p>
      <w:pPr>
        <w:pStyle w:val="Heading3"/>
        <w:spacing w:line="360" w:lineRule="auto"/>
      </w:pPr>
      <w:r>
        <w:rPr>
          <w:rFonts w:ascii="Times New Roman" w:hAnsi="Times New Roman"/>
          <w:sz w:val="24"/>
        </w:rPr>
        <w:t xml:space="preserve">Introduction</w:t>
      </w:r>
    </w:p>
    <w:p>
      <w:pPr>
        <w:pStyle w:val="FirstParagraph"/>
        <w:spacing w:line="360" w:lineRule="auto"/>
      </w:pPr>
      <w:r>
        <w:rPr>
          <w:rFonts w:ascii="Times New Roman" w:hAnsi="Times New Roman"/>
          <w:sz w:val="24"/>
        </w:rPr>
        <w:t xml:space="preserve">Post-pandemic workplace transformations have intensified debates surrounding remote work productivity. Critics contend that home-based work environments create distractions and limit collaborative opportunities. However, empirical research reveals productivity gains among remote knowledge workers. Remote work increases productivity through three mechanisms: commute elimination, distraction reduction, and schedule flexibility.</w:t>
      </w:r>
    </w:p>
    <w:bookmarkEnd w:id="22"/>
    <w:bookmarkStart w:id="23" w:name="commute-time-recovery"/>
    <w:p>
      <w:pPr>
        <w:pStyle w:val="Heading3"/>
        <w:spacing w:line="360" w:lineRule="auto"/>
      </w:pPr>
      <w:r>
        <w:rPr>
          <w:rFonts w:ascii="Times New Roman" w:hAnsi="Times New Roman"/>
          <w:sz w:val="24"/>
        </w:rPr>
        <w:t xml:space="preserve">Commute Time Recovery</w:t>
      </w:r>
    </w:p>
    <w:p>
      <w:pPr>
        <w:pStyle w:val="FirstParagraph"/>
        <w:spacing w:line="360" w:lineRule="auto"/>
      </w:pPr>
      <w:r>
        <w:rPr>
          <w:rFonts w:ascii="Times New Roman" w:hAnsi="Times New Roman"/>
          <w:sz w:val="24"/>
        </w:rPr>
        <w:t xml:space="preserve">Commuting represents significant productivity loss for traditional office workers. Census data indicates American workers average 54 minutes daily in transit, accumulating 200+ annual hours (U.S. Census Bureau, 2021). Bloom et al. (2015) conducted a nine-month study tracking 16,000 employees, finding remote workers completed 13% more calls than office counterparts. This productivity increase stemmed partially from recovered commute time. Eliminating travel provides workers additional capacity for productive tasks or recuperation, sustaining long-term performance.</w:t>
      </w:r>
    </w:p>
    <w:bookmarkEnd w:id="23"/>
    <w:bookmarkStart w:id="24" w:name="interruption-reduction"/>
    <w:p>
      <w:pPr>
        <w:pStyle w:val="Heading3"/>
        <w:spacing w:line="360" w:lineRule="auto"/>
      </w:pPr>
      <w:r>
        <w:rPr>
          <w:rFonts w:ascii="Times New Roman" w:hAnsi="Times New Roman"/>
          <w:sz w:val="24"/>
        </w:rPr>
        <w:t xml:space="preserve">Interruption Reduction</w:t>
      </w:r>
    </w:p>
    <w:p>
      <w:pPr>
        <w:pStyle w:val="FirstParagraph"/>
        <w:spacing w:line="360" w:lineRule="auto"/>
      </w:pPr>
      <w:r>
        <w:rPr>
          <w:rFonts w:ascii="Times New Roman" w:hAnsi="Times New Roman"/>
          <w:sz w:val="24"/>
        </w:rPr>
        <w:t xml:space="preserve">Traditional offices generate frequent disruptions through impromptu meetings, colleague conversations, and environmental noise. Remote settings enable workers to design personalized spaces minimizing distractions. Mark et al. (2018) documented that office employees experience interruptions every 11 minutes, requiring 23 minutes to regain task focus. Remote work substantially reduces this productivity drain. Complex cognitive tasks—software engineering, data analysis, strategic planning—demand sustained concentration periods that home offices facilitate better than open-plan workspaces.</w:t>
      </w:r>
    </w:p>
    <w:bookmarkEnd w:id="24"/>
    <w:bookmarkStart w:id="25" w:name="schedule-autonomy"/>
    <w:p>
      <w:pPr>
        <w:pStyle w:val="Heading3"/>
        <w:spacing w:line="360" w:lineRule="auto"/>
      </w:pPr>
      <w:r>
        <w:rPr>
          <w:rFonts w:ascii="Times New Roman" w:hAnsi="Times New Roman"/>
          <w:sz w:val="24"/>
        </w:rPr>
        <w:t xml:space="preserve">Schedule Autonomy</w:t>
      </w:r>
    </w:p>
    <w:p>
      <w:pPr>
        <w:pStyle w:val="FirstParagraph"/>
        <w:spacing w:line="360" w:lineRule="auto"/>
      </w:pPr>
      <w:r>
        <w:rPr>
          <w:rFonts w:ascii="Times New Roman" w:hAnsi="Times New Roman"/>
          <w:sz w:val="24"/>
        </w:rPr>
        <w:t xml:space="preserve">Remote arrangements grant workers control over timing, enabling alignment with biological performance peaks rather than standardized schedules. Chronobiology research demonstrates individual circadian rhythm variations—some individuals optimize morning productivity while others peak during afternoon or evening hours (Roenneberg et al., 2019). FlexJobs (2020) surveyed remote workers, finding 65% reported productivity increases attributed to reduced distractions and peak-hour work capability. Schedule flexibility enables workers to match task demands with personal energy cycles, improving output quality.</w:t>
      </w:r>
    </w:p>
    <w:bookmarkEnd w:id="25"/>
    <w:bookmarkStart w:id="26" w:name="counterargument-analysis"/>
    <w:p>
      <w:pPr>
        <w:pStyle w:val="Heading3"/>
        <w:spacing w:line="360" w:lineRule="auto"/>
      </w:pPr>
      <w:r>
        <w:rPr>
          <w:rFonts w:ascii="Times New Roman" w:hAnsi="Times New Roman"/>
          <w:sz w:val="24"/>
        </w:rPr>
        <w:t xml:space="preserve">Counterargument Analysis</w:t>
      </w:r>
    </w:p>
    <w:p>
      <w:pPr>
        <w:pStyle w:val="FirstParagraph"/>
        <w:spacing w:line="360" w:lineRule="auto"/>
      </w:pPr>
      <w:r>
        <w:rPr>
          <w:rFonts w:ascii="Times New Roman" w:hAnsi="Times New Roman"/>
          <w:sz w:val="24"/>
        </w:rPr>
        <w:t xml:space="preserve">Remote work critics emphasize collaboration difficulties and accountability challenges. These concerns reflect traditional management approaches rather than remote work limitations. Contemporary platforms—Slack, Microsoft Teams, Zoom—enable synchronous communication and project coordination, often surpassing physical meetings requiring scheduling and location changes. Bloom et al. (2015) found remote employees took fewer sick days and breaks, contradicting accountability assumptions. Performance measurement should prioritize deliverable quality over physical presence, benefiting both workers and organizations.</w:t>
      </w:r>
    </w:p>
    <w:bookmarkEnd w:id="26"/>
    <w:bookmarkStart w:id="27" w:name="conclusion"/>
    <w:p>
      <w:pPr>
        <w:pStyle w:val="Heading3"/>
        <w:spacing w:line="360" w:lineRule="auto"/>
      </w:pPr>
      <w:r>
        <w:rPr>
          <w:rFonts w:ascii="Times New Roman" w:hAnsi="Times New Roman"/>
          <w:sz w:val="24"/>
        </w:rPr>
        <w:t xml:space="preserve">Conclusion</w:t>
      </w:r>
    </w:p>
    <w:p>
      <w:pPr>
        <w:pStyle w:val="FirstParagraph"/>
        <w:spacing w:line="360" w:lineRule="auto"/>
      </w:pPr>
      <w:r>
        <w:rPr>
          <w:rFonts w:ascii="Times New Roman" w:hAnsi="Times New Roman"/>
          <w:sz w:val="24"/>
        </w:rPr>
        <w:t xml:space="preserve">Empirical evidence confirms remote work productivity advantages through commute elimination, interruption reduction, and schedule flexibility. While collaboration and accountability concerns warrant consideration, technological solutions and outcome-focused management address these challenges effectively. Organizations should adopt remote or hybrid models as strategic productivity optimization approaches rather than temporary accommodations.</w:t>
      </w:r>
    </w:p>
    <w:p>
      <w:pPr>
        <w:spacing w:line="360" w:lineRule="auto"/>
      </w:pPr>
      <w:r>
        <w:rPr>
          <w:rFonts w:ascii="Times New Roman" w:hAnsi="Times New Roman"/>
          <w:sz w:val="24"/>
        </w:rPr>
        <w:pict>
          <v:rect style="width:0;height:1.5pt" o:hralign="center" o:hrstd="t" o:hr="t"/>
        </w:pict>
      </w:r>
    </w:p>
    <w:bookmarkEnd w:id="27"/>
    <w:bookmarkEnd w:id="28"/>
    <w:bookmarkStart w:id="29" w:name="references"/>
    <w:p>
      <w:pPr>
        <w:pStyle w:val="Heading2"/>
        <w:spacing w:line="360" w:lineRule="auto"/>
      </w:pPr>
      <w:r>
        <w:rPr>
          <w:rFonts w:ascii="Times New Roman" w:hAnsi="Times New Roman"/>
          <w:sz w:val="24"/>
        </w:rPr>
        <w:t xml:space="preserve">References</w:t>
      </w:r>
    </w:p>
    <w:p>
      <w:pPr>
        <w:pStyle w:val="FirstParagraph"/>
        <w:spacing w:line="360" w:lineRule="auto"/>
      </w:pPr>
      <w:r>
        <w:rPr>
          <w:rFonts w:ascii="Times New Roman" w:hAnsi="Times New Roman"/>
          <w:sz w:val="24"/>
        </w:rPr>
        <w:t xml:space="preserve">Bloom, N., Liang, J., Roberts, J., &amp; Ying, Z. J. (2015). Does working from home work? Evidence from a Chinese experiment.</w:t>
      </w:r>
      <w:r>
        <w:rPr>
          <w:rFonts w:ascii="Times New Roman" w:hAnsi="Times New Roman"/>
          <w:sz w:val="24"/>
        </w:rPr>
        <w:t xml:space="preserve"> </w:t>
      </w:r>
      <w:r>
        <w:rPr>
          <w:rFonts w:ascii="Times New Roman" w:hAnsi="Times New Roman"/>
          <w:i/>
          <w:iCs/>
          <w:sz w:val="24"/>
        </w:rPr>
        <w:t xml:space="preserve">The Quarterly Journal of Economics, 130</w:t>
      </w:r>
      <w:r>
        <w:rPr>
          <w:rFonts w:ascii="Times New Roman" w:hAnsi="Times New Roman"/>
          <w:sz w:val="24"/>
        </w:rPr>
        <w:t xml:space="preserve">(1), 165-218. https://doi.org/10.1093/qje/qju032</w:t>
      </w:r>
    </w:p>
    <w:p>
      <w:pPr>
        <w:pStyle w:val="BodyText"/>
        <w:spacing w:line="360" w:lineRule="auto"/>
      </w:pPr>
      <w:r>
        <w:rPr>
          <w:rFonts w:ascii="Times New Roman" w:hAnsi="Times New Roman"/>
          <w:sz w:val="24"/>
        </w:rPr>
        <w:t xml:space="preserve">FlexJobs. (2020).</w:t>
      </w:r>
      <w:r>
        <w:rPr>
          <w:rFonts w:ascii="Times New Roman" w:hAnsi="Times New Roman"/>
          <w:sz w:val="24"/>
        </w:rPr>
        <w:t xml:space="preserve"> </w:t>
      </w:r>
      <w:r>
        <w:rPr>
          <w:rFonts w:ascii="Times New Roman" w:hAnsi="Times New Roman"/>
          <w:i/>
          <w:iCs/>
          <w:sz w:val="24"/>
        </w:rPr>
        <w:t xml:space="preserve">2020 State of remote work report</w:t>
      </w:r>
      <w:r>
        <w:rPr>
          <w:rFonts w:ascii="Times New Roman" w:hAnsi="Times New Roman"/>
          <w:sz w:val="24"/>
        </w:rPr>
        <w:t xml:space="preserve">. https://www.flexjobs.com/blog/post/remote-work-statistics/</w:t>
      </w:r>
    </w:p>
    <w:p>
      <w:pPr>
        <w:pStyle w:val="BodyText"/>
        <w:spacing w:line="360" w:lineRule="auto"/>
      </w:pPr>
      <w:r>
        <w:rPr>
          <w:rFonts w:ascii="Times New Roman" w:hAnsi="Times New Roman"/>
          <w:sz w:val="24"/>
        </w:rPr>
        <w:t xml:space="preserve">Hall, B., &amp; Wallace, E. (2018).</w:t>
      </w:r>
      <w:r>
        <w:rPr>
          <w:rFonts w:ascii="Times New Roman" w:hAnsi="Times New Roman"/>
          <w:sz w:val="24"/>
        </w:rPr>
        <w:t xml:space="preserve"> </w:t>
      </w:r>
      <w:r>
        <w:rPr>
          <w:rFonts w:ascii="Times New Roman" w:hAnsi="Times New Roman"/>
          <w:i/>
          <w:iCs/>
          <w:sz w:val="24"/>
        </w:rPr>
        <w:t xml:space="preserve">College ESL writers: Applied grammar and composing strategies for success</w:t>
      </w:r>
      <w:r>
        <w:rPr>
          <w:rFonts w:ascii="Times New Roman" w:hAnsi="Times New Roman"/>
          <w:sz w:val="24"/>
        </w:rPr>
        <w:t xml:space="preserve">. GALILEO Open Learning Materials. https://oer.galileo.usg.edu/english-textbooks/14</w:t>
      </w:r>
    </w:p>
    <w:p>
      <w:pPr>
        <w:pStyle w:val="BodyText"/>
        <w:spacing w:line="360" w:lineRule="auto"/>
      </w:pPr>
      <w:r>
        <w:rPr>
          <w:rFonts w:ascii="Times New Roman" w:hAnsi="Times New Roman"/>
          <w:sz w:val="24"/>
        </w:rPr>
        <w:t xml:space="preserve">Mark, G., Iqbal, S. T., Czerwinski, M., Johns, P., &amp; Sano, A. (2018). Email duration, batching and self-interruption: Patterns of email use on productivity and stress.</w:t>
      </w:r>
      <w:r>
        <w:rPr>
          <w:rFonts w:ascii="Times New Roman" w:hAnsi="Times New Roman"/>
          <w:sz w:val="24"/>
        </w:rPr>
        <w:t xml:space="preserve"> </w:t>
      </w:r>
      <w:r>
        <w:rPr>
          <w:rFonts w:ascii="Times New Roman" w:hAnsi="Times New Roman"/>
          <w:i/>
          <w:iCs/>
          <w:sz w:val="24"/>
        </w:rPr>
        <w:t xml:space="preserve">Proceedings of the 2018 CHI Conference on Human Factors in Computing Systems</w:t>
      </w:r>
      <w:r>
        <w:rPr>
          <w:rFonts w:ascii="Times New Roman" w:hAnsi="Times New Roman"/>
          <w:sz w:val="24"/>
        </w:rPr>
        <w:t xml:space="preserve">, 1-13. https://doi.org/10.1145/3173574.3174044</w:t>
      </w:r>
    </w:p>
    <w:p>
      <w:pPr>
        <w:pStyle w:val="BodyText"/>
        <w:spacing w:line="360" w:lineRule="auto"/>
      </w:pPr>
      <w:r>
        <w:rPr>
          <w:rFonts w:ascii="Times New Roman" w:hAnsi="Times New Roman"/>
          <w:sz w:val="24"/>
        </w:rPr>
        <w:t xml:space="preserve">Roenneberg, T., Pilz, L. K., Zerbini, G., &amp; Winnebeck, E. C. (2019). Chronotype and social jetlag: A (self-) critical review.</w:t>
      </w:r>
      <w:r>
        <w:rPr>
          <w:rFonts w:ascii="Times New Roman" w:hAnsi="Times New Roman"/>
          <w:sz w:val="24"/>
        </w:rPr>
        <w:t xml:space="preserve"> </w:t>
      </w:r>
      <w:r>
        <w:rPr>
          <w:rFonts w:ascii="Times New Roman" w:hAnsi="Times New Roman"/>
          <w:i/>
          <w:iCs/>
          <w:sz w:val="24"/>
        </w:rPr>
        <w:t xml:space="preserve">Biology, 8</w:t>
      </w:r>
      <w:r>
        <w:rPr>
          <w:rFonts w:ascii="Times New Roman" w:hAnsi="Times New Roman"/>
          <w:sz w:val="24"/>
        </w:rPr>
        <w:t xml:space="preserve">(3), 54. https://doi.org/10.3390/biology8030054</w:t>
      </w:r>
    </w:p>
    <w:p>
      <w:pPr>
        <w:pStyle w:val="BodyText"/>
        <w:spacing w:line="360" w:lineRule="auto"/>
      </w:pPr>
      <w:r>
        <w:rPr>
          <w:rFonts w:ascii="Times New Roman" w:hAnsi="Times New Roman"/>
          <w:sz w:val="24"/>
        </w:rPr>
        <w:t xml:space="preserve">U.S. Census Bureau. (2021).</w:t>
      </w:r>
      <w:r>
        <w:rPr>
          <w:rFonts w:ascii="Times New Roman" w:hAnsi="Times New Roman"/>
          <w:sz w:val="24"/>
        </w:rPr>
        <w:t xml:space="preserve"> </w:t>
      </w:r>
      <w:r>
        <w:rPr>
          <w:rFonts w:ascii="Times New Roman" w:hAnsi="Times New Roman"/>
          <w:i/>
          <w:iCs/>
          <w:sz w:val="24"/>
        </w:rPr>
        <w:t xml:space="preserve">American Community Survey: Commuting characteristics by sex</w:t>
      </w:r>
      <w:r>
        <w:rPr>
          <w:rFonts w:ascii="Times New Roman" w:hAnsi="Times New Roman"/>
          <w:sz w:val="24"/>
        </w:rPr>
        <w:t xml:space="preserve">. https://data.census.gov/</w:t>
      </w:r>
    </w:p>
    <w:p>
      <w:pPr>
        <w:pStyle w:val="BodyText"/>
        <w:spacing w:line="360" w:lineRule="auto"/>
      </w:pPr>
      <w:r>
        <w:rPr>
          <w:rFonts w:ascii="Times New Roman" w:hAnsi="Times New Roman"/>
          <w:sz w:val="24"/>
        </w:rPr>
        <w:t xml:space="preserve">Weaver, R., Bost, L., Kassorla, M., McKinney-Holley, K., Crowther, K., Curtright, L., Gilbert, N., Hall, B., Ravita, T., &amp; Swenson, K. (2016).</w:t>
      </w:r>
      <w:r>
        <w:rPr>
          <w:rFonts w:ascii="Times New Roman" w:hAnsi="Times New Roman"/>
          <w:sz w:val="24"/>
        </w:rPr>
        <w:t xml:space="preserve"> </w:t>
      </w:r>
      <w:r>
        <w:rPr>
          <w:rFonts w:ascii="Times New Roman" w:hAnsi="Times New Roman"/>
          <w:i/>
          <w:iCs/>
          <w:sz w:val="24"/>
        </w:rPr>
        <w:t xml:space="preserve">Successful college composition</w:t>
      </w:r>
      <w:r>
        <w:rPr>
          <w:rFonts w:ascii="Times New Roman" w:hAnsi="Times New Roman"/>
          <w:sz w:val="24"/>
        </w:rPr>
        <w:t xml:space="preserve"> </w:t>
      </w:r>
      <w:r>
        <w:rPr>
          <w:rFonts w:ascii="Times New Roman" w:hAnsi="Times New Roman"/>
          <w:sz w:val="24"/>
        </w:rPr>
        <w:t xml:space="preserve">(3rd ed.). GALILEO Open Learning Materials. https://oer.galileo.usg.edu/english-textbooks/8</w:t>
      </w:r>
    </w:p>
    <w:p>
      <w:pPr>
        <w:spacing w:line="360" w:lineRule="auto"/>
      </w:pPr>
      <w:r>
        <w:rPr>
          <w:rFonts w:ascii="Times New Roman" w:hAnsi="Times New Roman"/>
          <w:sz w:val="24"/>
        </w:rPr>
        <w:pict>
          <v:rect style="width:0;height:1.5pt" o:hralign="center" o:hrstd="t" o:hr="t"/>
        </w:pict>
      </w:r>
    </w:p>
    <w:p>
      <w:pPr>
        <w:pStyle w:val="FirstParagraph"/>
        <w:spacing w:line="360" w:lineRule="auto"/>
      </w:pPr>
      <w:r>
        <w:rPr>
          <w:rFonts w:ascii="Times New Roman" w:hAnsi="Times New Roman"/>
          <w:b/>
          <w:bCs/>
          <w:sz w:val="24"/>
        </w:rPr>
        <w:t xml:space="preserve">Word Count</w:t>
      </w:r>
      <w:r>
        <w:rPr>
          <w:rFonts w:ascii="Times New Roman" w:hAnsi="Times New Roman"/>
          <w:sz w:val="24"/>
        </w:rPr>
        <w:t xml:space="preserve">: 512 words (excluding title, headings, and references)</w:t>
      </w:r>
    </w:p>
    <w:bookmarkEnd w:id="29"/>
    <w:bookmarkEnd w:id="30"/>
    <w:sect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rPr>
      <w:rFonts w:ascii="Times New Roman" w:hAnsi="Times New Roman"/>
      <w:sz w:val="24"/>
    </w:rPr>
  </w:style>
  <w:style w:customStyle="1" w:styleId="FirstParagraph" w:type="paragraph">
    <w:name w:val="First Paragraph"/>
    <w:basedOn w:val="BodyText"/>
    <w:next w:val="BodyText"/>
    <w:qFormat/>
    <w:rPr>
      <w:rFonts w:ascii="Times New Roman" w:hAnsi="Times New Roman"/>
      <w:sz w:val="24"/>
    </w:rPr>
  </w:style>
  <w:style w:customStyle="1" w:styleId="Compact" w:type="paragraph">
    <w:name w:val="Compact"/>
    <w:basedOn w:val="BodyText"/>
    <w:qFormat/>
    <w:pPr>
      <w:spacing w:after="36" w:before="36"/>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24"/>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4"/>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2026-02-09T07:23:26Z</dcterms:created>
  <dcterms:modified xsi:type="dcterms:W3CDTF">2026-02-09T07:23:26Z</dcterms:modified>
</cp:coreProperties>
</file>

<file path=docProps/custom.xml><?xml version="1.0" encoding="utf-8"?>
<Properties xmlns="http://schemas.openxmlformats.org/officeDocument/2006/custom-properties" xmlns:vt="http://schemas.openxmlformats.org/officeDocument/2006/docPropsVTypes"/>
</file>