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02601d56b4dd3c8a0882feaa5a6b3364926269"/>
    <w:p>
      <w:pPr>
        <w:pStyle w:val="Heading1"/>
        <w:spacing w:line="480" w:lineRule="auto"/>
      </w:pPr>
      <w:r>
        <w:rPr>
          <w:rFonts w:ascii="Times New Roman" w:hAnsi="Times New Roman"/>
          <w:sz w:val="24"/>
        </w:rPr>
        <w:t xml:space="preserve">Cybersecurity Investment and Data Breach Prevention in Small Businesses</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0" w:name="research-hypothesis"/>
    <w:p>
      <w:pPr>
        <w:pStyle w:val="Heading2"/>
        <w:spacing w:line="480" w:lineRule="auto"/>
      </w:pPr>
      <w:r>
        <w:rPr>
          <w:rFonts w:ascii="Times New Roman" w:hAnsi="Times New Roman"/>
          <w:sz w:val="24"/>
        </w:rPr>
        <w:t xml:space="preserve">Research Hypothesis</w:t>
      </w:r>
    </w:p>
    <w:p>
      <w:pPr>
        <w:pStyle w:val="FirstParagraph"/>
        <w:spacing w:line="480" w:lineRule="auto"/>
      </w:pPr>
      <w:r>
        <w:rPr>
          <w:rFonts w:ascii="Times New Roman" w:hAnsi="Times New Roman"/>
          <w:sz w:val="24"/>
        </w:rPr>
        <w:t xml:space="preserve">Small businesses that invest at least 10% of their annual IT budget in comprehensive cybersecurity measures (including employee training, multi-factor authentication, and regular security audits) will experience 50% fewer data breaches compared to businesses with minimal cybersecurity investment over a 24-month period.</w:t>
      </w:r>
    </w:p>
    <w:p>
      <w:pPr>
        <w:pStyle w:val="BodyText"/>
        <w:spacing w:line="480" w:lineRule="auto"/>
      </w:pPr>
      <w:r>
        <w:rPr>
          <w:rFonts w:ascii="Times New Roman" w:hAnsi="Times New Roman"/>
          <w:sz w:val="24"/>
        </w:rPr>
        <w:t xml:space="preserve">This hypothesis aligns with SMART goals criteria (CFI Team, 2023): It is</w:t>
      </w:r>
      <w:r>
        <w:rPr>
          <w:rFonts w:ascii="Times New Roman" w:hAnsi="Times New Roman"/>
          <w:sz w:val="24"/>
        </w:rPr>
        <w:t xml:space="preserve"> </w:t>
      </w:r>
      <w:r>
        <w:rPr>
          <w:rFonts w:ascii="Times New Roman" w:hAnsi="Times New Roman"/>
          <w:b/>
          <w:bCs/>
          <w:sz w:val="24"/>
        </w:rPr>
        <w:t xml:space="preserve">Specific</w:t>
      </w:r>
      <w:r>
        <w:rPr>
          <w:rFonts w:ascii="Times New Roman" w:hAnsi="Times New Roman"/>
          <w:sz w:val="24"/>
        </w:rPr>
        <w:t xml:space="preserve"> </w:t>
      </w:r>
      <w:r>
        <w:rPr>
          <w:rFonts w:ascii="Times New Roman" w:hAnsi="Times New Roman"/>
          <w:sz w:val="24"/>
        </w:rPr>
        <w:t xml:space="preserve">by defining exact measures and outcomes;</w:t>
      </w:r>
      <w:r>
        <w:rPr>
          <w:rFonts w:ascii="Times New Roman" w:hAnsi="Times New Roman"/>
          <w:sz w:val="24"/>
        </w:rPr>
        <w:t xml:space="preserve"> </w:t>
      </w:r>
      <w:r>
        <w:rPr>
          <w:rFonts w:ascii="Times New Roman" w:hAnsi="Times New Roman"/>
          <w:b/>
          <w:bCs/>
          <w:sz w:val="24"/>
        </w:rPr>
        <w:t xml:space="preserve">Measurable</w:t>
      </w:r>
      <w:r>
        <w:rPr>
          <w:rFonts w:ascii="Times New Roman" w:hAnsi="Times New Roman"/>
          <w:sz w:val="24"/>
        </w:rPr>
        <w:t xml:space="preserve"> </w:t>
      </w:r>
      <w:r>
        <w:rPr>
          <w:rFonts w:ascii="Times New Roman" w:hAnsi="Times New Roman"/>
          <w:sz w:val="24"/>
        </w:rPr>
        <w:t xml:space="preserve">through quantifiable metrics (10% budget, 50% reduction, 24 months);</w:t>
      </w:r>
      <w:r>
        <w:rPr>
          <w:rFonts w:ascii="Times New Roman" w:hAnsi="Times New Roman"/>
          <w:sz w:val="24"/>
        </w:rPr>
        <w:t xml:space="preserve"> </w:t>
      </w:r>
      <w:r>
        <w:rPr>
          <w:rFonts w:ascii="Times New Roman" w:hAnsi="Times New Roman"/>
          <w:b/>
          <w:bCs/>
          <w:sz w:val="24"/>
        </w:rPr>
        <w:t xml:space="preserve">Achievable</w:t>
      </w:r>
      <w:r>
        <w:rPr>
          <w:rFonts w:ascii="Times New Roman" w:hAnsi="Times New Roman"/>
          <w:sz w:val="24"/>
        </w:rPr>
        <w:t xml:space="preserve"> </w:t>
      </w:r>
      <w:r>
        <w:rPr>
          <w:rFonts w:ascii="Times New Roman" w:hAnsi="Times New Roman"/>
          <w:sz w:val="24"/>
        </w:rPr>
        <w:t xml:space="preserve">as industry standards recommend 6-15% IT budget allocation for security (Cybersecurity &amp; Infrastructure Security Agency, 2023);</w:t>
      </w:r>
      <w:r>
        <w:rPr>
          <w:rFonts w:ascii="Times New Roman" w:hAnsi="Times New Roman"/>
          <w:sz w:val="24"/>
        </w:rPr>
        <w:t xml:space="preserve"> </w:t>
      </w:r>
      <w:r>
        <w:rPr>
          <w:rFonts w:ascii="Times New Roman" w:hAnsi="Times New Roman"/>
          <w:b/>
          <w:bCs/>
          <w:sz w:val="24"/>
        </w:rPr>
        <w:t xml:space="preserve">Relevant</w:t>
      </w:r>
      <w:r>
        <w:rPr>
          <w:rFonts w:ascii="Times New Roman" w:hAnsi="Times New Roman"/>
          <w:sz w:val="24"/>
        </w:rPr>
        <w:t xml:space="preserve"> </w:t>
      </w:r>
      <w:r>
        <w:rPr>
          <w:rFonts w:ascii="Times New Roman" w:hAnsi="Times New Roman"/>
          <w:sz w:val="24"/>
        </w:rPr>
        <w:t xml:space="preserve">since 60% of small businesses close within six months of cyberattacks (National Cyber Security Alliance, 2023); and</w:t>
      </w:r>
      <w:r>
        <w:rPr>
          <w:rFonts w:ascii="Times New Roman" w:hAnsi="Times New Roman"/>
          <w:sz w:val="24"/>
        </w:rPr>
        <w:t xml:space="preserve"> </w:t>
      </w:r>
      <w:r>
        <w:rPr>
          <w:rFonts w:ascii="Times New Roman" w:hAnsi="Times New Roman"/>
          <w:b/>
          <w:bCs/>
          <w:sz w:val="24"/>
        </w:rPr>
        <w:t xml:space="preserve">Time-bound</w:t>
      </w:r>
      <w:r>
        <w:rPr>
          <w:rFonts w:ascii="Times New Roman" w:hAnsi="Times New Roman"/>
          <w:sz w:val="24"/>
        </w:rPr>
        <w:t xml:space="preserve"> </w:t>
      </w:r>
      <w:r>
        <w:rPr>
          <w:rFonts w:ascii="Times New Roman" w:hAnsi="Times New Roman"/>
          <w:sz w:val="24"/>
        </w:rPr>
        <w:t xml:space="preserve">with a clear 24-month evaluation period. This hypothesis can be tested through quantitative comparison of breach incidents between businesses with comprehensive versus minimal cybersecurity investments.</w:t>
      </w:r>
    </w:p>
    <w:p>
      <w:pPr>
        <w:spacing w:line="480" w:lineRule="auto"/>
      </w:pPr>
      <w:r>
        <w:rPr>
          <w:rFonts w:ascii="Times New Roman" w:hAnsi="Times New Roman"/>
          <w:sz w:val="24"/>
        </w:rPr>
        <w:pict>
          <v:rect style="width:0;height:1.5pt" o:hralign="center" o:hrstd="t" o:hr="t"/>
        </w:pict>
      </w:r>
    </w:p>
    <w:bookmarkEnd w:id="20"/>
    <w:bookmarkStart w:id="26" w:name="credible-sources-for-literature-review"/>
    <w:p>
      <w:pPr>
        <w:pStyle w:val="Heading2"/>
        <w:spacing w:line="480" w:lineRule="auto"/>
      </w:pPr>
      <w:r>
        <w:rPr>
          <w:rFonts w:ascii="Times New Roman" w:hAnsi="Times New Roman"/>
          <w:sz w:val="24"/>
        </w:rPr>
        <w:t xml:space="preserve">Credible Sources for Literature Review</w:t>
      </w:r>
    </w:p>
    <w:bookmarkStart w:id="21" w:name="Xa56ed748ae3b545ec41d1fab11b9d7581ef9277"/>
    <w:p>
      <w:pPr>
        <w:pStyle w:val="Heading3"/>
        <w:spacing w:line="480" w:lineRule="auto"/>
      </w:pPr>
      <w:r>
        <w:rPr>
          <w:rFonts w:ascii="Times New Roman" w:hAnsi="Times New Roman"/>
          <w:sz w:val="24"/>
        </w:rPr>
        <w:t xml:space="preserve">Source 1: Cybersecurity &amp; Infrastructure Security Agency (CISA)</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CISA is the authoritative U.S. federal agency for cybersecurity infrastructure protection under the Department of Homeland Security. As a .gov domain with no commercial interests, it provides unbiased, expert-developed guidance informed by national threat intelligence. The agency collaborates with private sector partners and academic institutions to create evidence-based recommendations regularly updated for emerging threats, making it highly reliable for foundational cybersecurity best practices.</w:t>
      </w:r>
    </w:p>
    <w:bookmarkEnd w:id="21"/>
    <w:bookmarkStart w:id="22" w:name="Xfa082e291afaae36afeeee3b3a761798453a25a"/>
    <w:p>
      <w:pPr>
        <w:pStyle w:val="Heading3"/>
        <w:spacing w:line="480" w:lineRule="auto"/>
      </w:pPr>
      <w:r>
        <w:rPr>
          <w:rFonts w:ascii="Times New Roman" w:hAnsi="Times New Roman"/>
          <w:sz w:val="24"/>
        </w:rPr>
        <w:t xml:space="preserve">Source 2: Computers &amp; Security – Peer-Reviewed Research</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Journal of Risk Finance</w:t>
      </w:r>
      <w:r>
        <w:rPr>
          <w:rFonts w:ascii="Times New Roman" w:hAnsi="Times New Roman"/>
          <w:sz w:val="24"/>
        </w:rPr>
        <w:t xml:space="preserve"> </w:t>
      </w:r>
      <w:r>
        <w:rPr>
          <w:rFonts w:ascii="Times New Roman" w:hAnsi="Times New Roman"/>
          <w:sz w:val="24"/>
        </w:rPr>
        <w:t xml:space="preserve">is a peer-reviewed academic journal published by Emerald Publishing, ensuring multiple independent experts evaluate research methodology before publication (George, 2024). The authors, Martin Eling and Werner Schnell from the University of St. Gallen’s Institute of Insurance Economics, are established researchers in cyber risk management. Their systematic literature review analyzing cyber risk insurance provides empirically grounded evidence about financial impacts of cybersecurity investments. The DOI ensures permanent accessibility and verifiability, while the peer-review process guarantees academic rigor.</w:t>
      </w:r>
    </w:p>
    <w:bookmarkEnd w:id="22"/>
    <w:bookmarkStart w:id="23" w:name="X3291adaa3be6efab719dd610eeee46ba3d98375"/>
    <w:p>
      <w:pPr>
        <w:pStyle w:val="Heading3"/>
        <w:spacing w:line="480" w:lineRule="auto"/>
      </w:pPr>
      <w:r>
        <w:rPr>
          <w:rFonts w:ascii="Times New Roman" w:hAnsi="Times New Roman"/>
          <w:sz w:val="24"/>
        </w:rPr>
        <w:t xml:space="preserve">Source 3: Verizon Data Breach Investigations Report (DBIR)</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Verizon DBIR analyzes real-world breaches across multiple sectors with comprehensive methodology—the 2023 report examined 16,312 security incidents and 5,199 confirmed breaches from 94 contributing organizations worldwide (Verizon, 2023). This large sample size provides statistical reliability beyond individual case studies. The report’s methodological transparency and widespread citation by academic researchers, government agencies, and security professionals demonstrate cross-sector validation despite Verizon’s commercial status.</w:t>
      </w:r>
    </w:p>
    <w:bookmarkEnd w:id="23"/>
    <w:bookmarkStart w:id="24" w:name="Xb33a1dfc53ac2b1babe742d7629fa3cb0d07798"/>
    <w:p>
      <w:pPr>
        <w:pStyle w:val="Heading3"/>
        <w:spacing w:line="480" w:lineRule="auto"/>
      </w:pPr>
      <w:r>
        <w:rPr>
          <w:rFonts w:ascii="Times New Roman" w:hAnsi="Times New Roman"/>
          <w:sz w:val="24"/>
        </w:rPr>
        <w:t xml:space="preserve">Source 4: National Institute of Standards and Technology (NIST)</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NIST is a non-regulatory federal agency developing technology standards and guidelines. The NIST Cybersecurity Framework is internationally recognized as the gold standard for organizational risk management, adopted by businesses and governments worldwide. Its credibility stems from extensive collaboration with private sector stakeholders, academic experts, and international partners. As a .gov source, it provides unbiased, evidence-based guidance with regular updates ensuring relevance to evolving threats.</w:t>
      </w:r>
    </w:p>
    <w:bookmarkEnd w:id="24"/>
    <w:bookmarkStart w:id="25" w:name="source-5-harvard-business-review"/>
    <w:p>
      <w:pPr>
        <w:pStyle w:val="Heading3"/>
        <w:spacing w:line="480" w:lineRule="auto"/>
      </w:pPr>
      <w:r>
        <w:rPr>
          <w:rFonts w:ascii="Times New Roman" w:hAnsi="Times New Roman"/>
          <w:sz w:val="24"/>
        </w:rPr>
        <w:t xml:space="preserve">Source 5: Harvard Business Review</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Zwilling, M., &amp; Anaya, L. (2023, August 15). Why small businesses are prime targets for cyberattacks.</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Retrieved January 31, 2026, from https://hbr.org/2023/08/why-small-businesses-are-prime-targets-for-cyberattacks</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w:t>
      </w:r>
      <w:r>
        <w:rPr>
          <w:rFonts w:ascii="Times New Roman" w:hAnsi="Times New Roman"/>
          <w:sz w:val="24"/>
        </w:rPr>
        <w:t xml:space="preserve">is a premier business publication affiliated with Harvard Business School. Articles undergo editorial review by business experts and are written by credentialed authors—Martin Zwilling (startup advisor) and Luis Anaya (cybersecurity consultant). While not peer-reviewed academically, HBR maintains rigorous editorial standards with evidence-based analysis supported by research citations (Ryan, 2023). This article addresses economic vulnerabilities of small businesses, providing business-focused analysis complementing technical sources.</w:t>
      </w:r>
    </w:p>
    <w:p>
      <w:pPr>
        <w:spacing w:line="480" w:lineRule="auto"/>
      </w:pPr>
      <w:r>
        <w:rPr>
          <w:rFonts w:ascii="Times New Roman" w:hAnsi="Times New Roman"/>
          <w:sz w:val="24"/>
        </w:rPr>
        <w:pict>
          <v:rect style="width:0;height:1.5pt" o:hralign="center" o:hrstd="t" o:hr="t"/>
        </w:pict>
      </w:r>
    </w:p>
    <w:bookmarkEnd w:id="25"/>
    <w:bookmarkEnd w:id="26"/>
    <w:bookmarkStart w:id="27"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This research hypothesis and literature review establish a framework for investigating cybersecurity investment correlation with data breach prevention in small businesses. The five credible sources represent diverse perspectives—government agencies (CISA, NIST), peer-reviewed academic research, industry data analysis (Verizon DBIR), and business management expertise (HBR)—providing comprehensive coverage of technical, regulatory, empirical, and economic dimensions. Future research will collect quantitative data from small businesses across sectors to validate the predicted 50% breach reduction.</w:t>
      </w:r>
    </w:p>
    <w:p>
      <w:pPr>
        <w:spacing w:line="480" w:lineRule="auto"/>
      </w:pPr>
      <w:r>
        <w:rPr>
          <w:rFonts w:ascii="Times New Roman" w:hAnsi="Times New Roman"/>
          <w:sz w:val="24"/>
        </w:rPr>
        <w:pict>
          <v:rect style="width:0;height:1.5pt" o:hralign="center" o:hrstd="t" o:hr="t"/>
        </w:pict>
      </w:r>
    </w:p>
    <w:bookmarkEnd w:id="27"/>
    <w:bookmarkStart w:id="28"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CFI Team. (2023, November 19). SMART goals.</w:t>
      </w:r>
      <w:r>
        <w:rPr>
          <w:rFonts w:ascii="Times New Roman" w:hAnsi="Times New Roman"/>
          <w:sz w:val="24"/>
        </w:rPr>
        <w:t xml:space="preserve"> </w:t>
      </w:r>
      <w:r>
        <w:rPr>
          <w:rFonts w:ascii="Times New Roman" w:hAnsi="Times New Roman"/>
          <w:i/>
          <w:iCs/>
          <w:sz w:val="24"/>
        </w:rPr>
        <w:t xml:space="preserve">Corporate Finance Institute</w:t>
      </w:r>
      <w:r>
        <w:rPr>
          <w:rFonts w:ascii="Times New Roman" w:hAnsi="Times New Roman"/>
          <w:sz w:val="24"/>
        </w:rPr>
        <w:t xml:space="preserve">. Retrieved January 31, 2026, from https://corporatefinanceinstitute.com/resources/management/smart-goal/</w:t>
      </w:r>
    </w:p>
    <w:p>
      <w:pPr>
        <w:pStyle w:val="BodyText"/>
        <w:spacing w:line="480" w:lineRule="auto"/>
      </w:pPr>
      <w:r>
        <w:rPr>
          <w:rFonts w:ascii="Times New Roman" w:hAnsi="Times New Roman"/>
          <w:sz w:val="24"/>
        </w:rPr>
        <w:t xml:space="preserve">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sz w:val="24"/>
        </w:rPr>
        <w:t xml:space="preserve">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sz w:val="24"/>
        </w:rPr>
        <w:t xml:space="preserve">George, T. (2024, May 9). What are credible sources &amp; how to spot them | Examples.</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https://www.scribbr.com/working-with-sources/credible-sources/</w:t>
      </w:r>
    </w:p>
    <w:p>
      <w:pPr>
        <w:pStyle w:val="BodyText"/>
        <w:spacing w:line="480" w:lineRule="auto"/>
      </w:pPr>
      <w:r>
        <w:rPr>
          <w:rFonts w:ascii="Times New Roman" w:hAnsi="Times New Roman"/>
          <w:sz w:val="24"/>
        </w:rPr>
        <w:t xml:space="preserve">National Cyber Security Alliance. (2023).</w:t>
      </w:r>
      <w:r>
        <w:rPr>
          <w:rFonts w:ascii="Times New Roman" w:hAnsi="Times New Roman"/>
          <w:sz w:val="24"/>
        </w:rPr>
        <w:t xml:space="preserve"> </w:t>
      </w:r>
      <w:r>
        <w:rPr>
          <w:rFonts w:ascii="Times New Roman" w:hAnsi="Times New Roman"/>
          <w:i/>
          <w:iCs/>
          <w:sz w:val="24"/>
        </w:rPr>
        <w:t xml:space="preserve">Small business cybersecurity statistics</w:t>
      </w:r>
      <w:r>
        <w:rPr>
          <w:rFonts w:ascii="Times New Roman" w:hAnsi="Times New Roman"/>
          <w:sz w:val="24"/>
        </w:rPr>
        <w:t xml:space="preserve">. Retrieved January 31, 2026, from https://staysafeonline.org/</w:t>
      </w:r>
    </w:p>
    <w:p>
      <w:pPr>
        <w:pStyle w:val="BodyText"/>
        <w:spacing w:line="480" w:lineRule="auto"/>
      </w:pPr>
      <w:r>
        <w:rPr>
          <w:rFonts w:ascii="Times New Roman" w:hAnsi="Times New Roman"/>
          <w:sz w:val="24"/>
        </w:rPr>
        <w:t xml:space="preserve">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sz w:val="24"/>
        </w:rPr>
        <w:t xml:space="preserve">Ryan, E. (2023, May 31). How to find sources | Scholarly articles, books, etc.</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https://www.scribbr.com/working-with-sources/finding-sources/</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sz w:val="24"/>
        </w:rPr>
        <w:t xml:space="preserve">Zwilling, M., &amp; Anaya, L. (2023, August 15). Why small businesses are prime targets for cyberattacks.</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Retrieved January 31, 2026, from https://hbr.org/2023/08/why-small-businesses-are-prime-targets-for-cyberattacks</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649 words (excluding title, headings, and references)</w:t>
      </w:r>
    </w:p>
    <w:bookmarkEnd w:id="28"/>
    <w:bookmarkEnd w:id="29"/>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2026-02-09T06:24:47Z</dcterms:created>
  <dcterms:modified xsi:type="dcterms:W3CDTF">2026-02-09T06:24:47Z</dcterms:modified>
</cp:coreProperties>
</file>

<file path=docProps/custom.xml><?xml version="1.0" encoding="utf-8"?>
<Properties xmlns="http://schemas.openxmlformats.org/officeDocument/2006/custom-properties" xmlns:vt="http://schemas.openxmlformats.org/officeDocument/2006/docPropsVTypes"/>
</file>