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dfdc3b4d84590a206e599db42aa3a01a5dc8987"/>
    <w:p>
      <w:pPr>
        <w:pStyle w:val="Heading1"/>
        <w:spacing w:line="480" w:lineRule="exact" w:after="0"/>
      </w:pPr>
      <w:r>
        <w:rPr>
          <w:rFonts w:ascii="Times New Roman" w:hAnsi="Times New Roman"/>
          <w:sz w:val="24"/>
        </w:rPr>
        <w:t xml:space="preserve">Competition and Fair Markets: Kenya’s Regulatory Framework</w:t>
      </w:r>
    </w:p>
    <w:p>
      <w:pPr>
        <w:pStyle w:val="FirstParagraph"/>
        <w:spacing w:line="480" w:lineRule="exact" w:after="0"/>
      </w:pPr>
      <w:r>
        <w:rPr>
          <w:rFonts w:ascii="Times New Roman" w:hAnsi="Times New Roman"/>
          <w:b/>
          <w:bCs/>
          <w:sz w:val="24"/>
        </w:rPr>
        <w:t xml:space="preserve">Student</w:t>
      </w:r>
      <w:r>
        <w:rPr>
          <w:rFonts w:ascii="Times New Roman" w:hAnsi="Times New Roman"/>
          <w:sz w:val="24"/>
        </w:rPr>
        <w:t xml:space="preserve">: Nicanor Kyamba</w:t>
      </w:r>
      <w:r>
        <w:rPr>
          <w:rFonts w:ascii="Times New Roman" w:hAnsi="Times New Roman"/>
          <w:sz w:val="24"/>
        </w:rPr>
        <w:t xml:space="preserve"> </w:t>
      </w:r>
      <w:r>
        <w:rPr>
          <w:rFonts w:ascii="Times New Roman" w:hAnsi="Times New Roman"/>
          <w:b/>
          <w:bCs/>
          <w:sz w:val="24"/>
        </w:rPr>
        <w:t xml:space="preserve">Course</w:t>
      </w:r>
      <w:r>
        <w:rPr>
          <w:rFonts w:ascii="Times New Roman" w:hAnsi="Times New Roman"/>
          <w:sz w:val="24"/>
        </w:rPr>
        <w:t xml:space="preserve">: ECON 1580 — Applied Economics: Theory and Practice</w:t>
      </w:r>
      <w:r>
        <w:rPr>
          <w:rFonts w:ascii="Times New Roman" w:hAnsi="Times New Roman"/>
          <w:sz w:val="24"/>
        </w:rPr>
        <w:t xml:space="preserve"> </w:t>
      </w:r>
      <w:r>
        <w:rPr>
          <w:rFonts w:ascii="Times New Roman" w:hAnsi="Times New Roman"/>
          <w:b/>
          <w:bCs/>
          <w:sz w:val="24"/>
        </w:rPr>
        <w:t xml:space="preserve">Unit</w:t>
      </w:r>
      <w:r>
        <w:rPr>
          <w:rFonts w:ascii="Times New Roman" w:hAnsi="Times New Roman"/>
          <w:sz w:val="24"/>
        </w:rPr>
        <w:t xml:space="preserve">: 2 — Regulatory Policies and Market Competition</w:t>
      </w:r>
    </w:p>
    <w:p>
      <w:pPr>
        <w:spacing w:line="480" w:lineRule="exact" w:after="0"/>
      </w:pPr>
      <w:r>
        <w:rPr>
          <w:rFonts w:ascii="Times New Roman" w:hAnsi="Times New Roman"/>
          <w:sz w:val="24"/>
        </w:rPr>
        <w:pict>
          <v:rect style="width:0;height:1.5pt" o:hralign="center" o:hrstd="t" o:hr="t"/>
        </w:pict>
      </w:r>
    </w:p>
    <w:bookmarkStart w:id="9" w:name="introduction"/>
    <w:p>
      <w:pPr>
        <w:pStyle w:val="Heading2"/>
        <w:spacing w:line="480" w:lineRule="exact" w:after="0"/>
      </w:pPr>
      <w:r>
        <w:rPr>
          <w:rFonts w:ascii="Times New Roman" w:hAnsi="Times New Roman"/>
          <w:sz w:val="24"/>
        </w:rPr>
        <w:t xml:space="preserve">Introduction</w:t>
      </w:r>
    </w:p>
    <w:p>
      <w:pPr>
        <w:pStyle w:val="FirstParagraph"/>
        <w:spacing w:line="480" w:lineRule="exact" w:after="0"/>
      </w:pPr>
      <w:r>
        <w:rPr>
          <w:rFonts w:ascii="Times New Roman" w:hAnsi="Times New Roman"/>
          <w:sz w:val="24"/>
        </w:rPr>
        <w:t xml:space="preserve">Kenya’s economy has grown rapidly over the past two decades, driven by expansion in telecommunications, financial services, and digital commerce, creating real risks of market concentration where dominant firms can suppress competition and harm consumers. Kenya’s competition law framework, anchored by the Competition Act of 2010 and administered by the Competition Authority of Kenya (CAK), provides the institutional foundation for addressing these challenges. This paper examines Kenya’s key regulatory policy, a significant antitrust case, and an assessment of how effectively the country’s competition laws protect consumers and businesses.</w:t>
      </w:r>
    </w:p>
    <w:p>
      <w:pPr>
        <w:spacing w:line="480" w:lineRule="exact" w:after="0"/>
      </w:pPr>
      <w:r>
        <w:rPr>
          <w:rFonts w:ascii="Times New Roman" w:hAnsi="Times New Roman"/>
          <w:sz w:val="24"/>
        </w:rPr>
        <w:pict>
          <v:rect style="width:0;height:1.5pt" o:hralign="center" o:hrstd="t" o:hr="t"/>
        </w:pict>
      </w:r>
    </w:p>
    <w:bookmarkEnd w:id="9"/>
    <w:bookmarkStart w:id="10" w:name="X4925b56c48b6a04f7b226299ec3498d18e8515f"/>
    <w:p>
      <w:pPr>
        <w:pStyle w:val="Heading2"/>
        <w:spacing w:line="480" w:lineRule="exact" w:after="0"/>
      </w:pPr>
      <w:r>
        <w:rPr>
          <w:rFonts w:ascii="Times New Roman" w:hAnsi="Times New Roman"/>
          <w:sz w:val="24"/>
        </w:rPr>
        <w:t xml:space="preserve">Question 1: Kenya’s Key Regulatory Policy — The Competition Act (2010)</w:t>
      </w:r>
    </w:p>
    <w:p>
      <w:pPr>
        <w:pStyle w:val="FirstParagraph"/>
        <w:spacing w:line="480" w:lineRule="exact" w:after="0"/>
      </w:pPr>
      <w:r>
        <w:rPr>
          <w:rFonts w:ascii="Times New Roman" w:hAnsi="Times New Roman"/>
          <w:sz w:val="24"/>
        </w:rPr>
        <w:t xml:space="preserve">Kenya’s primary regulatory instrument for maintaining competitive markets is the Competition Act No. 12 of 2010, which established the CAK as the independent body responsible for enforcing competition law. The Act prohibits restrictive trade practices, abuse of dominant market position, and mergers that substantially lessen competition (Competition Authority of Kenya, 2023).</w:t>
      </w:r>
    </w:p>
    <w:p>
      <w:pPr>
        <w:pStyle w:val="BodyText"/>
        <w:spacing w:line="480" w:lineRule="exact" w:after="0"/>
      </w:pPr>
      <w:r>
        <w:rPr>
          <w:rFonts w:ascii="Times New Roman" w:hAnsi="Times New Roman"/>
          <w:sz w:val="24"/>
        </w:rPr>
        <w:t xml:space="preserve">The Act promotes fairness through its prohibition on abuse of dominance, which prevents firms with significant market power from engaging in exclusionary conduct such as predatory pricing or tying arrangements. A firm is considered dominant when it holds a market share that enables it to act independently of competitive pressures. This provision directly addresses the concern that Greenlaw et al. (2022) identify: when a single firm controls a market, it can set prices above the competitive level, creating deadweight loss and reducing consumer welfare (Section 9.2).</w:t>
      </w:r>
    </w:p>
    <w:p>
      <w:pPr>
        <w:pStyle w:val="BodyText"/>
        <w:spacing w:line="480" w:lineRule="exact" w:after="0"/>
      </w:pPr>
      <w:r>
        <w:rPr>
          <w:rFonts w:ascii="Times New Roman" w:hAnsi="Times New Roman"/>
          <w:sz w:val="24"/>
        </w:rPr>
        <w:t xml:space="preserve">For consumer protection, the Act empowers the CAK to investigate and sanction price-fixing agreements, bid-rigging, and market allocation schemes. The Act also requires pre-merger notification for transactions above specified thresholds, allowing the CAK to block or impose conditions on mergers before they harm competition. In 2019, the CAK blocked the proposed merger between Telkom Kenya and Airtel Kenya on grounds that it would substantially reduce competition in the mobile telecommunications market, directly protecting consumers from reduced choice and higher prices (Competition Authority of Kenya, 2023).</w:t>
      </w:r>
    </w:p>
    <w:p>
      <w:pPr>
        <w:pStyle w:val="BodyText"/>
        <w:spacing w:line="480" w:lineRule="exact" w:after="0"/>
      </w:pPr>
      <w:r>
        <w:rPr>
          <w:rFonts w:ascii="Times New Roman" w:hAnsi="Times New Roman"/>
          <w:sz w:val="24"/>
        </w:rPr>
        <w:t xml:space="preserve">For economic efficiency, the regulatory framework creates conditions under which markets can approach the allocative and productive efficiency benchmarks of perfect competition, where price equals marginal cost and production occurs at minimum average total cost (Greenlaw et al., 2022, Section 8.4). By preventing dominant firms from erecting artificial barriers to entry, the Act enables new competitors to enter markets, driving down prices and improving quality.</w:t>
      </w:r>
    </w:p>
    <w:p>
      <w:pPr>
        <w:spacing w:line="480" w:lineRule="exact" w:after="0"/>
      </w:pPr>
      <w:r>
        <w:rPr>
          <w:rFonts w:ascii="Times New Roman" w:hAnsi="Times New Roman"/>
          <w:sz w:val="24"/>
        </w:rPr>
        <w:pict>
          <v:rect style="width:0;height:1.5pt" o:hralign="center" o:hrstd="t" o:hr="t"/>
        </w:pict>
      </w:r>
    </w:p>
    <w:bookmarkEnd w:id="10"/>
    <w:bookmarkStart w:id="11" w:name="X1d8fcf03e327d898bf819d2bd1abafc06f5eb1d"/>
    <w:p>
      <w:pPr>
        <w:pStyle w:val="Heading2"/>
        <w:spacing w:line="480" w:lineRule="exact" w:after="0"/>
      </w:pPr>
      <w:r>
        <w:rPr>
          <w:rFonts w:ascii="Times New Roman" w:hAnsi="Times New Roman"/>
          <w:sz w:val="24"/>
        </w:rPr>
        <w:t xml:space="preserve">Question 2: Significant Antitrust Case — Safaricom and Mobile Money Interoperability</w:t>
      </w:r>
    </w:p>
    <w:p>
      <w:pPr>
        <w:pStyle w:val="FirstParagraph"/>
        <w:spacing w:line="480" w:lineRule="exact" w:after="0"/>
      </w:pPr>
      <w:r>
        <w:rPr>
          <w:rFonts w:ascii="Times New Roman" w:hAnsi="Times New Roman"/>
          <w:sz w:val="24"/>
        </w:rPr>
        <w:t xml:space="preserve">The most significant antitrust case in Kenya’s recent history involves Safaricom Limited and its dominance in the mobile money and telecommunications markets. Safaricom operates M-Pesa, Kenya’s dominant mobile money platform, which processes over 60% of Kenya’s GDP in transaction value annually and serves more than 30 million active users (Competition Authority of Kenya, 2023). Safaricom simultaneously holds approximately 65% of the mobile subscriber market, giving it an unparalleled combination of telecommunications and financial services dominance.</w:t>
      </w:r>
    </w:p>
    <w:p>
      <w:pPr>
        <w:pStyle w:val="BodyText"/>
        <w:spacing w:line="480" w:lineRule="exact" w:after="0"/>
      </w:pPr>
      <w:r>
        <w:rPr>
          <w:rFonts w:ascii="Times New Roman" w:hAnsi="Times New Roman"/>
          <w:sz w:val="24"/>
        </w:rPr>
        <w:t xml:space="preserve">In 2018, the CAK conducted a formal market inquiry into the mobile money sector and found that Safaricom’s bundling of M-Pesa with its telecommunications services created significant structural barriers to entry for competing providers. Competitors such as Airtel Money and T-Kash faced a fundamental disadvantage: because most potential transaction counterparties were Safaricom subscribers, a mobile money service that could not transact with Safaricom users was commercially unviable. This is precisely the network externality barrier that Tirole (2024) identifies as the primary mechanism through which digital platforms entrench dominance (p. i984).</w:t>
      </w:r>
    </w:p>
    <w:p>
      <w:pPr>
        <w:pStyle w:val="BodyText"/>
        <w:spacing w:line="480" w:lineRule="exact" w:after="0"/>
      </w:pPr>
      <w:r>
        <w:rPr>
          <w:rFonts w:ascii="Times New Roman" w:hAnsi="Times New Roman"/>
          <w:sz w:val="24"/>
        </w:rPr>
        <w:t xml:space="preserve">The CAK’s remedy was mandatory mobile money interoperability, requiring all licensed mobile money providers to allow cross-network transactions. This intervention addressed the structural source of Safaricom’s competitive advantage rather than simply imposing a fine. The outcome was measurable: interoperability reduced transaction costs for consumers, expanded financial access for previously excluded populations, and created viable competitive conditions for Airtel Money and T-Kash.</w:t>
      </w:r>
    </w:p>
    <w:p>
      <w:pPr>
        <w:pStyle w:val="BodyText"/>
        <w:spacing w:line="480" w:lineRule="exact" w:after="0"/>
      </w:pPr>
      <w:r>
        <w:rPr>
          <w:rFonts w:ascii="Times New Roman" w:hAnsi="Times New Roman"/>
          <w:sz w:val="24"/>
        </w:rPr>
        <w:t xml:space="preserve">Spulber (2022) argues that effective antitrust enforcement in platform markets must move beyond traditional price-based analysis and address the structural features that entrench dominance (p. 8). The CAK’s interoperability remedy did exactly that, demonstrating that Kenya’s competition law framework is capable of sophisticated, structurally-targeted intervention.</w:t>
      </w:r>
    </w:p>
    <w:p>
      <w:pPr>
        <w:spacing w:line="480" w:lineRule="exact" w:after="0"/>
      </w:pPr>
      <w:r>
        <w:rPr>
          <w:rFonts w:ascii="Times New Roman" w:hAnsi="Times New Roman"/>
          <w:sz w:val="24"/>
        </w:rPr>
        <w:pict>
          <v:rect style="width:0;height:1.5pt" o:hralign="center" o:hrstd="t" o:hr="t"/>
        </w:pict>
      </w:r>
    </w:p>
    <w:bookmarkEnd w:id="11"/>
    <w:bookmarkStart w:id="12" w:name="X0341b7643bc5efe2905331214c2ff25a0c149c9"/>
    <w:p>
      <w:pPr>
        <w:pStyle w:val="Heading2"/>
        <w:spacing w:line="480" w:lineRule="exact" w:after="0"/>
      </w:pPr>
      <w:r>
        <w:rPr>
          <w:rFonts w:ascii="Times New Roman" w:hAnsi="Times New Roman"/>
          <w:sz w:val="24"/>
        </w:rPr>
        <w:t xml:space="preserve">Question 3: Effectiveness of Kenya’s Competition Laws</w:t>
      </w:r>
    </w:p>
    <w:p>
      <w:pPr>
        <w:pStyle w:val="FirstParagraph"/>
        <w:spacing w:line="480" w:lineRule="exact" w:after="0"/>
      </w:pPr>
      <w:r>
        <w:rPr>
          <w:rFonts w:ascii="Times New Roman" w:hAnsi="Times New Roman"/>
          <w:sz w:val="24"/>
        </w:rPr>
        <w:t xml:space="preserve">Kenya’s competition law framework has demonstrated meaningful effectiveness in several respects, while exhibiting limitations that constrain its impact on consumers and businesses.</w:t>
      </w:r>
    </w:p>
    <w:p>
      <w:pPr>
        <w:pStyle w:val="BodyText"/>
        <w:spacing w:line="480" w:lineRule="exact" w:after="0"/>
      </w:pPr>
      <w:r>
        <w:rPr>
          <w:rFonts w:ascii="Times New Roman" w:hAnsi="Times New Roman"/>
          <w:sz w:val="24"/>
        </w:rPr>
        <w:t xml:space="preserve">On the positive side, the CAK has conducted market inquiries in telecommunications, financial services, and petroleum, producing structural remedies that improved competitive conditions. The mobile money interoperability intervention produced direct consumer benefits — lower transaction costs and expanded financial inclusion. The blocked Telkom-Airtel merger protected consumers from further market concentration. For businesses, the merger notification regime provides legal certainty and prevents anti-competitive consolidation that would disadvantage smaller competitors.</w:t>
      </w:r>
    </w:p>
    <w:p>
      <w:pPr>
        <w:pStyle w:val="BodyText"/>
        <w:spacing w:line="480" w:lineRule="exact" w:after="0"/>
      </w:pPr>
      <w:r>
        <w:rPr>
          <w:rFonts w:ascii="Times New Roman" w:hAnsi="Times New Roman"/>
          <w:sz w:val="24"/>
        </w:rPr>
        <w:t xml:space="preserve">However, the framework faces three significant limitations. First, enforcement capacity remains constrained — the CAK operates with limited resources relative to the complexity of the markets it regulates, and Greenlaw et al. (2022) note that competition law effectiveness depends critically on enforcement mechanisms and available resources (Section 9.2). Kenya’s CAK has a significantly smaller budget and staff than comparable authorities in South Africa or the European Union, limiting proactive market investigation.</w:t>
      </w:r>
    </w:p>
    <w:p>
      <w:pPr>
        <w:pStyle w:val="BodyText"/>
        <w:spacing w:line="480" w:lineRule="exact" w:after="0"/>
      </w:pPr>
      <w:r>
        <w:rPr>
          <w:rFonts w:ascii="Times New Roman" w:hAnsi="Times New Roman"/>
          <w:sz w:val="24"/>
        </w:rPr>
        <w:t xml:space="preserve">Second, penalties under the Competition Act are modest relative to the profits dominant firms earn from anti-competitive conduct, reducing the deterrent effect.</w:t>
      </w:r>
    </w:p>
    <w:p>
      <w:pPr>
        <w:pStyle w:val="BodyText"/>
        <w:spacing w:line="480" w:lineRule="exact" w:after="0"/>
      </w:pPr>
      <w:r>
        <w:rPr>
          <w:rFonts w:ascii="Times New Roman" w:hAnsi="Times New Roman"/>
          <w:sz w:val="24"/>
        </w:rPr>
        <w:t xml:space="preserve">Third, the Act contains significant gaps in addressing digital economy competition. Eshbayev et al. (2022) identify data accumulation as a new form of barrier to entry — dominant platforms accumulate datasets that create competitive advantages new entrants cannot replicate (p. 18). Kenya’s Competition Act lacks specific provisions addressing data-driven market power or platform self-preferencing, both of which are increasingly relevant as Kenya’s digital economy expands.</w:t>
      </w:r>
    </w:p>
    <w:p>
      <w:pPr>
        <w:spacing w:line="480" w:lineRule="exact" w:after="0"/>
      </w:pPr>
      <w:r>
        <w:rPr>
          <w:rFonts w:ascii="Times New Roman" w:hAnsi="Times New Roman"/>
          <w:sz w:val="24"/>
        </w:rPr>
        <w:pict>
          <v:rect style="width:0;height:1.5pt" o:hralign="center" o:hrstd="t" o:hr="t"/>
        </w:pict>
      </w:r>
    </w:p>
    <w:bookmarkEnd w:id="12"/>
    <w:bookmarkStart w:id="13" w:name="conclusion"/>
    <w:p>
      <w:pPr>
        <w:pStyle w:val="Heading2"/>
        <w:spacing w:line="480" w:lineRule="exact" w:after="0"/>
      </w:pPr>
      <w:r>
        <w:rPr>
          <w:rFonts w:ascii="Times New Roman" w:hAnsi="Times New Roman"/>
          <w:sz w:val="24"/>
        </w:rPr>
        <w:t xml:space="preserve">Conclusion</w:t>
      </w:r>
    </w:p>
    <w:p>
      <w:pPr>
        <w:pStyle w:val="FirstParagraph"/>
        <w:spacing w:line="480" w:lineRule="exact" w:after="0"/>
      </w:pPr>
      <w:r>
        <w:rPr>
          <w:rFonts w:ascii="Times New Roman" w:hAnsi="Times New Roman"/>
          <w:sz w:val="24"/>
        </w:rPr>
        <w:t xml:space="preserve">Kenya’s Competition Act of 2010 provides a sound legal foundation for maintaining competitive markets, and the CAK’s mobile money interoperability intervention demonstrates that the framework can produce meaningful structural outcomes. However, constrained enforcement capacity, insufficient penalties, and gaps in digital economy regulation limit its overall effectiveness. Strengthening institutional resources, increasing penalty ceilings, and updating the Act to address data-driven market power would significantly improve Kenya’s ability to protect consumers and maintain a level playing field.</w:t>
      </w:r>
    </w:p>
    <w:p>
      <w:pPr>
        <w:spacing w:line="480" w:lineRule="exact" w:after="0"/>
      </w:pPr>
      <w:r>
        <w:rPr>
          <w:rFonts w:ascii="Times New Roman" w:hAnsi="Times New Roman"/>
          <w:sz w:val="24"/>
        </w:rPr>
        <w:pict>
          <v:rect style="width:0;height:1.5pt" o:hralign="center" o:hrstd="t" o:hr="t"/>
        </w:pict>
      </w:r>
    </w:p>
    <w:bookmarkEnd w:id="13"/>
    <w:bookmarkStart w:id="14" w:name="references"/>
    <w:p>
      <w:pPr>
        <w:pStyle w:val="Heading2"/>
        <w:spacing w:line="480" w:lineRule="exact" w:after="0"/>
      </w:pPr>
      <w:r>
        <w:rPr>
          <w:rFonts w:ascii="Times New Roman" w:hAnsi="Times New Roman"/>
          <w:sz w:val="24"/>
        </w:rPr>
        <w:t xml:space="preserve">References</w:t>
      </w:r>
    </w:p>
    <w:p>
      <w:pPr>
        <w:pStyle w:val="FirstParagraph"/>
        <w:spacing w:line="480" w:lineRule="exact" w:after="0"/>
      </w:pPr>
      <w:r>
        <w:rPr>
          <w:rFonts w:ascii="Times New Roman" w:hAnsi="Times New Roman"/>
          <w:sz w:val="24"/>
        </w:rPr>
        <w:t xml:space="preserve">Competition Authority of Kenya. (2023).</w:t>
      </w:r>
      <w:r>
        <w:rPr>
          <w:rFonts w:ascii="Times New Roman" w:hAnsi="Times New Roman"/>
          <w:sz w:val="24"/>
        </w:rPr>
        <w:t xml:space="preserve"> </w:t>
      </w:r>
      <w:r>
        <w:rPr>
          <w:rFonts w:ascii="Times New Roman" w:hAnsi="Times New Roman"/>
          <w:i/>
          <w:iCs/>
          <w:sz w:val="24"/>
        </w:rPr>
        <w:t xml:space="preserve">Annual report and financial statements 2022/2023</w:t>
      </w:r>
      <w:r>
        <w:rPr>
          <w:rFonts w:ascii="Times New Roman" w:hAnsi="Times New Roman"/>
          <w:sz w:val="24"/>
        </w:rPr>
        <w:t xml:space="preserve">. https://www.cak.go.ke</w:t>
      </w:r>
    </w:p>
    <w:p>
      <w:pPr>
        <w:pStyle w:val="BodyText"/>
        <w:spacing w:line="480" w:lineRule="exact" w:after="0"/>
      </w:pPr>
      <w:r>
        <w:rPr>
          <w:rFonts w:ascii="Times New Roman" w:hAnsi="Times New Roman"/>
          <w:sz w:val="24"/>
        </w:rPr>
        <w:t xml:space="preserve">Eshbayev, O., Rakhimova, S., Mirzaliev, S., Mulladjanova, N., Alimxodjaeva, N., Akhmedova, D., &amp; Akbarova, B. (2022). A systematic mapping study of effective regulations and policies against digital monopolies.</w:t>
      </w:r>
      <w:r>
        <w:rPr>
          <w:rFonts w:ascii="Times New Roman" w:hAnsi="Times New Roman"/>
          <w:sz w:val="24"/>
        </w:rPr>
        <w:t xml:space="preserve"> </w:t>
      </w:r>
      <w:r>
        <w:rPr>
          <w:rFonts w:ascii="Times New Roman" w:hAnsi="Times New Roman"/>
          <w:i/>
          <w:iCs/>
          <w:sz w:val="24"/>
        </w:rPr>
        <w:t xml:space="preserve">ACM Digital Library</w:t>
      </w:r>
      <w:r>
        <w:rPr>
          <w:rFonts w:ascii="Times New Roman" w:hAnsi="Times New Roman"/>
          <w:sz w:val="24"/>
        </w:rPr>
        <w:t xml:space="preserve">, 16–22. https://doi.org/10.1145/3584202.3584205</w:t>
      </w:r>
    </w:p>
    <w:p>
      <w:pPr>
        <w:pStyle w:val="BodyText"/>
        <w:spacing w:line="480" w:lineRule="exact" w:after="0"/>
      </w:pPr>
      <w:r>
        <w:rPr>
          <w:rFonts w:ascii="Times New Roman" w:hAnsi="Times New Roman"/>
          <w:sz w:val="24"/>
        </w:rPr>
        <w:t xml:space="preserve">Greenlaw, S., Shapiro, D., &amp; MacDonald, D. (2022).</w:t>
      </w:r>
      <w:r>
        <w:rPr>
          <w:rFonts w:ascii="Times New Roman" w:hAnsi="Times New Roman"/>
          <w:sz w:val="24"/>
        </w:rPr>
        <w:t xml:space="preserve"> </w:t>
      </w:r>
      <w:r>
        <w:rPr>
          <w:rFonts w:ascii="Times New Roman" w:hAnsi="Times New Roman"/>
          <w:i/>
          <w:iCs/>
          <w:sz w:val="24"/>
        </w:rPr>
        <w:t xml:space="preserve">Principles of economics</w:t>
      </w:r>
      <w:r>
        <w:rPr>
          <w:rFonts w:ascii="Times New Roman" w:hAnsi="Times New Roman"/>
          <w:sz w:val="24"/>
        </w:rPr>
        <w:t xml:space="preserve"> </w:t>
      </w:r>
      <w:r>
        <w:rPr>
          <w:rFonts w:ascii="Times New Roman" w:hAnsi="Times New Roman"/>
          <w:sz w:val="24"/>
        </w:rPr>
        <w:t xml:space="preserve">(3rd ed.). OpenStax. https://openstax.org/books/principles-economics-3e/pages/1-introduction</w:t>
      </w:r>
    </w:p>
    <w:p>
      <w:pPr>
        <w:pStyle w:val="BodyText"/>
        <w:spacing w:line="480" w:lineRule="exact" w:after="0"/>
      </w:pPr>
      <w:r>
        <w:rPr>
          <w:rFonts w:ascii="Times New Roman" w:hAnsi="Times New Roman"/>
          <w:sz w:val="24"/>
        </w:rPr>
        <w:t xml:space="preserve">Spulber, D. F. (2022). Antitrust and innovation competition.</w:t>
      </w:r>
      <w:r>
        <w:rPr>
          <w:rFonts w:ascii="Times New Roman" w:hAnsi="Times New Roman"/>
          <w:sz w:val="24"/>
        </w:rPr>
        <w:t xml:space="preserve"> </w:t>
      </w:r>
      <w:r>
        <w:rPr>
          <w:rFonts w:ascii="Times New Roman" w:hAnsi="Times New Roman"/>
          <w:i/>
          <w:iCs/>
          <w:sz w:val="24"/>
        </w:rPr>
        <w:t xml:space="preserve">Journal of Antitrust Enforcement</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11</w:t>
      </w:r>
      <w:r>
        <w:rPr>
          <w:rFonts w:ascii="Times New Roman" w:hAnsi="Times New Roman"/>
          <w:sz w:val="24"/>
        </w:rPr>
        <w:t xml:space="preserve">(1), 5–50. https://doi.org/10.1093/jaenfo/jnac013</w:t>
      </w:r>
    </w:p>
    <w:p>
      <w:pPr>
        <w:pStyle w:val="BodyText"/>
        <w:spacing w:line="480" w:lineRule="exact" w:after="0"/>
      </w:pPr>
      <w:r>
        <w:rPr>
          <w:rFonts w:ascii="Times New Roman" w:hAnsi="Times New Roman"/>
          <w:sz w:val="24"/>
        </w:rPr>
        <w:t xml:space="preserve">Tirole, J. (2024). Competition and industrial policy in the 21st century.</w:t>
      </w:r>
      <w:r>
        <w:rPr>
          <w:rFonts w:ascii="Times New Roman" w:hAnsi="Times New Roman"/>
          <w:sz w:val="24"/>
        </w:rPr>
        <w:t xml:space="preserve"> </w:t>
      </w:r>
      <w:r>
        <w:rPr>
          <w:rFonts w:ascii="Times New Roman" w:hAnsi="Times New Roman"/>
          <w:i/>
          <w:iCs/>
          <w:sz w:val="24"/>
        </w:rPr>
        <w:t xml:space="preserve">Oxford Open Economics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w:t>
      </w:r>
      <w:r>
        <w:rPr>
          <w:rFonts w:ascii="Times New Roman" w:hAnsi="Times New Roman"/>
          <w:sz w:val="24"/>
        </w:rPr>
        <w:t xml:space="preserve">(Supplement_1), i983–i1001. https://doi.org/10.1093/ooec/odad080</w:t>
      </w:r>
    </w:p>
    <w:bookmarkEnd w:id="14"/>
    <w:bookmarkEnd w:id="15"/>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2026-04-19T06:48:03Z</dcterms:created>
  <dcterms:modified xsi:type="dcterms:W3CDTF">2026-04-19T06:48:03Z</dcterms:modified>
</cp:coreProperties>
</file>

<file path=docProps/custom.xml><?xml version="1.0" encoding="utf-8"?>
<Properties xmlns="http://schemas.openxmlformats.org/officeDocument/2006/custom-properties" xmlns:vt="http://schemas.openxmlformats.org/officeDocument/2006/docPropsVTypes"/>
</file>