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rPr>
          <w:rFonts w:ascii="Times New Roman" w:hAnsi="Times New Roman"/>
        </w:rPr>
        <w:t>ECON1580 — Unit 8 Assignment</w:t>
      </w:r>
    </w:p>
    <w:p>
      <w:pPr>
        <w:pStyle w:val="Heading2"/>
        <w:spacing w:line="360" w:lineRule="auto" w:after="120"/>
      </w:pPr>
      <w:r>
        <w:rPr>
          <w:rFonts w:ascii="Times New Roman" w:hAnsi="Times New Roman"/>
        </w:rPr>
        <w:t>Understanding Modern Financial Systems</w:t>
      </w:r>
    </w:p>
    <w:p>
      <w:pPr>
        <w:spacing w:line="360" w:lineRule="auto" w:after="120"/>
      </w:pPr>
      <w:r>
        <w:rPr>
          <w:rFonts w:ascii="Times New Roman" w:hAnsi="Times New Roman"/>
          <w:b w:val="0"/>
          <w:i w:val="0"/>
          <w:sz w:val="24"/>
        </w:rPr>
        <w:t>Student: Nicanor Kyamba</w:t>
      </w:r>
    </w:p>
    <w:p>
      <w:pPr>
        <w:spacing w:line="360" w:lineRule="auto" w:after="120"/>
      </w:pPr>
      <w:r>
        <w:rPr>
          <w:rFonts w:ascii="Times New Roman" w:hAnsi="Times New Roman"/>
          <w:b w:val="0"/>
          <w:i w:val="0"/>
          <w:sz w:val="24"/>
        </w:rPr>
        <w:t>Course: ECON1580 — Applied Economics</w:t>
      </w:r>
    </w:p>
    <w:p>
      <w:pPr>
        <w:spacing w:line="360" w:lineRule="auto" w:after="120"/>
      </w:pPr>
      <w:r>
        <w:rPr>
          <w:rFonts w:ascii="Times New Roman" w:hAnsi="Times New Roman"/>
          <w:b w:val="0"/>
          <w:i w:val="0"/>
          <w:sz w:val="24"/>
        </w:rPr>
        <w:t>Unit: 8 — Financial Systems: Capital, Banking, Exchange, and Digital Innovations</w:t>
      </w:r>
    </w:p>
    <w:p>
      <w:pPr>
        <w:spacing w:line="360" w:lineRule="auto" w:after="120"/>
      </w:pPr>
      <w:r>
        <w:rPr>
          <w:rFonts w:ascii="Times New Roman" w:hAnsi="Times New Roman"/>
          <w:b w:val="0"/>
          <w:i w:val="0"/>
          <w:sz w:val="24"/>
        </w:rPr>
        <w:t>Date: June 2026</w:t>
      </w:r>
    </w:p>
    <w:p>
      <w:pPr>
        <w:pStyle w:val="Heading2"/>
        <w:spacing w:line="360" w:lineRule="auto" w:after="120"/>
      </w:pPr>
      <w:r>
        <w:rPr>
          <w:rFonts w:ascii="Times New Roman" w:hAnsi="Times New Roman"/>
        </w:rPr>
        <w:t>Question 1: Raising, Managing, and Allocating Financial Capital</w:t>
      </w:r>
    </w:p>
    <w:p>
      <w:pPr>
        <w:spacing w:line="360" w:lineRule="auto" w:after="120"/>
      </w:pPr>
      <w:r>
        <w:rPr>
          <w:rFonts w:ascii="Times New Roman" w:hAnsi="Times New Roman"/>
          <w:b w:val="0"/>
          <w:i w:val="0"/>
          <w:sz w:val="24"/>
        </w:rPr>
        <w:t>A technology startup preparing to scale its innovative product faces a critical capital allocation challenge that requires balancing growth ambitions against ownership dilution, risk exposure, and operational control. The scenario presents two primary funding channels — angel investments and venture capital — each carrying distinct trade-offs that shape the firm's trajectory.</w:t>
      </w:r>
    </w:p>
    <w:p>
      <w:pPr>
        <w:spacing w:line="360" w:lineRule="auto" w:after="120"/>
      </w:pPr>
      <w:r>
        <w:rPr>
          <w:rFonts w:ascii="Times New Roman" w:hAnsi="Times New Roman"/>
          <w:b w:val="0"/>
          <w:i w:val="0"/>
          <w:sz w:val="24"/>
        </w:rPr>
        <w:t>Angel investors typically provide early-stage capital ranging from $25,000 to $500,000 in exchange for equity stakes of 10-25%. Greenlaw et al. (2022) explain that early-stage investors accept exceptionally high risk because the majority of startups fail, but they expect substantial returns if the venture succeeds (Section 17.1). For the startup in this scenario, angel investment offers several advantages: angels often contribute industry expertise, mentorship, and professional networks alongside capital, accelerating market entry beyond what funding alone could achieve. The trade-off is ownership dilution — surrendering equity reduces the founders' future profit share and may create governance conflicts if angel investors' strategic vision diverges from the founders' product direction.</w:t>
      </w:r>
    </w:p>
    <w:p>
      <w:pPr>
        <w:spacing w:line="360" w:lineRule="auto" w:after="120"/>
      </w:pPr>
      <w:r>
        <w:rPr>
          <w:rFonts w:ascii="Times New Roman" w:hAnsi="Times New Roman"/>
          <w:b w:val="0"/>
          <w:i w:val="0"/>
          <w:sz w:val="24"/>
        </w:rPr>
        <w:t>Venture capital represents a larger funding tier ($1-10 million per round) but demands more significant equity stakes (20-40%) and typically requires board representation that gives investors formal decision-making authority. Greenlaw et al. (2022) note that firms unable to access traditional bank loans — because they lack revenue history, collateral, or predictable cash flows — must rely on equity financing despite its higher cost in terms of ownership (Section 17.1). For the startup, venture capital provides the scale of funding necessary to hire engineering teams, build infrastructure, and execute marketing campaigns. However, the trade-off extends beyond dilution: venture capitalists impose performance milestones, reporting requirements, and exit timelines (typically 5-7 years) that pressure founders toward rapid growth rather than sustainable development.</w:t>
      </w:r>
    </w:p>
    <w:p>
      <w:pPr>
        <w:spacing w:line="360" w:lineRule="auto" w:after="120"/>
      </w:pPr>
      <w:r>
        <w:rPr>
          <w:rFonts w:ascii="Times New Roman" w:hAnsi="Times New Roman"/>
          <w:b w:val="0"/>
          <w:i w:val="0"/>
          <w:sz w:val="24"/>
        </w:rPr>
        <w:t>Managing allocated capital requires the startup to balance investment in product development against operational sustainability. Reinvesting early revenues rather than distributing profits accelerates growth but delays investor returns. Greenlaw et al. (2022) describe retained earnings as the cheapest capital source because they require no interest payments and create no dilution, but they demand that the firm forgo immediate consumption in favor of future capacity (Section 17.1). The optimal allocation strategy for this startup involves directing 60-70% of capital toward product development and customer acquisition (growth drivers) while reserving 30-40% for operational runway — ensuring the company survives long enough to reach profitability without requiring additional dilutive funding rounds.</w:t>
      </w:r>
    </w:p>
    <w:p>
      <w:pPr>
        <w:pStyle w:val="Heading2"/>
        <w:spacing w:line="360" w:lineRule="auto" w:after="120"/>
      </w:pPr>
      <w:r>
        <w:rPr>
          <w:rFonts w:ascii="Times New Roman" w:hAnsi="Times New Roman"/>
        </w:rPr>
        <w:t>Question 2: Reserve Requirements, Money Supply, and Economic Stability in Kenya</w:t>
      </w:r>
    </w:p>
    <w:p>
      <w:pPr>
        <w:spacing w:line="360" w:lineRule="auto" w:after="120"/>
      </w:pPr>
      <w:r>
        <w:rPr>
          <w:rFonts w:ascii="Times New Roman" w:hAnsi="Times New Roman"/>
          <w:b w:val="0"/>
          <w:i w:val="0"/>
          <w:sz w:val="24"/>
        </w:rPr>
        <w:t>Kenya's inflation rate accelerated to 6.7% year-on-year in May 2026, driven primarily by rising fuel and food prices, after averaging 4.1% through 2025 (Reuters, 2026). This acceleration places inflation above the Central Bank of Kenya's (CBK) target range midpoint of 5%, signaling that price pressures are building rather than subsiding. Given this trajectory, the CBK should consider increasing reserve requirements to tighten the money supply and prevent inflation from becoming entrenched.</w:t>
      </w:r>
    </w:p>
    <w:p>
      <w:pPr>
        <w:spacing w:line="360" w:lineRule="auto" w:after="120"/>
      </w:pPr>
      <w:r>
        <w:rPr>
          <w:rFonts w:ascii="Times New Roman" w:hAnsi="Times New Roman"/>
          <w:b w:val="0"/>
          <w:i w:val="0"/>
          <w:sz w:val="24"/>
        </w:rPr>
        <w:t>Fractional reserve banking allows commercial banks to lend a substantial portion of their deposits while holding only a fraction in reserve. Greenlaw et al. (2022) explain that the money multiplier — calculated as 1 divided by the reserve ratio — determines how much total money the banking system creates from each unit of reserves (Section 27.4). Kenya's current Cash Reserve Ratio (CRR) of 4.25% implies a theoretical multiplier of approximately 23.5, meaning each shilling of reserves supports up to 23.5 shillings of deposits through successive lending rounds. Increasing the CRR from 4.25% to 5.0% would reduce the multiplier to 20, contracting the money supply by approximately 15% at the margin — limiting how much new credit banks can extend from their existing deposit base.</w:t>
      </w:r>
    </w:p>
    <w:p>
      <w:pPr>
        <w:spacing w:line="360" w:lineRule="auto" w:after="120"/>
      </w:pPr>
      <w:r>
        <w:rPr>
          <w:rFonts w:ascii="Times New Roman" w:hAnsi="Times New Roman"/>
          <w:b w:val="0"/>
          <w:i w:val="0"/>
          <w:sz w:val="24"/>
        </w:rPr>
        <w:t>This contraction affects economic stability through two transmission channels. First, reduced lending capacity directly decreases the money supply, limiting the volume of currency chasing goods and services — the fundamental driver of demand-pull inflation. Second, tighter credit conditions raise effective interest rates as banks compete for a smaller pool of loanable funds, discouraging speculative borrowing and consumption spending that fuels price increases. Greenlaw et al. (2022) describe this as the core mechanism through which reserve adjustments influence aggregate demand and ultimately the price level (Section 27.4).</w:t>
      </w:r>
    </w:p>
    <w:p>
      <w:pPr>
        <w:spacing w:line="360" w:lineRule="auto" w:after="120"/>
      </w:pPr>
      <w:r>
        <w:rPr>
          <w:rFonts w:ascii="Times New Roman" w:hAnsi="Times New Roman"/>
          <w:b w:val="0"/>
          <w:i w:val="0"/>
          <w:sz w:val="24"/>
        </w:rPr>
        <w:t>However, the CBK must calibrate this adjustment carefully. Kenya's economy grew at 5.6% in 2023 and the CBR was lowered to 9.75% in June 2025 to support recovery — an overly aggressive reserve increase could restrict credit to productive sectors, particularly small and medium enterprises that employ 80% of Kenya's workforce and depend entirely on bank lending. The appropriate policy is a modest increase (0.50-0.75 percentage points) that signals commitment to price stability while preserving credit access for productive investment. Adewale (2025) notes that emerging economies must balance monetary tightening against financial inclusion objectives, as excessive restriction can push borrowers toward unregulated lending markets that undermine overall financial stability (p. 4).</w:t>
      </w:r>
    </w:p>
    <w:p>
      <w:pPr>
        <w:pStyle w:val="Heading2"/>
        <w:spacing w:line="360" w:lineRule="auto" w:after="120"/>
      </w:pPr>
      <w:r>
        <w:rPr>
          <w:rFonts w:ascii="Times New Roman" w:hAnsi="Times New Roman"/>
        </w:rPr>
        <w:t>Question 3: Hard Peg Policy — Capital Flows, Cryptocurrency, and Financial Stability</w:t>
      </w:r>
    </w:p>
    <w:p>
      <w:pPr>
        <w:spacing w:line="360" w:lineRule="auto" w:after="120"/>
      </w:pPr>
      <w:r>
        <w:rPr>
          <w:rFonts w:ascii="Times New Roman" w:hAnsi="Times New Roman"/>
          <w:b/>
          <w:i w:val="0"/>
          <w:sz w:val="24"/>
        </w:rPr>
        <w:t>Impact on International Capital Inflows and Outflows</w:t>
      </w:r>
    </w:p>
    <w:p>
      <w:pPr>
        <w:spacing w:line="360" w:lineRule="auto" w:after="120"/>
      </w:pPr>
      <w:r>
        <w:rPr>
          <w:rFonts w:ascii="Times New Roman" w:hAnsi="Times New Roman"/>
          <w:b w:val="0"/>
          <w:i w:val="0"/>
          <w:sz w:val="24"/>
        </w:rPr>
        <w:t>Shifting from a floating exchange rate to a hard peg fundamentally alters the risk calculus for international investors. By eliminating currency volatility, the hard peg removes exchange rate risk from foreign investment decisions — a multinational firm investing in the emerging market no longer faces the possibility that currency depreciation will erode the value of its returns when repatriated. Greenlaw et al. (2022) explain that exchange rate stability reduces uncertainty for international lenders and portfolio investors, making the country's assets more attractive relative to floating-rate alternatives where currency movements can eliminate investment gains entirely (Section 29.4). Consequently, the hard peg is likely to increase short-term capital inflows — both foreign direct investment in productive assets and portfolio investment in domestic bonds and equities.</w:t>
      </w:r>
    </w:p>
    <w:p>
      <w:pPr>
        <w:spacing w:line="360" w:lineRule="auto" w:after="120"/>
      </w:pPr>
      <w:r>
        <w:rPr>
          <w:rFonts w:ascii="Times New Roman" w:hAnsi="Times New Roman"/>
          <w:b w:val="0"/>
          <w:i w:val="0"/>
          <w:sz w:val="24"/>
        </w:rPr>
        <w:t>However, the peg simultaneously constrains capital outflows through an indirect mechanism. To maintain the fixed rate, the central bank must hold substantial foreign currency reserves and may impose capital controls to prevent reserve depletion. Liang et al. (2021) find that FDI inflows correlate positively with exchange rate stability in developing countries, but note that the sustainability of these inflows depends on the credibility of the peg — if investors doubt the government's ability to maintain the fixed rate, capital flight accelerates as investors rush to exit before a devaluation (p. 74). The emerging market therefore faces a paradox: the peg attracts capital by eliminating risk, but the very rigidity that attracts capital makes the eventual adjustment — if it comes — more violent and destabilizing.</w:t>
      </w:r>
    </w:p>
    <w:p>
      <w:pPr>
        <w:spacing w:line="360" w:lineRule="auto" w:after="120"/>
      </w:pPr>
      <w:r>
        <w:rPr>
          <w:rFonts w:ascii="Times New Roman" w:hAnsi="Times New Roman"/>
          <w:b/>
          <w:i w:val="0"/>
          <w:sz w:val="24"/>
        </w:rPr>
        <w:t>Effect on Cryptocurrency Transaction Volumes and Adoption</w:t>
      </w:r>
    </w:p>
    <w:p>
      <w:pPr>
        <w:spacing w:line="360" w:lineRule="auto" w:after="120"/>
      </w:pPr>
      <w:r>
        <w:rPr>
          <w:rFonts w:ascii="Times New Roman" w:hAnsi="Times New Roman"/>
          <w:b w:val="0"/>
          <w:i w:val="0"/>
          <w:sz w:val="24"/>
        </w:rPr>
        <w:t>A hard peg paradoxically tends to accelerate cryptocurrency adoption in emerging markets. When governments fix exchange rates, they typically impose capital controls — restrictions on citizens' ability to convert domestic currency to foreign currencies or transfer funds internationally — to prevent reserve depletion. These controls create demand for alternative value transfer mechanisms that operate outside the regulated banking system. Diyorbek et al. (2024) observe that cryptocurrency adoption accelerates in countries with restrictive monetary policies because digital currencies offer financial autonomy, borderless transactions, and censorship resistance that regulated systems cannot provide under capital control regimes (p. 31).</w:t>
      </w:r>
    </w:p>
    <w:p>
      <w:pPr>
        <w:spacing w:line="360" w:lineRule="auto" w:after="120"/>
      </w:pPr>
      <w:r>
        <w:rPr>
          <w:rFonts w:ascii="Times New Roman" w:hAnsi="Times New Roman"/>
          <w:b w:val="0"/>
          <w:i w:val="0"/>
          <w:sz w:val="24"/>
        </w:rPr>
        <w:t>In this scenario, cryptocurrency transaction volumes are likely to increase for three reasons. First, businesses engaged in international trade may use stablecoins (cryptocurrencies pegged to the US dollar) to settle cross-border transactions without navigating capital control bureaucracy. Second, citizens concerned about the sustainability of the hard peg may convert savings to Bitcoin or other cryptocurrencies as a hedge against potential devaluation — if the peg collapses, domestic currency holders suffer immediate wealth destruction, while cryptocurrency holders are insulated. Third, remittance flows from diaspora workers may shift from formal banking channels (which enforce capital controls) to cryptocurrency transfers that bypass regulatory restrictions. Masiha (2022) notes that the COVID-19 pandemic accelerated this shift globally, with cryptocurrency investment surging as populations sought alternatives to government-controlled monetary systems (p. 12).</w:t>
      </w:r>
    </w:p>
    <w:p>
      <w:pPr>
        <w:spacing w:line="360" w:lineRule="auto" w:after="120"/>
      </w:pPr>
      <w:r>
        <w:rPr>
          <w:rFonts w:ascii="Times New Roman" w:hAnsi="Times New Roman"/>
          <w:b/>
          <w:i w:val="0"/>
          <w:sz w:val="24"/>
        </w:rPr>
        <w:t>Influence on Overall Financial Stability</w:t>
      </w:r>
    </w:p>
    <w:p>
      <w:pPr>
        <w:spacing w:line="360" w:lineRule="auto" w:after="120"/>
      </w:pPr>
      <w:r>
        <w:rPr>
          <w:rFonts w:ascii="Times New Roman" w:hAnsi="Times New Roman"/>
          <w:b w:val="0"/>
          <w:i w:val="0"/>
          <w:sz w:val="24"/>
        </w:rPr>
        <w:t>The hard peg delivers short-term financial stability by eliminating daily exchange rate volatility, anchoring inflation expectations to the peg currency's inflation rate, and reducing imported price uncertainty for businesses dependent on foreign inputs. Trade balances become more predictable because import and export prices no longer fluctuate with currency movements, enabling firms to plan investments with greater confidence.</w:t>
      </w:r>
    </w:p>
    <w:p>
      <w:pPr>
        <w:spacing w:line="360" w:lineRule="auto" w:after="120"/>
      </w:pPr>
      <w:r>
        <w:rPr>
          <w:rFonts w:ascii="Times New Roman" w:hAnsi="Times New Roman"/>
          <w:b w:val="0"/>
          <w:i w:val="0"/>
          <w:sz w:val="24"/>
        </w:rPr>
        <w:t>However, the policy creates structural fragility that accumulates over time. Greenlaw et al. (2022) explain that a hard peg sacrifices monetary policy autonomy — the central bank cannot independently adjust interest rates because it must maintain rates consistent with the anchor currency to prevent destabilizing capital flows (Section 29.4). If the domestic economy enters recession while the anchor economy is growing, the pegged country cannot lower rates to stimulate demand, forcing painful internal adjustment through deflation and unemployment rather than currency depreciation. Additionally, if the peg becomes misaligned with economic fundamentals — for example, if domestic inflation persistently exceeds the anchor country's inflation — the currency becomes overvalued, eroding export competitiveness and widening the trade deficit until the peg becomes unsustainable. Historical examples including Argentina (2001), Thailand (1997), and Egypt (2016) demonstrate that hard peg collapses produce severe financial crises — capital flight, banking system stress, and sharp GDP contractions — that are far more damaging than the gradual adjustments a floating rate would have permitted. The emerging market therefore gains stability today at the cost of flexibility and resilience tomorrow.</w:t>
      </w:r>
    </w:p>
    <w:p>
      <w:pPr>
        <w:spacing w:line="360" w:lineRule="auto" w:after="120"/>
      </w:pPr>
      <w:r>
        <w:rPr>
          <w:rFonts w:ascii="Times New Roman" w:hAnsi="Times New Roman"/>
          <w:b/>
          <w:i w:val="0"/>
          <w:sz w:val="24"/>
        </w:rPr>
        <w:t>Word count: 997</w:t>
      </w:r>
    </w:p>
    <w:p>
      <w:pPr>
        <w:pStyle w:val="Heading2"/>
        <w:spacing w:line="360" w:lineRule="auto" w:after="120"/>
      </w:pPr>
      <w:r>
        <w:rPr>
          <w:rFonts w:ascii="Times New Roman" w:hAnsi="Times New Roman"/>
        </w:rPr>
        <w:t>References</w:t>
      </w:r>
    </w:p>
    <w:p>
      <w:pPr>
        <w:spacing w:line="360" w:lineRule="auto" w:after="120"/>
      </w:pPr>
      <w:r>
        <w:rPr>
          <w:rFonts w:ascii="Times New Roman" w:hAnsi="Times New Roman"/>
          <w:b w:val="0"/>
          <w:i w:val="0"/>
          <w:sz w:val="24"/>
        </w:rPr>
        <w:t>Adewale, N. S. A. (2025). Digital currencies and hyperinflation. International Journal of Financial Research and Business Development. https://doi.org/10.70382/mejfrbd.v7i7.017</w:t>
      </w:r>
    </w:p>
    <w:p>
      <w:pPr>
        <w:spacing w:line="360" w:lineRule="auto" w:after="120"/>
      </w:pPr>
      <w:r>
        <w:rPr>
          <w:rFonts w:ascii="Times New Roman" w:hAnsi="Times New Roman"/>
          <w:b w:val="0"/>
          <w:i w:val="0"/>
          <w:sz w:val="24"/>
        </w:rPr>
        <w:t>Diyorbek, X., Ibrohimbek, K., &amp; Ozodbek, T. (2024). Cryptocurrency adoption and its role in reshaping international financial systems. Journal of International Accounting and Financial Management, 1(1), 28–33. http://economicjournals.org/index.php/JIAFM/article/view/9/12</w:t>
      </w:r>
    </w:p>
    <w:p>
      <w:pPr>
        <w:spacing w:line="360" w:lineRule="auto" w:after="120"/>
      </w:pPr>
      <w:r>
        <w:rPr>
          <w:rFonts w:ascii="Times New Roman" w:hAnsi="Times New Roman"/>
          <w:b w:val="0"/>
          <w:i w:val="0"/>
          <w:sz w:val="24"/>
        </w:rPr>
        <w:t>Greenlaw, S., Shapiro, D., &amp; MacDonald, D. (2022). Principles of economics (3rd ed.). OpenStax. https://openstax.org/books/principles-economics-3e/pages/1-introduction</w:t>
      </w:r>
    </w:p>
    <w:p>
      <w:pPr>
        <w:spacing w:line="360" w:lineRule="auto" w:after="120"/>
      </w:pPr>
      <w:r>
        <w:rPr>
          <w:rFonts w:ascii="Times New Roman" w:hAnsi="Times New Roman"/>
          <w:b w:val="0"/>
          <w:i w:val="0"/>
          <w:sz w:val="24"/>
        </w:rPr>
        <w:t>Liang, C., Shah, S. A., &amp; Bifei, T. (2021). The role of FDI inflow in economic growth: Evidence from developing countries. Journal of Advanced Research in Economics and Administrative Sciences, 2(1), 68–80. https://doi.org/10.47631/jareas.v2i1.212</w:t>
      </w:r>
    </w:p>
    <w:p>
      <w:pPr>
        <w:spacing w:line="360" w:lineRule="auto" w:after="120"/>
      </w:pPr>
      <w:r>
        <w:rPr>
          <w:rFonts w:ascii="Times New Roman" w:hAnsi="Times New Roman"/>
          <w:b w:val="0"/>
          <w:i w:val="0"/>
          <w:sz w:val="24"/>
        </w:rPr>
        <w:t>Masiha, R. Y. (2022). Effects of cryptocurrencies on global economics: A review study. Qubahan Academic Journal, 2(2), 9–15. https://doi.org/10.48161/qaj.v2n2a138</w:t>
      </w:r>
    </w:p>
    <w:p>
      <w:pPr>
        <w:spacing w:line="360" w:lineRule="auto" w:after="120"/>
      </w:pPr>
      <w:r>
        <w:rPr>
          <w:rFonts w:ascii="Times New Roman" w:hAnsi="Times New Roman"/>
          <w:b w:val="0"/>
          <w:i w:val="0"/>
          <w:sz w:val="24"/>
        </w:rPr>
        <w:t>Reuters. (2026, May 29). Kenya inflation rises sharply for second month, driven by fuel. https://www.reuters.com/world/africa/kenya-inflation-rises-67-year-on-year-may-2026-05-29/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