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Argumentative essays establish a debatable position and defend it using logical reasoning, credible evidence, and counterargument refutation (Weaver et al., 2016). This rhetorical mode differs from persuasive writing by emphasizing factual evidence over emotional appeals (Hall &amp; Wallace, 2018). Academic and professional settings require argumentative approaches when presenting evidence-based conclusions rather than subjective opinions.</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Post-pandemic workplace transformations have intensified debates surrounding remote work productivity. Critics contend that home-based work environments create distractions and limit collaborative opportunities. However, empirical research reveals productivity gains among remote knowledge workers. Remote work increases productivity through three mechanisms: commute elimination, distraction reduction, and schedule flexibility.</w:t>
      </w:r>
    </w:p>
    <w:bookmarkEnd w:id="22"/>
    <w:bookmarkStart w:id="23" w:name="commute-time-recovery"/>
    <w:p>
      <w:pPr>
        <w:pStyle w:val="Heading3"/>
        <w:spacing w:line="360" w:lineRule="auto"/>
      </w:pPr>
      <w:r>
        <w:rPr>
          <w:rFonts w:ascii="Times New Roman" w:hAnsi="Times New Roman"/>
          <w:sz w:val="24"/>
        </w:rPr>
        <w:t xml:space="preserve">Commute Time Recovery</w:t>
      </w:r>
    </w:p>
    <w:p>
      <w:pPr>
        <w:pStyle w:val="FirstParagraph"/>
        <w:spacing w:line="360" w:lineRule="auto"/>
      </w:pPr>
      <w:r>
        <w:rPr>
          <w:rFonts w:ascii="Times New Roman" w:hAnsi="Times New Roman"/>
          <w:sz w:val="24"/>
        </w:rPr>
        <w:t xml:space="preserve">Commuting represents significant productivity loss for traditional office workers. Census data indicates American workers average 54 minutes daily in transit, accumulating 200+ annual hours (U.S. Census Bureau, 2021). Bloom et al. (2015) conducted a nine-month study tracking 16,000 employees, finding remote workers completed 13% more calls than office counterparts. This productivity increase stemmed partially from recovered commute time. Eliminating travel provides workers additional capacity for productive tasks or recuperation, sustaining long-term performance.</w:t>
      </w:r>
    </w:p>
    <w:bookmarkEnd w:id="23"/>
    <w:bookmarkStart w:id="24" w:name="interruption-reduction"/>
    <w:p>
      <w:pPr>
        <w:pStyle w:val="Heading3"/>
        <w:spacing w:line="360" w:lineRule="auto"/>
      </w:pPr>
      <w:r>
        <w:rPr>
          <w:rFonts w:ascii="Times New Roman" w:hAnsi="Times New Roman"/>
          <w:sz w:val="24"/>
        </w:rPr>
        <w:t xml:space="preserve">Interruption Reduction</w:t>
      </w:r>
    </w:p>
    <w:p>
      <w:pPr>
        <w:pStyle w:val="FirstParagraph"/>
        <w:spacing w:line="360" w:lineRule="auto"/>
      </w:pPr>
      <w:r>
        <w:rPr>
          <w:rFonts w:ascii="Times New Roman" w:hAnsi="Times New Roman"/>
          <w:sz w:val="24"/>
        </w:rPr>
        <w:t xml:space="preserve">Traditional offices generate frequent disruptions through impromptu meetings, colleague conversations, and environmental noise. Remote settings enable workers to design personalized spaces minimizing distractions. Mark et al. (2018) documented that office employees experience interruptions every 11 minutes, requiring 23 minutes to regain task focus. Remote work substantially reduces this productivity drain. Complex cognitive tasks—software engineering, data analysis, strategic planning—demand sustained concentration periods that home offices facilitate better than open-plan workspaces.</w:t>
      </w:r>
    </w:p>
    <w:bookmarkEnd w:id="24"/>
    <w:bookmarkStart w:id="25" w:name="schedule-autonomy"/>
    <w:p>
      <w:pPr>
        <w:pStyle w:val="Heading3"/>
        <w:spacing w:line="360" w:lineRule="auto"/>
      </w:pPr>
      <w:r>
        <w:rPr>
          <w:rFonts w:ascii="Times New Roman" w:hAnsi="Times New Roman"/>
          <w:sz w:val="24"/>
        </w:rPr>
        <w:t xml:space="preserve">Schedule Autonomy</w:t>
      </w:r>
    </w:p>
    <w:p>
      <w:pPr>
        <w:pStyle w:val="FirstParagraph"/>
        <w:spacing w:line="360" w:lineRule="auto"/>
      </w:pPr>
      <w:r>
        <w:rPr>
          <w:rFonts w:ascii="Times New Roman" w:hAnsi="Times New Roman"/>
          <w:sz w:val="24"/>
        </w:rPr>
        <w:t xml:space="preserve">Remote arrangements grant workers control over timing, enabling alignment with biological performance peaks rather than standardized schedules. Chronobiology research demonstrates individual circadian rhythm variations—some individuals optimize morning productivity while others peak during afternoon or evening hours (Roenneberg et al., 2019). Recent survey data shows 85% of workers cite remote work as the primary factor influencing job applications, with 69% willing to accept pay cuts for remote opportunities (FlexJobs, 2026). Schedule flexibility enables workers to match task demands with personal energy cycles, improving output quality.</w:t>
      </w:r>
    </w:p>
    <w:bookmarkEnd w:id="25"/>
    <w:bookmarkStart w:id="26" w:name="counterargument-analysis"/>
    <w:p>
      <w:pPr>
        <w:pStyle w:val="Heading3"/>
        <w:spacing w:line="360" w:lineRule="auto"/>
      </w:pPr>
      <w:r>
        <w:rPr>
          <w:rFonts w:ascii="Times New Roman" w:hAnsi="Times New Roman"/>
          <w:sz w:val="24"/>
        </w:rPr>
        <w:t xml:space="preserve">Counterargument Analysis</w:t>
      </w:r>
    </w:p>
    <w:p>
      <w:pPr>
        <w:pStyle w:val="FirstParagraph"/>
        <w:spacing w:line="360" w:lineRule="auto"/>
      </w:pPr>
      <w:r>
        <w:rPr>
          <w:rFonts w:ascii="Times New Roman" w:hAnsi="Times New Roman"/>
          <w:sz w:val="24"/>
        </w:rPr>
        <w:t xml:space="preserve">Remote work critics emphasize collaboration difficulties and accountability challenges. These concerns reflect traditional management approaches rather than remote work limitations. Contemporary platforms—Slack, Microsoft Teams, Zoom—enable synchronous communication and project coordination, often surpassing physical meetings requiring scheduling and location changes. Bloom et al. (2015) found remote employees took fewer sick days and breaks, contradicting accountability assumptions. Performance measurement should prioritize deliverable quality over physical presence, benefiting both workers and organizations.</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Empirical evidence confirms remote work productivity advantages through commute elimination, interruption reduction, and schedule flexibility. While collaboration and accountability concerns warrant consideration, technological solutions and outcome-focused management address these challenges effectively. Organizations should adopt remote or hybrid models as strategic productivity optimization approaches rather than temporary accommodations.</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(2026).</w:t>
      </w:r>
      <w:r>
        <w:rPr>
          <w:rFonts w:ascii="Times New Roman" w:hAnsi="Times New Roman"/>
          <w:sz w:val="24"/>
        </w:rPr>
        <w:t xml:space="preserve"> </w:t>
      </w:r>
      <w:r>
        <w:rPr>
          <w:rFonts w:ascii="Times New Roman" w:hAnsi="Times New Roman"/>
          <w:i/>
          <w:iCs/>
          <w:sz w:val="24"/>
        </w:rPr>
        <w:t xml:space="preserve">FlexJobs remote work index: Remote work trends and statistics for 2026</w:t>
      </w:r>
      <w:r>
        <w:rPr>
          <w:rFonts w:ascii="Times New Roman" w:hAnsi="Times New Roman"/>
          <w:sz w:val="24"/>
        </w:rPr>
        <w:t xml:space="preserve">. Retrieved February 1, 2026, from https://www.flexjobs.com/blog/post/remote-work-statistics/</w:t>
      </w:r>
    </w:p>
    <w:p>
      <w:pPr>
        <w:pStyle w:val="BodyText"/>
        <w:spacing w:line="360" w:lineRule="auto"/>
      </w:pPr>
      <w:r>
        <w:rPr>
          <w:rFonts w:ascii="Times New Roman" w:hAnsi="Times New Roman"/>
          <w:sz w:val="24"/>
        </w:rPr>
        <w:t xml:space="preserve">Hall, B., &amp; Wallace, E. (2018).</w:t>
      </w:r>
      <w:r>
        <w:rPr>
          <w:rFonts w:ascii="Times New Roman" w:hAnsi="Times New Roman"/>
          <w:sz w:val="24"/>
        </w:rPr>
        <w:t xml:space="preserve"> </w:t>
      </w:r>
      <w:r>
        <w:rPr>
          <w:rFonts w:ascii="Times New Roman" w:hAnsi="Times New Roman"/>
          <w:i/>
          <w:iCs/>
          <w:sz w:val="24"/>
        </w:rPr>
        <w:t xml:space="preserve">College ESL writers: Applied grammar and composing strategies for success</w:t>
      </w:r>
      <w:r>
        <w:rPr>
          <w:rFonts w:ascii="Times New Roman" w:hAnsi="Times New Roman"/>
          <w:sz w:val="24"/>
        </w:rPr>
        <w:t xml:space="preserve">. GALILEO Open Learning Materials. https://oer.galileo.usg.edu/english-textbooks/14</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Retrieved February 1, 2026, from https://data.census.gov/</w:t>
      </w:r>
    </w:p>
    <w:p>
      <w:pPr>
        <w:pStyle w:val="BodyText"/>
        <w:spacing w:line="360" w:lineRule="auto"/>
      </w:pPr>
      <w:r>
        <w:rPr>
          <w:rFonts w:ascii="Times New Roman" w:hAnsi="Times New Roman"/>
          <w:sz w:val="24"/>
        </w:rPr>
        <w:t xml:space="preserve">Weaver, R., Bost, L., Kassorla, M., McKinney-Holley, K., Crowther, K., Curtright, L., Gilbert, N., Hall, B., Ravita, T., &amp; Swenson, K. (2016).</w:t>
      </w:r>
      <w:r>
        <w:rPr>
          <w:rFonts w:ascii="Times New Roman" w:hAnsi="Times New Roman"/>
          <w:sz w:val="24"/>
        </w:rPr>
        <w:t xml:space="preserve"> </w:t>
      </w:r>
      <w:r>
        <w:rPr>
          <w:rFonts w:ascii="Times New Roman" w:hAnsi="Times New Roman"/>
          <w:i/>
          <w:iCs/>
          <w:sz w:val="24"/>
        </w:rPr>
        <w:t xml:space="preserve">Successful college composition</w:t>
      </w:r>
      <w:r>
        <w:rPr>
          <w:rFonts w:ascii="Times New Roman" w:hAnsi="Times New Roman"/>
          <w:sz w:val="24"/>
        </w:rPr>
        <w:t xml:space="preserve"> </w:t>
      </w:r>
      <w:r>
        <w:rPr>
          <w:rFonts w:ascii="Times New Roman" w:hAnsi="Times New Roman"/>
          <w:sz w:val="24"/>
        </w:rPr>
        <w:t xml:space="preserve">(3rd ed.). GALILEO Open Learning Materials. https://oer.galileo.usg.edu/english-textbooks/8</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512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2026-02-09T07:33:57Z</dcterms:created>
  <dcterms:modified xsi:type="dcterms:W3CDTF">2026-02-09T07:33:57Z</dcterms:modified>
</cp:coreProperties>
</file>

<file path=docProps/custom.xml><?xml version="1.0" encoding="utf-8"?>
<Properties xmlns="http://schemas.openxmlformats.org/officeDocument/2006/custom-properties" xmlns:vt="http://schemas.openxmlformats.org/officeDocument/2006/docPropsVTypes"/>
</file>