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after="120"/>
      </w:pPr>
      <w:r>
        <w:rPr>
          <w:rFonts w:ascii="Times New Roman" w:hAnsi="Times New Roman"/>
        </w:rPr>
        <w:t>ECON1580 — Unit 7 Discussion Assignment</w:t>
      </w:r>
    </w:p>
    <w:p>
      <w:pPr>
        <w:pStyle w:val="Heading2"/>
        <w:spacing w:line="360" w:lineRule="auto" w:after="120"/>
      </w:pPr>
      <w:r>
        <w:rPr>
          <w:rFonts w:ascii="Times New Roman" w:hAnsi="Times New Roman"/>
        </w:rPr>
        <w:t>Globalization Trends and the AD/AS Model: How Kenya Navigates Trade Openness and External Shocks</w:t>
      </w:r>
    </w:p>
    <w:p>
      <w:pPr>
        <w:spacing w:line="360" w:lineRule="auto" w:after="120"/>
      </w:pPr>
      <w:r>
        <w:rPr>
          <w:rFonts w:ascii="Times New Roman" w:hAnsi="Times New Roman"/>
          <w:b w:val="0"/>
          <w:i w:val="0"/>
          <w:sz w:val="24"/>
        </w:rPr>
        <w:t>Student: Nicanor Kyamba</w:t>
      </w:r>
    </w:p>
    <w:p>
      <w:pPr>
        <w:spacing w:line="360" w:lineRule="auto" w:after="120"/>
      </w:pPr>
      <w:r>
        <w:rPr>
          <w:rFonts w:ascii="Times New Roman" w:hAnsi="Times New Roman"/>
          <w:b w:val="0"/>
          <w:i w:val="0"/>
          <w:sz w:val="24"/>
        </w:rPr>
        <w:t>Course: ECON1580 — Applied Economics</w:t>
      </w:r>
    </w:p>
    <w:p>
      <w:pPr>
        <w:spacing w:line="360" w:lineRule="auto" w:after="120"/>
      </w:pPr>
      <w:r>
        <w:rPr>
          <w:rFonts w:ascii="Times New Roman" w:hAnsi="Times New Roman"/>
          <w:b w:val="0"/>
          <w:i w:val="0"/>
          <w:sz w:val="24"/>
        </w:rPr>
        <w:t>Unit: 7 — Trade, Globalization, and Macroeconomic Perspectives</w:t>
      </w:r>
    </w:p>
    <w:p>
      <w:pPr>
        <w:spacing w:line="360" w:lineRule="auto" w:after="120"/>
      </w:pPr>
      <w:r>
        <w:rPr>
          <w:rFonts w:ascii="Times New Roman" w:hAnsi="Times New Roman"/>
          <w:b w:val="0"/>
          <w:i w:val="0"/>
          <w:sz w:val="24"/>
        </w:rPr>
        <w:t>Date: May 2026</w:t>
      </w:r>
    </w:p>
    <w:p>
      <w:pPr>
        <w:spacing w:line="360" w:lineRule="auto" w:after="120"/>
      </w:pPr>
      <w:r>
        <w:rPr>
          <w:rFonts w:ascii="Times New Roman" w:hAnsi="Times New Roman"/>
          <w:b w:val="0"/>
          <w:i w:val="0"/>
          <w:sz w:val="24"/>
        </w:rPr>
        <w:t>Living in Nairobi, I observe globalization not as an abstract economic concept but as a daily reality — from the Chinese-built Expressway connecting the city center to the airport, to the M-Pesa transactions linking Kenyan traders with suppliers in Guangzhou, to the rising cost of bread driven by the Russia-Ukraine conflict disrupting global wheat markets. Kenya's experience demonstrates how globalization simultaneously creates growth opportunities and transmits external vulnerabilities that force difficult macroeconomic policy choices.</w:t>
      </w:r>
    </w:p>
    <w:p>
      <w:pPr>
        <w:spacing w:line="360" w:lineRule="auto" w:after="120"/>
      </w:pPr>
      <w:r>
        <w:rPr>
          <w:rFonts w:ascii="Times New Roman" w:hAnsi="Times New Roman"/>
          <w:b/>
          <w:i w:val="0"/>
          <w:sz w:val="24"/>
        </w:rPr>
        <w:t>Key Globalization Trends</w:t>
      </w:r>
    </w:p>
    <w:p>
      <w:pPr>
        <w:spacing w:line="360" w:lineRule="auto" w:after="120"/>
      </w:pPr>
      <w:r>
        <w:rPr>
          <w:rFonts w:ascii="Times New Roman" w:hAnsi="Times New Roman"/>
          <w:b w:val="0"/>
          <w:i w:val="0"/>
          <w:sz w:val="24"/>
        </w:rPr>
        <w:t>Three interconnected trends define Kenya's globalization experience. First, regional trade integration has accelerated through the East African Community (EAC) common market and Kenya's ratification of the African Continental Free Trade Area (AfCFTA). Kenya serves as East Africa's commercial hub, with exports to regional partners growing steadily as tariff barriers fall. Greenlaw et al. (2022) explain that trade agreements reduce barriers and encourage specialization based on comparative advantage, enabling participating countries to achieve higher combined output through exchange (Section 34.4).</w:t>
      </w:r>
    </w:p>
    <w:p>
      <w:pPr>
        <w:spacing w:line="360" w:lineRule="auto" w:after="120"/>
      </w:pPr>
      <w:r>
        <w:rPr>
          <w:rFonts w:ascii="Times New Roman" w:hAnsi="Times New Roman"/>
          <w:b w:val="0"/>
          <w:i w:val="0"/>
          <w:sz w:val="24"/>
        </w:rPr>
        <w:t>Second, foreign direct investment and digital globalization have transformed Kenya's economic structure. FDI inflows — concentrated in telecommunications, fintech, and infrastructure — have integrated Kenya into global capital markets. The World Bank (2024) reports that Kenya's services sector, driven by financial services and tourism, now accounts for over 43% of GDP, reflecting the country's shift toward a globally connected service economy.</w:t>
      </w:r>
    </w:p>
    <w:p>
      <w:pPr>
        <w:spacing w:line="360" w:lineRule="auto" w:after="120"/>
      </w:pPr>
      <w:r>
        <w:rPr>
          <w:rFonts w:ascii="Times New Roman" w:hAnsi="Times New Roman"/>
          <w:b w:val="0"/>
          <w:i w:val="0"/>
          <w:sz w:val="24"/>
        </w:rPr>
        <w:t>Third, Kenya maintains a persistent merchandise trade deficit — imports exceed exports by approximately 12% of GDP — because the country imports petroleum, machinery, and manufactured goods while exporting primarily agricultural commodities and services. Greenlaw et al. (2022) describe how trade deficits must be financed through capital inflows, creating a direct relationship between trade balances and financial capital flows that constrains monetary policy options (Section 23.3).</w:t>
      </w:r>
    </w:p>
    <w:p>
      <w:pPr>
        <w:spacing w:line="360" w:lineRule="auto" w:after="120"/>
      </w:pPr>
      <w:r>
        <w:rPr>
          <w:rFonts w:ascii="Times New Roman" w:hAnsi="Times New Roman"/>
          <w:b/>
          <w:i w:val="0"/>
          <w:sz w:val="24"/>
        </w:rPr>
        <w:t>Effects on Economic Growth and Market Integration</w:t>
      </w:r>
    </w:p>
    <w:p>
      <w:pPr>
        <w:spacing w:line="360" w:lineRule="auto" w:after="120"/>
      </w:pPr>
      <w:r>
        <w:rPr>
          <w:rFonts w:ascii="Times New Roman" w:hAnsi="Times New Roman"/>
          <w:b w:val="0"/>
          <w:i w:val="0"/>
          <w:sz w:val="24"/>
        </w:rPr>
        <w:t>These trends have delivered measurable growth. GDP expanded by 7.5% in 2021 during the post-COVID recovery and maintained 4.8% growth in 2022 despite global headwinds (World Bank, 2024). Market integration has diversified Kenya's export destinations beyond traditional European partners toward intra-African and Asian markets. However, openness has also exposed domestic manufacturers to competition from cheaper imports — particularly textiles and consumer goods from China and India — displacing some local producers. Greenlaw et al. (2022) acknowledge that while trade generates aggregate gains through specialization, specific industries and workers bear adjustment costs that require policy attention (Section 34.2).</w:t>
      </w:r>
    </w:p>
    <w:p>
      <w:pPr>
        <w:spacing w:line="360" w:lineRule="auto" w:after="120"/>
      </w:pPr>
      <w:r>
        <w:rPr>
          <w:rFonts w:ascii="Times New Roman" w:hAnsi="Times New Roman"/>
          <w:b/>
          <w:i w:val="0"/>
          <w:sz w:val="24"/>
        </w:rPr>
        <w:t>Applying the AD/AS Model to Macroeconomic Policy Decisions</w:t>
      </w:r>
    </w:p>
    <w:p>
      <w:pPr>
        <w:spacing w:line="360" w:lineRule="auto" w:after="120"/>
      </w:pPr>
      <w:r>
        <w:rPr>
          <w:rFonts w:ascii="Times New Roman" w:hAnsi="Times New Roman"/>
          <w:b w:val="0"/>
          <w:i w:val="0"/>
          <w:sz w:val="24"/>
        </w:rPr>
        <w:t>The AD/AS framework reveals how globalization creates simultaneous supply-side and demand-side pressures that complicate policymaking. On the supply side, FDI-driven capital accumulation and technology transfer shift the long-run aggregate supply (LRAS) curve rightward — new infrastructure, improved telecommunications, and industrial capacity expand what the economy can produce at any price level (Greenlaw et al., 2022, Section 24.3). This structural improvement supports sustained growth without inflationary pressure.</w:t>
      </w:r>
    </w:p>
    <w:p>
      <w:pPr>
        <w:spacing w:line="360" w:lineRule="auto" w:after="120"/>
      </w:pPr>
      <w:r>
        <w:rPr>
          <w:rFonts w:ascii="Times New Roman" w:hAnsi="Times New Roman"/>
          <w:b w:val="0"/>
          <w:i w:val="0"/>
          <w:sz w:val="24"/>
        </w:rPr>
        <w:t>However, Kenya's trade openness also transmits external supply shocks with devastating speed. When global oil and food prices surged in 2022 following the Russia-Ukraine conflict, the short-run aggregate supply (SRAS) curve shifted leftward as input costs rose across transportation, manufacturing, and agriculture simultaneously. The result was stagflation: inflation climbed to 9.6% while growth decelerated — the worst macroeconomic outcome where prices rise and output falls concurrently (Greenlaw et al., 2022, Section 24.3).</w:t>
      </w:r>
    </w:p>
    <w:p>
      <w:pPr>
        <w:spacing w:line="360" w:lineRule="auto" w:after="120"/>
      </w:pPr>
      <w:r>
        <w:rPr>
          <w:rFonts w:ascii="Times New Roman" w:hAnsi="Times New Roman"/>
          <w:b w:val="0"/>
          <w:i w:val="0"/>
          <w:sz w:val="24"/>
        </w:rPr>
        <w:t>The Central Bank of Kenya responded with contractionary monetary policy, raising the benchmark rate from 7.0% to 12.5% between 2022 and 2024. In AD/AS terms, higher interest rates shift aggregate demand leftward — reducing borrowing, investment, and consumption to relieve inflationary pressure (Greenlaw et al., 2022, Section 24.4). This represents the fundamental policy trade-off that globalization imposes on open economies: the same trade openness that delivers growth through LRAS expansion also transmits external shocks through SRAS contractions, forcing central banks to sacrifice short-term growth to maintain price stability. Kenya's experience confirms that globalization is not merely a growth engine — it is a transmission mechanism for both opportunity and risk that demands active, adaptive macroeconomic management.</w:t>
      </w:r>
    </w:p>
    <w:p>
      <w:pPr>
        <w:spacing w:line="360" w:lineRule="auto" w:after="120"/>
      </w:pPr>
      <w:r>
        <w:rPr>
          <w:rFonts w:ascii="Times New Roman" w:hAnsi="Times New Roman"/>
          <w:b/>
          <w:i w:val="0"/>
          <w:sz w:val="24"/>
        </w:rPr>
        <w:t>Word count: 497</w:t>
      </w:r>
    </w:p>
    <w:p>
      <w:pPr>
        <w:pStyle w:val="Heading2"/>
        <w:spacing w:line="360" w:lineRule="auto" w:after="120"/>
      </w:pPr>
      <w:r>
        <w:rPr>
          <w:rFonts w:ascii="Times New Roman" w:hAnsi="Times New Roman"/>
        </w:rPr>
        <w:t>References</w:t>
      </w:r>
    </w:p>
    <w:p>
      <w:pPr>
        <w:spacing w:line="360" w:lineRule="auto" w:after="120"/>
      </w:pPr>
      <w:r>
        <w:rPr>
          <w:rFonts w:ascii="Times New Roman" w:hAnsi="Times New Roman"/>
          <w:b w:val="0"/>
          <w:i w:val="0"/>
          <w:sz w:val="24"/>
        </w:rPr>
        <w:t>Greenlaw, S., Shapiro, D., &amp; MacDonald, D. (2022). Principles of economics (3rd ed.). OpenStax. https://openstax.org/books/principles-economics-3e/pages/1-introduction</w:t>
      </w:r>
    </w:p>
    <w:p>
      <w:pPr>
        <w:spacing w:line="360" w:lineRule="auto" w:after="120"/>
      </w:pPr>
      <w:r>
        <w:rPr>
          <w:rFonts w:ascii="Times New Roman" w:hAnsi="Times New Roman"/>
          <w:b w:val="0"/>
          <w:i w:val="0"/>
          <w:sz w:val="24"/>
        </w:rPr>
        <w:t>World Bank. (2024, June 5). Kenya's economy exhibited robust growth in 2023 despite persistent challenges [Press release]. https://www.worldbank.org/en/news/press-release/2024/06/05/kenya-afe-economy-exhibited-robust-growth-in-2023-despite-persistent-challenges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