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published"/>
    <w:p>
      <w:pPr>
        <w:pStyle w:val="Heading2"/>
      </w:pPr>
      <w:r>
        <w:t xml:space="preserve">Published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hyperlink r:id="rId9">
              <w:r>
                <w:rPr>
                  <w:rStyle w:val="Hyperlink"/>
                </w:rPr>
                <w:t xml:space="preserve">Lutetium-177 vipivotide tetraxetan for treating PSMA-positive hormone-relapsed metastatic prostate cancer after an anti-androgen but not a taxane (terminated evaluation)</w:t>
              </w:r>
            </w:hyperlink>
            <w:r>
              <w:t xml:space="preserve"> </w:t>
            </w:r>
            <w:r>
              <w:t xml:space="preserve">(2026) NICE technology appraisal guidance 1179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0">
              <w:r>
                <w:rPr>
                  <w:rStyle w:val="Hyperlink"/>
                </w:rPr>
                <w:t xml:space="preserve">Talazoparib with enzalutamide for untreated hormone-relapsed metastatic prostate cancer</w:t>
              </w:r>
            </w:hyperlink>
            <w:r>
              <w:t xml:space="preserve"> </w:t>
            </w:r>
            <w:r>
              <w:t xml:space="preserve">(2026) NICE technology appraisal guidance 1130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">
              <w:r>
                <w:rPr>
                  <w:rStyle w:val="Hyperlink"/>
                </w:rPr>
                <w:t xml:space="preserve">Abiraterone (originator and generics) for treating newly diagnosed high-risk hormone‑sensitive metastatic prostate cancer</w:t>
              </w:r>
            </w:hyperlink>
            <w:r>
              <w:t xml:space="preserve"> </w:t>
            </w:r>
            <w:r>
              <w:t xml:space="preserve">(2025) NICE technology appraisal guidance 1110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2">
              <w:r>
                <w:rPr>
                  <w:rStyle w:val="Hyperlink"/>
                </w:rPr>
                <w:t xml:space="preserve">Darolutamide with androgen deprivation therapy for treating hormone-sensitive metastatic prostate cancer</w:t>
              </w:r>
            </w:hyperlink>
            <w:r>
              <w:t xml:space="preserve"> </w:t>
            </w:r>
            <w:r>
              <w:t xml:space="preserve">(2025) NICE technology appraisal guidance 1109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3">
              <w:r>
                <w:rPr>
                  <w:rStyle w:val="Hyperlink"/>
                </w:rPr>
                <w:t xml:space="preserve">Niraparib with abiraterone acetate and prednisone for untreated hormone-relapsed metastatic prostate cancer (terminated appraisal)</w:t>
              </w:r>
            </w:hyperlink>
            <w:r>
              <w:t xml:space="preserve"> </w:t>
            </w:r>
            <w:r>
              <w:t xml:space="preserve">(2025) NICE technology appraisal guidance 1032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4">
              <w:r>
                <w:rPr>
                  <w:rStyle w:val="Hyperlink"/>
                </w:rPr>
                <w:t xml:space="preserve">Relugolix for treating hormone-sensitive prostate cancer</w:t>
              </w:r>
            </w:hyperlink>
            <w:r>
              <w:t xml:space="preserve"> </w:t>
            </w:r>
            <w:r>
              <w:t xml:space="preserve">(2024) NICE technology appraisal guidance 995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5">
              <w:r>
                <w:rPr>
                  <w:rStyle w:val="Hyperlink"/>
                </w:rPr>
                <w:t xml:space="preserve">Enzalutamide for treating non-metastatic prostate cancer after radical prostatectomy or radiotherapy (terminated appraisal)</w:t>
              </w:r>
            </w:hyperlink>
            <w:r>
              <w:t xml:space="preserve"> </w:t>
            </w:r>
            <w:r>
              <w:t xml:space="preserve">(2024) NICE technology appraisal guidance 994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</w:rPr>
                <w:t xml:space="preserve">Olaparib with abiraterone for untreated hormone-relapsed metastatic prostate cancer</w:t>
              </w:r>
            </w:hyperlink>
            <w:r>
              <w:t xml:space="preserve"> </w:t>
            </w:r>
            <w:r>
              <w:t xml:space="preserve">(2024) NICE technology appraisal guidance 951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7">
              <w:r>
                <w:rPr>
                  <w:rStyle w:val="Hyperlink"/>
                </w:rPr>
                <w:t xml:space="preserve">Lutetium-177 vipivotide tetraxetan for treating PSMA-positive hormone-relapsed metastatic prostate cancer after 2 or more treatments</w:t>
              </w:r>
            </w:hyperlink>
            <w:r>
              <w:t xml:space="preserve"> </w:t>
            </w:r>
            <w:r>
              <w:t xml:space="preserve">(2023) NICE technology appraisal guidance 930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8">
              <w:r>
                <w:rPr>
                  <w:rStyle w:val="Hyperlink"/>
                </w:rPr>
                <w:t xml:space="preserve">Darolutamide with androgen deprivation therapy and docetaxel for treating hormone-sensitive metastatic prostate cancer</w:t>
              </w:r>
            </w:hyperlink>
            <w:r>
              <w:t xml:space="preserve"> </w:t>
            </w:r>
            <w:r>
              <w:t xml:space="preserve">(2023) NICE technology appraisal guidance 903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9">
              <w:r>
                <w:rPr>
                  <w:rStyle w:val="Hyperlink"/>
                </w:rPr>
                <w:t xml:space="preserve">Olaparib for previously treated BRCA mutation-positive hormone-relapsed metastatic prostate cancer</w:t>
              </w:r>
            </w:hyperlink>
            <w:r>
              <w:t xml:space="preserve"> </w:t>
            </w:r>
            <w:r>
              <w:t xml:space="preserve">(2023) NICE technology appraisal guidance 887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Apalutamide with androgen deprivation therapy for treating high-risk hormone-relapsed non-metastatic prostate cancer</w:t>
              </w:r>
            </w:hyperlink>
            <w:r>
              <w:t xml:space="preserve"> </w:t>
            </w:r>
            <w:r>
              <w:t xml:space="preserve">(2021) NICE technology appraisal guidance 740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Apalutamide with androgen deprivation therapy for treating hormone-sensitive metastatic prostate cancer</w:t>
              </w:r>
            </w:hyperlink>
            <w:r>
              <w:t xml:space="preserve"> </w:t>
            </w:r>
            <w:r>
              <w:t xml:space="preserve">(2021) NICE technology appraisal guidance 741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Enzalutamide for treating hormone-sensitive metastatic prostate cancer</w:t>
              </w:r>
            </w:hyperlink>
            <w:r>
              <w:t xml:space="preserve"> </w:t>
            </w:r>
            <w:r>
              <w:t xml:space="preserve">(2021) NICE technology appraisal guidance 712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Darolutamide with androgen deprivation therapy for treating hormone-relapsed non-metastatic prostate cancer</w:t>
              </w:r>
            </w:hyperlink>
            <w:r>
              <w:t xml:space="preserve"> </w:t>
            </w:r>
            <w:r>
              <w:t xml:space="preserve">(2020) NICE technology appraisal guidance 660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Enzalutamide for hormone-relapsed non-metastatic prostate cancer</w:t>
              </w:r>
            </w:hyperlink>
            <w:r>
              <w:t xml:space="preserve"> </w:t>
            </w:r>
            <w:r>
              <w:t xml:space="preserve">(2019) NICE technology appraisal guidance 580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Padeliporfin for untreated localised prostate cancer</w:t>
              </w:r>
            </w:hyperlink>
            <w:r>
              <w:t xml:space="preserve"> </w:t>
            </w:r>
            <w:r>
              <w:t xml:space="preserve">(2018) NICE technology appraisal guidance 546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Radium-223 dichloride for treating hormone-relapsed prostate cancer with bone metastases</w:t>
              </w:r>
            </w:hyperlink>
            <w:r>
              <w:t xml:space="preserve"> </w:t>
            </w:r>
            <w:r>
              <w:t xml:space="preserve">(2016) NICE technology appraisal guidance 412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Cabazitaxel for hormone-relapsed metastatic prostate cancer treated with docetaxel</w:t>
              </w:r>
            </w:hyperlink>
            <w:r>
              <w:t xml:space="preserve"> </w:t>
            </w:r>
            <w:r>
              <w:t xml:space="preserve">(2016) NICE technology appraisal guidance 391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Degarelix for treating advanced hormone-dependent prostate cancer</w:t>
              </w:r>
            </w:hyperlink>
            <w:r>
              <w:t xml:space="preserve"> </w:t>
            </w:r>
            <w:r>
              <w:t xml:space="preserve">(2016) NICE technology appraisal guidance 404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Abiraterone for castration-resistant metastatic prostate cancer previously treated with a docetaxel-containing regimen</w:t>
              </w:r>
            </w:hyperlink>
            <w:r>
              <w:t xml:space="preserve"> </w:t>
            </w:r>
            <w:r>
              <w:t xml:space="preserve">(2012 updated 2016) NICE technology appraisal guidance 259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Abiraterone for treating metastatic hormone-relapsed prostate cancer before chemotherapy is indicated</w:t>
              </w:r>
            </w:hyperlink>
            <w:r>
              <w:t xml:space="preserve"> </w:t>
            </w:r>
            <w:r>
              <w:t xml:space="preserve">(2016) NICE technology appraisal guidance 387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Enzalutamide for treating metastatic hormone-relapsed prostate cancer before chemotherapy is indicated</w:t>
              </w:r>
            </w:hyperlink>
            <w:r>
              <w:t xml:space="preserve"> </w:t>
            </w:r>
            <w:r>
              <w:t xml:space="preserve">(2016) NICE technology appraisal guidance 377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Enzalutamide for metastatic hormone‑relapsed prostate cancer previously treated with a docetaxel‑containing regimen</w:t>
              </w:r>
            </w:hyperlink>
            <w:r>
              <w:t xml:space="preserve"> </w:t>
            </w:r>
            <w:r>
              <w:t xml:space="preserve">(2014) NICE technology appraisal guidance 316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Docetaxel for the treatment of hormone-refractory metastatic prostate cancer</w:t>
              </w:r>
            </w:hyperlink>
            <w:r>
              <w:t xml:space="preserve"> </w:t>
            </w:r>
            <w:r>
              <w:t xml:space="preserve">(2006) NICE technology appraisal guidance 101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Prostate cancer: diagnosis and management</w:t>
              </w:r>
            </w:hyperlink>
            <w:r>
              <w:t xml:space="preserve"> </w:t>
            </w:r>
            <w:r>
              <w:t xml:space="preserve">(2019 updated 2021) NICE guideline NG131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Irreversible electroporation for treating prostate cancer</w:t>
              </w:r>
            </w:hyperlink>
            <w:r>
              <w:t xml:space="preserve"> </w:t>
            </w:r>
            <w:r>
              <w:t xml:space="preserve">(2023) NICE healthtech guidance 688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Transperineal biopsy for diagnosing prostate cancer</w:t>
              </w:r>
            </w:hyperlink>
            <w:r>
              <w:t xml:space="preserve"> </w:t>
            </w:r>
            <w:r>
              <w:t xml:space="preserve">(2023) NICE healthtech guidance 680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MRI fusion biopsy systems for diagnosing prostate cancer</w:t>
              </w:r>
            </w:hyperlink>
            <w:r>
              <w:t xml:space="preserve"> </w:t>
            </w:r>
            <w:r>
              <w:t xml:space="preserve">(2023) NICE healthtech guidance 678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Focal therapy using high-intensity focused ultrasound for localised prostate cancer</w:t>
              </w:r>
            </w:hyperlink>
            <w:r>
              <w:t xml:space="preserve"> </w:t>
            </w:r>
            <w:r>
              <w:t xml:space="preserve">(2023) NICE healthtech guidance 667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Biodegradable spacer insertion to reduce rectal toxicity during radiotherapy for prostate cancer</w:t>
              </w:r>
            </w:hyperlink>
            <w:r>
              <w:t xml:space="preserve"> </w:t>
            </w:r>
            <w:r>
              <w:t xml:space="preserve">(2023) NICE healthtech guidance 659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Focal therapy using cryoablation for localised prostate cancer</w:t>
              </w:r>
            </w:hyperlink>
            <w:r>
              <w:t xml:space="preserve"> </w:t>
            </w:r>
            <w:r>
              <w:t xml:space="preserve">(2012) NICE healthtech guidance 284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High dose rate brachytherapy in combination with external-beam radiotherapy for localised prostate cancer</w:t>
              </w:r>
            </w:hyperlink>
            <w:r>
              <w:t xml:space="preserve"> </w:t>
            </w:r>
            <w:r>
              <w:t xml:space="preserve">(2006) NICE healthtech guidance 113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Cryotherapy as a primary treatment for prostate cancer</w:t>
              </w:r>
            </w:hyperlink>
            <w:r>
              <w:t xml:space="preserve"> </w:t>
            </w:r>
            <w:r>
              <w:t xml:space="preserve">(2005) NICE healthtech guidance 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Low dose rate brachytherapy for localised prostate cancer</w:t>
              </w:r>
            </w:hyperlink>
            <w:r>
              <w:t xml:space="preserve"> </w:t>
            </w:r>
            <w:r>
              <w:t xml:space="preserve">(2005) NICE healthtech guidance 81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Cryotherapy for recurrent prostate cancer</w:t>
              </w:r>
            </w:hyperlink>
            <w:r>
              <w:t xml:space="preserve"> </w:t>
            </w:r>
            <w:r>
              <w:t xml:space="preserve">(2005) NICE healthtech guidance 71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High-intensity focused ultrasound for prostate cancer</w:t>
              </w:r>
            </w:hyperlink>
            <w:r>
              <w:t xml:space="preserve"> </w:t>
            </w:r>
            <w:r>
              <w:t xml:space="preserve">(2005) NICE healthtech guidance 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Prostate cancer</w:t>
              </w:r>
            </w:hyperlink>
            <w:r>
              <w:t xml:space="preserve"> </w:t>
            </w:r>
            <w:r>
              <w:t xml:space="preserve">(2015 updated 2021) NICE quality standard 91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Stockholm3 for prostate cancer screening</w:t>
              </w:r>
            </w:hyperlink>
            <w:r>
              <w:t xml:space="preserve"> </w:t>
            </w:r>
            <w:r>
              <w:t xml:space="preserve">(2022) NICE medtech innovation briefing 303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Paige Prostate for prostate cancer</w:t>
              </w:r>
            </w:hyperlink>
            <w:r>
              <w:t xml:space="preserve"> </w:t>
            </w:r>
            <w:r>
              <w:t xml:space="preserve">(2021) NICE medtech innovation briefing 280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trublood-prostate for triaging and diagnosing people with prostate cancer symptoms</w:t>
              </w:r>
            </w:hyperlink>
            <w:r>
              <w:t xml:space="preserve"> </w:t>
            </w:r>
            <w:r>
              <w:t xml:space="preserve">(2021) NICE medtech innovation briefing 268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Axumin for functional imaging of prostate cancer recurrence</w:t>
              </w:r>
            </w:hyperlink>
            <w:r>
              <w:t xml:space="preserve"> </w:t>
            </w:r>
            <w:r>
              <w:t xml:space="preserve">(2019) NICE medtech innovation briefing 172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Prolaris gene expression assay for assessing long-term risk of prostate cancer progression</w:t>
              </w:r>
            </w:hyperlink>
            <w:r>
              <w:t xml:space="preserve"> </w:t>
            </w:r>
            <w:r>
              <w:t xml:space="preserve">(2016) NICE medtech innovation briefing 65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The Oncentra Prostate v4.x for ultrasound‑guided real‑time HDR brachytherapy in men with localised prostate cancer</w:t>
              </w:r>
            </w:hyperlink>
            <w:r>
              <w:t xml:space="preserve"> </w:t>
            </w:r>
            <w:r>
              <w:t xml:space="preserve">(2014) NICE medtech innovation briefing 16</w:t>
            </w:r>
          </w:p>
        </w:tc>
      </w:tr>
    </w:tbl>
    <w:bookmarkEnd w:id="53"/>
    <w:bookmarkStart w:id="54" w:name="terminated"/>
    <w:p>
      <w:pPr>
        <w:pStyle w:val="Heading2"/>
      </w:pPr>
      <w:r>
        <w:t xml:space="preserve">Terminated</w:t>
      </w:r>
    </w:p>
    <w:p>
      <w:pPr>
        <w:pStyle w:val="FirstParagraph"/>
      </w:pPr>
      <w:r>
        <w:t xml:space="preserve">Nothing found</w:t>
      </w:r>
    </w:p>
    <w:bookmarkEnd w:id="54"/>
    <w:bookmarkStart w:id="55" w:name="in-development"/>
    <w:p>
      <w:pPr>
        <w:pStyle w:val="Heading2"/>
      </w:pPr>
      <w:r>
        <w:t xml:space="preserve">In development</w:t>
      </w:r>
    </w:p>
    <w:p>
      <w:pPr>
        <w:pStyle w:val="FirstParagraph"/>
      </w:pPr>
      <w:r>
        <w:t xml:space="preserve">Nothing found</w:t>
      </w:r>
    </w:p>
    <w:bookmarkEnd w:id="55"/>
    <w:bookmarkStart w:id="56" w:name="suspended"/>
    <w:p>
      <w:pPr>
        <w:pStyle w:val="Heading2"/>
      </w:pPr>
      <w:r>
        <w:t xml:space="preserve">Suspended</w:t>
      </w:r>
    </w:p>
    <w:p>
      <w:pPr>
        <w:pStyle w:val="FirstParagraph"/>
      </w:pPr>
      <w:r>
        <w:rPr>
          <w:i/>
          <w:iCs/>
        </w:rPr>
        <w:t xml:space="preserve">Open all</w:t>
      </w:r>
      <w:r>
        <w:rPr>
          <w:i/>
          <w:iCs/>
        </w:rPr>
        <w:t xml:space="preserve"> </w:t>
      </w:r>
      <w:r>
        <w:rPr>
          <w:i/>
          <w:iCs/>
        </w:rPr>
        <w:t xml:space="preserve">‘In development’</w:t>
      </w:r>
      <w:r>
        <w:rPr>
          <w:i/>
          <w:iCs/>
        </w:rPr>
        <w:t xml:space="preserve"> </w:t>
      </w:r>
      <w:r>
        <w:rPr>
          <w:i/>
          <w:iCs/>
        </w:rPr>
        <w:t xml:space="preserve">links created using the code after pasting into this scoping page to confirm whether the topic is still in development or is now suspended or discontinued. Where a topic is shown as suspended move to this section. Add a brief explanation of why the topic was suspended based on the information on the website.</w:t>
      </w:r>
    </w:p>
    <w:bookmarkEnd w:id="56"/>
    <w:bookmarkStart w:id="57" w:name="discontinued"/>
    <w:p>
      <w:pPr>
        <w:pStyle w:val="Heading2"/>
      </w:pPr>
      <w:r>
        <w:t xml:space="preserve">Discontinued</w:t>
      </w:r>
    </w:p>
    <w:p>
      <w:pPr>
        <w:pStyle w:val="FirstParagraph"/>
      </w:pPr>
      <w:r>
        <w:rPr>
          <w:i/>
          <w:iCs/>
        </w:rPr>
        <w:t xml:space="preserve">Where a topic is shown as discontinued move to this section. Add a brief explanation of why the topic was discontinued based on the information on the website.</w:t>
      </w:r>
    </w:p>
    <w:bookmarkEnd w:id="57"/>
    <w:bookmarkStart w:id="58" w:name="awaiting-development"/>
    <w:p>
      <w:pPr>
        <w:pStyle w:val="Heading2"/>
      </w:pPr>
      <w:r>
        <w:t xml:space="preserve">Awaiting development</w:t>
      </w:r>
    </w:p>
    <w:p>
      <w:pPr>
        <w:pStyle w:val="FirstParagraph"/>
      </w:pPr>
      <w:r>
        <w:t xml:space="preserve">Nothing found</w:t>
      </w:r>
    </w:p>
    <w:bookmarkEnd w:id="58"/>
    <w:bookmarkStart w:id="59" w:name="deferred"/>
    <w:p>
      <w:pPr>
        <w:pStyle w:val="Heading2"/>
      </w:pPr>
      <w:r>
        <w:t xml:space="preserve">Deferred</w:t>
      </w:r>
    </w:p>
    <w:p>
      <w:pPr>
        <w:pStyle w:val="FirstParagraph"/>
      </w:pPr>
      <w:r>
        <w:t xml:space="preserve">Nothing found</w:t>
      </w:r>
    </w:p>
    <w:bookmarkEnd w:id="59"/>
    <w:bookmarkStart w:id="60" w:name="topic-prioritisation"/>
    <w:p>
      <w:pPr>
        <w:pStyle w:val="Heading2"/>
      </w:pPr>
      <w:r>
        <w:t xml:space="preserve">Topic prioritisation</w:t>
      </w:r>
    </w:p>
    <w:p>
      <w:pPr>
        <w:pStyle w:val="FirstParagraph"/>
      </w:pPr>
      <w:r>
        <w:t xml:space="preserve">Nothing found</w:t>
      </w:r>
    </w:p>
    <w:bookmarkEnd w:id="60"/>
    <w:sectPr w:rsidR="00835694" w:rsidRPr="00A7098E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B2"/>
    <w:rsid w:val="00105DC7"/>
    <w:rsid w:val="0047044A"/>
    <w:rsid w:val="00682244"/>
    <w:rsid w:val="00835694"/>
    <w:rsid w:val="00851AB2"/>
    <w:rsid w:val="00894072"/>
    <w:rsid w:val="008A3B15"/>
    <w:rsid w:val="00A7098E"/>
    <w:rsid w:val="00BA105D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GB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7044A"/>
    <w:pPr>
      <w:spacing w:after="120" w:line="240" w:lineRule="auto"/>
    </w:pPr>
    <w:rPr>
      <w:rFonts w:ascii="Arial" w:hAnsi="Arial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47044A"/>
    <w:pPr>
      <w:keepNext/>
      <w:keepLines/>
      <w:spacing w:before="360"/>
      <w:outlineLvl w:val="0"/>
    </w:pPr>
    <w:rPr>
      <w:rFonts w:cstheme="majorBidi" w:eastAsiaTheme="majorEastAsia"/>
      <w:b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7044A"/>
    <w:pPr>
      <w:keepNext/>
      <w:keepLines/>
      <w:spacing w:after="80" w:before="360"/>
      <w:outlineLvl w:val="1"/>
    </w:pPr>
    <w:rPr>
      <w:rFonts w:cstheme="majorBidi" w:eastAsiaTheme="majorEastAsia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851AB2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51AB2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851AB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51AB2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851AB2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51AB2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51AB2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47044A"/>
    <w:rPr>
      <w:rFonts w:ascii="Arial" w:cstheme="majorBidi" w:eastAsiaTheme="majorEastAsia" w:hAnsi="Arial"/>
      <w:b/>
      <w:color w:themeColor="accent1" w:themeShade="BF" w:val="0F4761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47044A"/>
    <w:rPr>
      <w:rFonts w:ascii="Arial" w:cstheme="majorBidi" w:eastAsiaTheme="majorEastAsia" w:hAnsi="Arial"/>
      <w:b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51AB2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51AB2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51AB2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51AB2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851AB2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51AB2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51AB2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851AB2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51AB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851AB2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51AB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851AB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851AB2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851AB2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851AB2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851AB2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851AB2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851AB2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94072"/>
    <w:rPr>
      <w:rFonts w:ascii="Arial" w:hAnsi="Arial"/>
      <w:color w:themeColor="hyperlink" w:val="467886"/>
      <w:sz w:val="20"/>
      <w:u w:val="single"/>
    </w:rPr>
  </w:style>
  <w:style w:styleId="FollowedHyperlink" w:type="character">
    <w:name w:val="FollowedHyperlink"/>
    <w:basedOn w:val="DefaultParagraphFont"/>
    <w:uiPriority w:val="99"/>
    <w:unhideWhenUsed/>
    <w:rsid w:val="00A7098E"/>
    <w:rPr>
      <w:rFonts w:ascii="Arial" w:hAnsi="Arial"/>
      <w:color w:themeColor="followedHyperlink" w:val="96607D"/>
      <w:sz w:val="20"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https://www.nice.org.uk/guidance/htg113" TargetMode="External" /><Relationship Type="http://schemas.openxmlformats.org/officeDocument/2006/relationships/hyperlink" Id="rId40" Target="https://www.nice.org.uk/guidance/htg284" TargetMode="External" /><Relationship Type="http://schemas.openxmlformats.org/officeDocument/2006/relationships/hyperlink" Id="rId39" Target="https://www.nice.org.uk/guidance/htg659" TargetMode="External" /><Relationship Type="http://schemas.openxmlformats.org/officeDocument/2006/relationships/hyperlink" Id="rId38" Target="https://www.nice.org.uk/guidance/htg667" TargetMode="External" /><Relationship Type="http://schemas.openxmlformats.org/officeDocument/2006/relationships/hyperlink" Id="rId37" Target="https://www.nice.org.uk/guidance/htg678" TargetMode="External" /><Relationship Type="http://schemas.openxmlformats.org/officeDocument/2006/relationships/hyperlink" Id="rId36" Target="https://www.nice.org.uk/guidance/htg680" TargetMode="External" /><Relationship Type="http://schemas.openxmlformats.org/officeDocument/2006/relationships/hyperlink" Id="rId35" Target="https://www.nice.org.uk/guidance/htg688" TargetMode="External" /><Relationship Type="http://schemas.openxmlformats.org/officeDocument/2006/relationships/hyperlink" Id="rId45" Target="https://www.nice.org.uk/guidance/htg70" TargetMode="External" /><Relationship Type="http://schemas.openxmlformats.org/officeDocument/2006/relationships/hyperlink" Id="rId44" Target="https://www.nice.org.uk/guidance/htg71" TargetMode="External" /><Relationship Type="http://schemas.openxmlformats.org/officeDocument/2006/relationships/hyperlink" Id="rId43" Target="https://www.nice.org.uk/guidance/htg81" TargetMode="External" /><Relationship Type="http://schemas.openxmlformats.org/officeDocument/2006/relationships/hyperlink" Id="rId42" Target="https://www.nice.org.uk/guidance/htg91" TargetMode="External" /><Relationship Type="http://schemas.openxmlformats.org/officeDocument/2006/relationships/hyperlink" Id="rId52" Target="https://www.nice.org.uk/guidance/mib16" TargetMode="External" /><Relationship Type="http://schemas.openxmlformats.org/officeDocument/2006/relationships/hyperlink" Id="rId50" Target="https://www.nice.org.uk/guidance/mib172" TargetMode="External" /><Relationship Type="http://schemas.openxmlformats.org/officeDocument/2006/relationships/hyperlink" Id="rId49" Target="https://www.nice.org.uk/guidance/mib268" TargetMode="External" /><Relationship Type="http://schemas.openxmlformats.org/officeDocument/2006/relationships/hyperlink" Id="rId48" Target="https://www.nice.org.uk/guidance/mib280" TargetMode="External" /><Relationship Type="http://schemas.openxmlformats.org/officeDocument/2006/relationships/hyperlink" Id="rId47" Target="https://www.nice.org.uk/guidance/mib303" TargetMode="External" /><Relationship Type="http://schemas.openxmlformats.org/officeDocument/2006/relationships/hyperlink" Id="rId51" Target="https://www.nice.org.uk/guidance/mib65" TargetMode="External" /><Relationship Type="http://schemas.openxmlformats.org/officeDocument/2006/relationships/hyperlink" Id="rId34" Target="https://www.nice.org.uk/guidance/ng131" TargetMode="External" /><Relationship Type="http://schemas.openxmlformats.org/officeDocument/2006/relationships/hyperlink" Id="rId46" Target="https://www.nice.org.uk/guidance/qs91" TargetMode="External" /><Relationship Type="http://schemas.openxmlformats.org/officeDocument/2006/relationships/hyperlink" Id="rId33" Target="https://www.nice.org.uk/guidance/ta101" TargetMode="External" /><Relationship Type="http://schemas.openxmlformats.org/officeDocument/2006/relationships/hyperlink" Id="rId13" Target="https://www.nice.org.uk/guidance/ta1032" TargetMode="External" /><Relationship Type="http://schemas.openxmlformats.org/officeDocument/2006/relationships/hyperlink" Id="rId12" Target="https://www.nice.org.uk/guidance/ta1109" TargetMode="External" /><Relationship Type="http://schemas.openxmlformats.org/officeDocument/2006/relationships/hyperlink" Id="rId11" Target="https://www.nice.org.uk/guidance/ta1110" TargetMode="External" /><Relationship Type="http://schemas.openxmlformats.org/officeDocument/2006/relationships/hyperlink" Id="rId10" Target="https://www.nice.org.uk/guidance/ta1130" TargetMode="External" /><Relationship Type="http://schemas.openxmlformats.org/officeDocument/2006/relationships/hyperlink" Id="rId9" Target="https://www.nice.org.uk/guidance/ta1179" TargetMode="External" /><Relationship Type="http://schemas.openxmlformats.org/officeDocument/2006/relationships/hyperlink" Id="rId29" Target="https://www.nice.org.uk/guidance/ta259" TargetMode="External" /><Relationship Type="http://schemas.openxmlformats.org/officeDocument/2006/relationships/hyperlink" Id="rId32" Target="https://www.nice.org.uk/guidance/ta316" TargetMode="External" /><Relationship Type="http://schemas.openxmlformats.org/officeDocument/2006/relationships/hyperlink" Id="rId31" Target="https://www.nice.org.uk/guidance/ta377" TargetMode="External" /><Relationship Type="http://schemas.openxmlformats.org/officeDocument/2006/relationships/hyperlink" Id="rId30" Target="https://www.nice.org.uk/guidance/ta387" TargetMode="External" /><Relationship Type="http://schemas.openxmlformats.org/officeDocument/2006/relationships/hyperlink" Id="rId27" Target="https://www.nice.org.uk/guidance/ta391" TargetMode="External" /><Relationship Type="http://schemas.openxmlformats.org/officeDocument/2006/relationships/hyperlink" Id="rId28" Target="https://www.nice.org.uk/guidance/ta404" TargetMode="External" /><Relationship Type="http://schemas.openxmlformats.org/officeDocument/2006/relationships/hyperlink" Id="rId26" Target="https://www.nice.org.uk/guidance/ta412" TargetMode="External" /><Relationship Type="http://schemas.openxmlformats.org/officeDocument/2006/relationships/hyperlink" Id="rId25" Target="https://www.nice.org.uk/guidance/ta546" TargetMode="External" /><Relationship Type="http://schemas.openxmlformats.org/officeDocument/2006/relationships/hyperlink" Id="rId24" Target="https://www.nice.org.uk/guidance/ta580" TargetMode="External" /><Relationship Type="http://schemas.openxmlformats.org/officeDocument/2006/relationships/hyperlink" Id="rId23" Target="https://www.nice.org.uk/guidance/ta660" TargetMode="External" /><Relationship Type="http://schemas.openxmlformats.org/officeDocument/2006/relationships/hyperlink" Id="rId22" Target="https://www.nice.org.uk/guidance/ta712" TargetMode="External" /><Relationship Type="http://schemas.openxmlformats.org/officeDocument/2006/relationships/hyperlink" Id="rId20" Target="https://www.nice.org.uk/guidance/ta740" TargetMode="External" /><Relationship Type="http://schemas.openxmlformats.org/officeDocument/2006/relationships/hyperlink" Id="rId21" Target="https://www.nice.org.uk/guidance/ta741" TargetMode="External" /><Relationship Type="http://schemas.openxmlformats.org/officeDocument/2006/relationships/hyperlink" Id="rId19" Target="https://www.nice.org.uk/guidance/ta887" TargetMode="External" /><Relationship Type="http://schemas.openxmlformats.org/officeDocument/2006/relationships/hyperlink" Id="rId18" Target="https://www.nice.org.uk/guidance/ta903" TargetMode="External" /><Relationship Type="http://schemas.openxmlformats.org/officeDocument/2006/relationships/hyperlink" Id="rId17" Target="https://www.nice.org.uk/guidance/ta930" TargetMode="External" /><Relationship Type="http://schemas.openxmlformats.org/officeDocument/2006/relationships/hyperlink" Id="rId16" Target="https://www.nice.org.uk/guidance/ta951" TargetMode="External" /><Relationship Type="http://schemas.openxmlformats.org/officeDocument/2006/relationships/hyperlink" Id="rId15" Target="https://www.nice.org.uk/guidance/ta994" TargetMode="External" /><Relationship Type="http://schemas.openxmlformats.org/officeDocument/2006/relationships/hyperlink" Id="rId14" Target="https://www.nice.org.uk/guidance/ta99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www.nice.org.uk/guidance/htg113" TargetMode="External" /><Relationship Type="http://schemas.openxmlformats.org/officeDocument/2006/relationships/hyperlink" Id="rId40" Target="https://www.nice.org.uk/guidance/htg284" TargetMode="External" /><Relationship Type="http://schemas.openxmlformats.org/officeDocument/2006/relationships/hyperlink" Id="rId39" Target="https://www.nice.org.uk/guidance/htg659" TargetMode="External" /><Relationship Type="http://schemas.openxmlformats.org/officeDocument/2006/relationships/hyperlink" Id="rId38" Target="https://www.nice.org.uk/guidance/htg667" TargetMode="External" /><Relationship Type="http://schemas.openxmlformats.org/officeDocument/2006/relationships/hyperlink" Id="rId37" Target="https://www.nice.org.uk/guidance/htg678" TargetMode="External" /><Relationship Type="http://schemas.openxmlformats.org/officeDocument/2006/relationships/hyperlink" Id="rId36" Target="https://www.nice.org.uk/guidance/htg680" TargetMode="External" /><Relationship Type="http://schemas.openxmlformats.org/officeDocument/2006/relationships/hyperlink" Id="rId35" Target="https://www.nice.org.uk/guidance/htg688" TargetMode="External" /><Relationship Type="http://schemas.openxmlformats.org/officeDocument/2006/relationships/hyperlink" Id="rId45" Target="https://www.nice.org.uk/guidance/htg70" TargetMode="External" /><Relationship Type="http://schemas.openxmlformats.org/officeDocument/2006/relationships/hyperlink" Id="rId44" Target="https://www.nice.org.uk/guidance/htg71" TargetMode="External" /><Relationship Type="http://schemas.openxmlformats.org/officeDocument/2006/relationships/hyperlink" Id="rId43" Target="https://www.nice.org.uk/guidance/htg81" TargetMode="External" /><Relationship Type="http://schemas.openxmlformats.org/officeDocument/2006/relationships/hyperlink" Id="rId42" Target="https://www.nice.org.uk/guidance/htg91" TargetMode="External" /><Relationship Type="http://schemas.openxmlformats.org/officeDocument/2006/relationships/hyperlink" Id="rId52" Target="https://www.nice.org.uk/guidance/mib16" TargetMode="External" /><Relationship Type="http://schemas.openxmlformats.org/officeDocument/2006/relationships/hyperlink" Id="rId50" Target="https://www.nice.org.uk/guidance/mib172" TargetMode="External" /><Relationship Type="http://schemas.openxmlformats.org/officeDocument/2006/relationships/hyperlink" Id="rId49" Target="https://www.nice.org.uk/guidance/mib268" TargetMode="External" /><Relationship Type="http://schemas.openxmlformats.org/officeDocument/2006/relationships/hyperlink" Id="rId48" Target="https://www.nice.org.uk/guidance/mib280" TargetMode="External" /><Relationship Type="http://schemas.openxmlformats.org/officeDocument/2006/relationships/hyperlink" Id="rId47" Target="https://www.nice.org.uk/guidance/mib303" TargetMode="External" /><Relationship Type="http://schemas.openxmlformats.org/officeDocument/2006/relationships/hyperlink" Id="rId51" Target="https://www.nice.org.uk/guidance/mib65" TargetMode="External" /><Relationship Type="http://schemas.openxmlformats.org/officeDocument/2006/relationships/hyperlink" Id="rId34" Target="https://www.nice.org.uk/guidance/ng131" TargetMode="External" /><Relationship Type="http://schemas.openxmlformats.org/officeDocument/2006/relationships/hyperlink" Id="rId46" Target="https://www.nice.org.uk/guidance/qs91" TargetMode="External" /><Relationship Type="http://schemas.openxmlformats.org/officeDocument/2006/relationships/hyperlink" Id="rId33" Target="https://www.nice.org.uk/guidance/ta101" TargetMode="External" /><Relationship Type="http://schemas.openxmlformats.org/officeDocument/2006/relationships/hyperlink" Id="rId13" Target="https://www.nice.org.uk/guidance/ta1032" TargetMode="External" /><Relationship Type="http://schemas.openxmlformats.org/officeDocument/2006/relationships/hyperlink" Id="rId12" Target="https://www.nice.org.uk/guidance/ta1109" TargetMode="External" /><Relationship Type="http://schemas.openxmlformats.org/officeDocument/2006/relationships/hyperlink" Id="rId11" Target="https://www.nice.org.uk/guidance/ta1110" TargetMode="External" /><Relationship Type="http://schemas.openxmlformats.org/officeDocument/2006/relationships/hyperlink" Id="rId10" Target="https://www.nice.org.uk/guidance/ta1130" TargetMode="External" /><Relationship Type="http://schemas.openxmlformats.org/officeDocument/2006/relationships/hyperlink" Id="rId9" Target="https://www.nice.org.uk/guidance/ta1179" TargetMode="External" /><Relationship Type="http://schemas.openxmlformats.org/officeDocument/2006/relationships/hyperlink" Id="rId29" Target="https://www.nice.org.uk/guidance/ta259" TargetMode="External" /><Relationship Type="http://schemas.openxmlformats.org/officeDocument/2006/relationships/hyperlink" Id="rId32" Target="https://www.nice.org.uk/guidance/ta316" TargetMode="External" /><Relationship Type="http://schemas.openxmlformats.org/officeDocument/2006/relationships/hyperlink" Id="rId31" Target="https://www.nice.org.uk/guidance/ta377" TargetMode="External" /><Relationship Type="http://schemas.openxmlformats.org/officeDocument/2006/relationships/hyperlink" Id="rId30" Target="https://www.nice.org.uk/guidance/ta387" TargetMode="External" /><Relationship Type="http://schemas.openxmlformats.org/officeDocument/2006/relationships/hyperlink" Id="rId27" Target="https://www.nice.org.uk/guidance/ta391" TargetMode="External" /><Relationship Type="http://schemas.openxmlformats.org/officeDocument/2006/relationships/hyperlink" Id="rId28" Target="https://www.nice.org.uk/guidance/ta404" TargetMode="External" /><Relationship Type="http://schemas.openxmlformats.org/officeDocument/2006/relationships/hyperlink" Id="rId26" Target="https://www.nice.org.uk/guidance/ta412" TargetMode="External" /><Relationship Type="http://schemas.openxmlformats.org/officeDocument/2006/relationships/hyperlink" Id="rId25" Target="https://www.nice.org.uk/guidance/ta546" TargetMode="External" /><Relationship Type="http://schemas.openxmlformats.org/officeDocument/2006/relationships/hyperlink" Id="rId24" Target="https://www.nice.org.uk/guidance/ta580" TargetMode="External" /><Relationship Type="http://schemas.openxmlformats.org/officeDocument/2006/relationships/hyperlink" Id="rId23" Target="https://www.nice.org.uk/guidance/ta660" TargetMode="External" /><Relationship Type="http://schemas.openxmlformats.org/officeDocument/2006/relationships/hyperlink" Id="rId22" Target="https://www.nice.org.uk/guidance/ta712" TargetMode="External" /><Relationship Type="http://schemas.openxmlformats.org/officeDocument/2006/relationships/hyperlink" Id="rId20" Target="https://www.nice.org.uk/guidance/ta740" TargetMode="External" /><Relationship Type="http://schemas.openxmlformats.org/officeDocument/2006/relationships/hyperlink" Id="rId21" Target="https://www.nice.org.uk/guidance/ta741" TargetMode="External" /><Relationship Type="http://schemas.openxmlformats.org/officeDocument/2006/relationships/hyperlink" Id="rId19" Target="https://www.nice.org.uk/guidance/ta887" TargetMode="External" /><Relationship Type="http://schemas.openxmlformats.org/officeDocument/2006/relationships/hyperlink" Id="rId18" Target="https://www.nice.org.uk/guidance/ta903" TargetMode="External" /><Relationship Type="http://schemas.openxmlformats.org/officeDocument/2006/relationships/hyperlink" Id="rId17" Target="https://www.nice.org.uk/guidance/ta930" TargetMode="External" /><Relationship Type="http://schemas.openxmlformats.org/officeDocument/2006/relationships/hyperlink" Id="rId16" Target="https://www.nice.org.uk/guidance/ta951" TargetMode="External" /><Relationship Type="http://schemas.openxmlformats.org/officeDocument/2006/relationships/hyperlink" Id="rId15" Target="https://www.nice.org.uk/guidance/ta994" TargetMode="External" /><Relationship Type="http://schemas.openxmlformats.org/officeDocument/2006/relationships/hyperlink" Id="rId14" Target="https://www.nice.org.uk/guidance/ta99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2026-10-06T11:25:54Z</dcterms:created>
  <dcterms:modified xsi:type="dcterms:W3CDTF">2026-10-06T11:25:54Z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output_file">
    <vt:lpwstr>test_document.docx</vt:lpwstr>
  </property>
</Properties>
</file>