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Narratives: claude-opus-4-6</w:t>
      </w:r>
    </w:p>
    <w:p>
      <w:pPr>
        <w:pStyle w:val="Heading1"/>
      </w:pPr>
      <w:r>
        <w:t>Run 1 (78.9s)</w:t>
      </w:r>
    </w:p>
    <w:p>
      <w:pPr>
        <w:pStyle w:val="Heading2"/>
      </w:pPr>
      <w:r>
        <w:t>Comprehensive Toxicogenomic Interpretation Report</w:t>
      </w:r>
    </w:p>
    <w:p>
      <w:pPr>
        <w:pStyle w:val="Heading2"/>
      </w:pPr>
      <w:r>
        <w:t>Executive Summary</w:t>
      </w:r>
    </w:p>
    <w:p>
      <w:pPr>
        <w:spacing w:after="120"/>
      </w:pPr>
      <w:r>
        <w:rPr>
          <w:rFonts w:ascii="Calibri" w:hAnsi="Calibri"/>
          <w:b w:val="0"/>
          <w:i w:val="0"/>
          <w:sz w:val="22"/>
        </w:rPr>
        <w:t>This dose-response analysis reveals a coherent toxicological signature characterized by early activation of xenobiotic metabolism and oxidative stress defense pathways (BMD 0.2–0.55), followed by progressive engagement of inflammatory, apoptotic, and tissue-remodeling cascades at higher doses (BMD 2–20). Of 32 responsive genes, 27 are upregulated and 5 downregulated, indicating a predominantly activating transcriptional response. The molecular signature is consistent with exposure to a xenobiotic compound that generates reactive oxygen species (ROS) and/or electrophilic metabolites, triggering the KEAP1-NRF2-ARE axis as a primary adaptive response, with subsequent NF-κB-mediated inflammation and TP53-dependent apoptosis at doses exceeding the adaptive capacity. The liver, kidney, testis, brain, and cardiovascular system are predicted as primary target organs.</w:t>
      </w:r>
    </w:p>
    <w:p>
      <w:pPr>
        <w:spacing w:after="120"/>
      </w:pPr>
      <w:r>
        <w:rPr>
          <w:rFonts w:ascii="Calibri" w:hAnsi="Calibri"/>
          <w:b w:val="0"/>
          <w:i w:val="0"/>
          <w:sz w:val="22"/>
        </w:rPr>
        <w:t>---</w:t>
      </w:r>
    </w:p>
    <w:p>
      <w:pPr>
        <w:pStyle w:val="Heading2"/>
      </w:pPr>
      <w:r>
        <w:t>1. Biological Response Narrative: Dose-Ordered Progression of Effects</w:t>
      </w:r>
    </w:p>
    <w:p>
      <w:pPr>
        <w:pStyle w:val="Heading3"/>
      </w:pPr>
      <w:r>
        <w:t>Phase I — Immediate Xenobiotic Sensing and Metabolic Activation (BMD 0.2–0.55)</w:t>
      </w:r>
    </w:p>
    <w:p>
      <w:pPr>
        <w:spacing w:after="120"/>
      </w:pPr>
      <w:r>
        <w:rPr>
          <w:rFonts w:ascii="Calibri" w:hAnsi="Calibri"/>
          <w:b w:val="0"/>
          <w:i w:val="0"/>
          <w:sz w:val="22"/>
        </w:rPr>
        <w:t>The earliest transcriptional responses occur at the lowest benchmark doses (BMD 0.2–0.35) and are dominated by **aryl hydrocarbon receptor (AHR) signaling**. Three genes are upregulated in this initial cluster, including **AHR** itself and its canonical transcriptional targets **CYP1A1** and **CYP1B1**. This signature is diagnostic of ligand-dependent AHR activation, consistent with exposure to a planar aromatic or dioxin-like compound, or a xenobiotic that is metabolized to AHR-activating intermediates. The AHR pathway (median BMD 0.35) represents the most sensitive molecular response detected in this analysis.</w:t>
      </w:r>
    </w:p>
    <w:p>
      <w:pPr>
        <w:spacing w:after="120"/>
      </w:pPr>
      <w:r>
        <w:rPr>
          <w:rFonts w:ascii="Calibri" w:hAnsi="Calibri"/>
          <w:b w:val="0"/>
          <w:i w:val="0"/>
          <w:sz w:val="22"/>
        </w:rPr>
        <w:t>Immediately following AHR activation, the **chemical carcinogenesis – reactive oxygen species pathway** (path:hsa05208/rno05208; median BMD 0.5) is engaged, with 9 of 16 pathway genes responsive. This pathway includes AHR, CYP1A1, HIF1A, HMOX1, KEAP1, NFE2L2, NFKB1, NQO1, and VEGFA, indicating that Phase I metabolic activation (via CYP1A1/CYP1B1) is generating reactive metabolites and/or ROS that immediately trigger the oxidative stress response.</w:t>
      </w:r>
    </w:p>
    <w:p>
      <w:pPr>
        <w:spacing w:after="120"/>
      </w:pPr>
      <w:r>
        <w:rPr>
          <w:rFonts w:ascii="Calibri" w:hAnsi="Calibri"/>
          <w:b w:val="0"/>
          <w:i w:val="0"/>
          <w:sz w:val="22"/>
        </w:rPr>
        <w:t>Concurrently (BMD 0.3–0.55), the **KEAP1-NRF2 axis** is activated, as evidenced by upregulation of NFE2L2 (NRF2) and modulation of KEAP1, along with nuclear events mediated by NFE2L2 and GSK3B/BTRC:CUL1-mediated degradation of NFE2L2. The mixed directionality (KEAP1 potentially downregulated, NFE2L2 upregulated) is consistent with canonical NRF2 pathway activation: under oxidative stress, KEAP1-mediated ubiquitination of NRF2 is disrupted, allowing NRF2 nuclear translocation and transcription of cytoprotective genes. The downstream NRF2 targets **NQO1**, **HMOX1**, and **GCLC** are upregulated at BMDs of 0.4–0.87, confirming functional activation of the antioxidant response element (ARE) battery.</w:t>
      </w:r>
    </w:p>
    <w:p>
      <w:pPr>
        <w:spacing w:after="120"/>
      </w:pPr>
      <w:r>
        <w:rPr>
          <w:rFonts w:ascii="Calibri" w:hAnsi="Calibri"/>
          <w:b/>
          <w:sz w:val="22"/>
        </w:rPr>
        <w:t xml:space="preserve">Metabolic pathway genes: </w:t>
      </w:r>
      <w:r>
        <w:rPr>
          <w:rFonts w:ascii="Calibri" w:hAnsi="Calibri"/>
          <w:sz w:val="22"/>
        </w:rPr>
        <w:t>(path:hsa01100/rno01100; median BMD 0.5) including biosynthesis of cofactors (path:hsa01240; median BMD 0.55) are also engaged at this early stage, reflecting metabolic reprogramming in response to xenobiotic challenge.</w:t>
      </w:r>
    </w:p>
    <w:p>
      <w:pPr>
        <w:pStyle w:val="Heading3"/>
      </w:pPr>
      <w:r>
        <w:t>Phase II — Ferroptosis Signaling and Early Stress Responses (BMD 0.4–2.0)</w:t>
      </w:r>
    </w:p>
    <w:p>
      <w:pPr>
        <w:spacing w:after="120"/>
      </w:pPr>
      <w:r>
        <w:rPr>
          <w:rFonts w:ascii="Calibri" w:hAnsi="Calibri"/>
          <w:b w:val="0"/>
          <w:i w:val="0"/>
          <w:sz w:val="22"/>
        </w:rPr>
        <w:t>Between BMD 0.4 and 2.0, the **ferroptosis pathway** (path:hsa04216/rno04216; median BMD 0.6) is activated, with 3 genes upregulated. This is notable because ferroptosis—an iron-dependent form of regulated cell death driven by lipid peroxidation—is mechanistically linked to oxidative stress and is modulated by GPX1, HMOX1, and the NRF2 pathway. The activation of ferroptosis-related genes at this relatively low dose suggests that lipid peroxidation is an early consequence of the ROS generated by Phase I metabolism.</w:t>
      </w:r>
    </w:p>
    <w:p>
      <w:pPr>
        <w:spacing w:after="120"/>
      </w:pPr>
      <w:r>
        <w:rPr>
          <w:rFonts w:ascii="Calibri" w:hAnsi="Calibri"/>
          <w:b w:val="0"/>
          <w:i w:val="0"/>
          <w:sz w:val="22"/>
        </w:rPr>
        <w:t>The **cushing syndrome pathway** (path:hsa04934/rno04934; median BMD 2.35) and **circadian clock** genes (median BMD 2.25, mostly downregulated) also respond in this range. The downregulation of circadian clock components is significant: disruption of circadian regulation has been linked to impaired xenobiotic metabolism and enhanced susceptibility to oxidative damage. This may represent an early systemic stress signal.</w:t>
      </w:r>
    </w:p>
    <w:p>
      <w:pPr>
        <w:pStyle w:val="Heading3"/>
      </w:pPr>
      <w:r>
        <w:t>Phase III — Transition to Inflammatory and Pro-Survival Signaling (BMD 2.5–5.0)</w:t>
      </w:r>
    </w:p>
    <w:p>
      <w:pPr>
        <w:spacing w:after="120"/>
      </w:pPr>
      <w:r>
        <w:rPr>
          <w:rFonts w:ascii="Calibri" w:hAnsi="Calibri"/>
          <w:b w:val="0"/>
          <w:i w:val="0"/>
          <w:sz w:val="22"/>
        </w:rPr>
        <w:t>At BMD 2.5–5.0, the transcriptional program shifts markedly from purely adaptive/cytoprotective to include **inflammatory and pro-survival signaling**:</w:t>
      </w:r>
    </w:p>
    <w:p>
      <w:pPr>
        <w:pStyle w:val="ListBullet"/>
        <w:spacing w:after="40"/>
      </w:pPr>
      <w:r>
        <w:rPr>
          <w:rFonts w:ascii="Calibri" w:hAnsi="Calibri"/>
          <w:sz w:val="22"/>
        </w:rPr>
        <w:t>**Mitophagy** (path:hsa04137/rno04137; median BMD 3.5) and **autophagy** (path:hsa04140/rno04140; median BMD 3.5) pathways are upregulated, indicating that damaged mitochondria and cellular components are being cleared. The upregulation of **SQSTM1/p62** is consistent with selective autophagy activation and is a known NRF2 target that creates a positive feedback loop (SQSTM1 sequesters KEAP1, further stabilizing NRF2).</w:t>
      </w:r>
    </w:p>
    <w:p>
      <w:pPr>
        <w:pStyle w:val="ListBullet"/>
        <w:spacing w:after="40"/>
      </w:pPr>
      <w:r>
        <w:rPr>
          <w:rFonts w:ascii="Calibri" w:hAnsi="Calibri"/>
          <w:sz w:val="22"/>
        </w:rPr>
        <w:t>**Wnt signaling** (path:hsa04310; median BMD 3.75) shows mixed directionality, suggesting complex regulation of cell fate decisions.</w:t>
      </w:r>
    </w:p>
    <w:p>
      <w:pPr>
        <w:pStyle w:val="ListBullet"/>
        <w:spacing w:after="40"/>
      </w:pPr>
      <w:r>
        <w:rPr>
          <w:rFonts w:ascii="Calibri" w:hAnsi="Calibri"/>
          <w:sz w:val="22"/>
        </w:rPr>
        <w:t>The **lipid and atherosclerosis pathway** (path:hsa05417/rno05417; median BMD 8.25 overall, but individual genes begin responding from BMD 0.3) engages 12 of 17 genes, including BAX, BCL2, CASP3, CYP1A1, IL1B, IL6, NFE2L2, NFKB1, NLRP3, STAT3, TNF, and TP53. This pathway integrates oxidative stress, inflammation, and cell death—hallmarks of the transition from adaptive to adverse responses.</w:t>
      </w:r>
    </w:p>
    <w:p>
      <w:pPr>
        <w:pStyle w:val="ListBullet"/>
        <w:spacing w:after="40"/>
      </w:pPr>
      <w:r>
        <w:rPr>
          <w:rFonts w:ascii="Calibri" w:hAnsi="Calibri"/>
          <w:sz w:val="22"/>
        </w:rPr>
        <w:t>**Fluid shear stress and atherosclerosis** (path:hsa05418/rno05418; median BMD 4.0) with 11 genes including the NRF2 battery (HMOX1, NQO1, NFE2L2, KEAP1) alongside inflammatory mediators (IL1B, TNF, NFKB1) and TP53, indicates vascular stress responses.</w:t>
      </w:r>
    </w:p>
    <w:p>
      <w:pPr>
        <w:pStyle w:val="ListBullet"/>
        <w:spacing w:after="40"/>
      </w:pPr>
      <w:r>
        <w:rPr>
          <w:rFonts w:ascii="Calibri" w:hAnsi="Calibri"/>
          <w:sz w:val="22"/>
        </w:rPr>
        <w:t>**Pathways in cancer** (path:hsa05200/rno05200; median BMD 5.0) with 15 of 26 genes responsive represents the broadest pathway engagement, reflecting the convergence of proliferative (VEGFA, STAT3, HIF1A), apoptotic (BAX, CASP3, TP53), and survival (BCL2, NFKB1) signals.</w:t>
      </w:r>
    </w:p>
    <w:p>
      <w:pPr>
        <w:pStyle w:val="Heading3"/>
      </w:pPr>
      <w:r>
        <w:t>Phase IV — Overt Inflammatory Response and Tissue Damage (BMD 5.0–10.0)</w:t>
      </w:r>
    </w:p>
    <w:p>
      <w:pPr>
        <w:spacing w:after="120"/>
      </w:pPr>
      <w:r>
        <w:rPr>
          <w:rFonts w:ascii="Calibri" w:hAnsi="Calibri"/>
          <w:b w:val="0"/>
          <w:i w:val="0"/>
          <w:sz w:val="22"/>
        </w:rPr>
        <w:t>This phase is characterized by robust upregulation of **pro-inflammatory cytokines and inflammasome components**:</w:t>
      </w:r>
    </w:p>
    <w:p>
      <w:pPr>
        <w:pStyle w:val="ListBullet"/>
        <w:spacing w:after="40"/>
      </w:pPr>
      <w:r>
        <w:rPr>
          <w:rFonts w:ascii="Calibri" w:hAnsi="Calibri"/>
          <w:sz w:val="22"/>
        </w:rPr>
        <w:t>**IL6, IL1B, TNF** are upregulated, activating the **JAK-STAT signaling pathway** (path:hsa04630; median BMD 7.0), **NF-κB signaling** (path:hsa04064; median BMD 9.5), and **TNF signaling** (path:hsa04668; median BMD 10.0).</w:t>
      </w:r>
    </w:p>
    <w:p>
      <w:pPr>
        <w:pStyle w:val="ListBullet"/>
        <w:spacing w:after="40"/>
      </w:pPr>
      <w:r>
        <w:rPr>
          <w:rFonts w:ascii="Calibri" w:hAnsi="Calibri"/>
          <w:sz w:val="22"/>
        </w:rPr>
        <w:t>**NLRP3 inflammasome** activation is evidenced by upregulation of NLRP3 alongside IL1B, consistent with canonical inflammasome assembly and pyroptotic signaling. The inflammasome pathway itself (Reactome) has a median BMD of 12.0, but individual components respond earlier.</w:t>
      </w:r>
    </w:p>
    <w:p>
      <w:pPr>
        <w:pStyle w:val="ListBullet"/>
        <w:spacing w:after="40"/>
      </w:pPr>
      <w:r>
        <w:rPr>
          <w:rFonts w:ascii="Calibri" w:hAnsi="Calibri"/>
          <w:sz w:val="22"/>
        </w:rPr>
        <w:t>**TP53 signaling** (path:hsa04115; median BMD 5.5) with 5 genes, including TP53 itself, CDKN1A (p21), BAX, CASP3, and GDF15, indicates activation of the DNA damage response and pro-apoptotic programming. The upregulation of **GDF15** (growth differentiation factor 15) is particularly notable as a stress-responsive cytokine and biomarker of mitochondrial dysfunction and cellular stress.</w:t>
      </w:r>
    </w:p>
    <w:p>
      <w:pPr>
        <w:pStyle w:val="ListBullet"/>
        <w:spacing w:after="40"/>
      </w:pPr>
      <w:r>
        <w:rPr>
          <w:rFonts w:ascii="Calibri" w:hAnsi="Calibri"/>
          <w:sz w:val="22"/>
        </w:rPr>
        <w:t>**Apoptosis** (path:hsa04210; median BMD 7.0) with 6 genes, and **necroptosis** (path:hsa04217; median BMD 8.5) with 7 genes, indicate that multiple cell death modalities are engaged.</w:t>
      </w:r>
    </w:p>
    <w:p>
      <w:pPr>
        <w:pStyle w:val="ListBullet"/>
        <w:spacing w:after="40"/>
      </w:pPr>
      <w:r>
        <w:rPr>
          <w:rFonts w:ascii="Calibri" w:hAnsi="Calibri"/>
          <w:sz w:val="22"/>
        </w:rPr>
        <w:t>**HIF1A signaling** (path:hsa05167; median BMD 6.0) with VEGFA upregulation suggests tissue hypoxia, possibly secondary to vascular damage or mitochondrial dysfunction.</w:t>
      </w:r>
    </w:p>
    <w:p>
      <w:pPr>
        <w:pStyle w:val="ListBullet"/>
        <w:spacing w:after="40"/>
      </w:pPr>
      <w:r>
        <w:rPr>
          <w:rFonts w:ascii="Calibri" w:hAnsi="Calibri"/>
          <w:sz w:val="22"/>
        </w:rPr>
        <w:t>**TGFB1** upregulation at this stage signals the initiation of **fibrotic remodeling**, consistent with chronic tissue injury responses.</w:t>
      </w:r>
    </w:p>
    <w:p>
      <w:pPr>
        <w:pStyle w:val="Heading3"/>
      </w:pPr>
      <w:r>
        <w:t>Phase V — Immune Activation, Tissue Remodeling, and Systemic Effects (BMD 10.0–20.0)</w:t>
      </w:r>
    </w:p>
    <w:p>
      <w:pPr>
        <w:spacing w:after="120"/>
      </w:pPr>
      <w:r>
        <w:rPr>
          <w:rFonts w:ascii="Calibri" w:hAnsi="Calibri"/>
          <w:b w:val="0"/>
          <w:i w:val="0"/>
          <w:sz w:val="22"/>
        </w:rPr>
        <w:t>At the highest doses, the response expands to include:</w:t>
      </w:r>
    </w:p>
    <w:p>
      <w:pPr>
        <w:pStyle w:val="ListBullet"/>
        <w:spacing w:after="40"/>
      </w:pPr>
      <w:r>
        <w:rPr>
          <w:rFonts w:ascii="Calibri" w:hAnsi="Calibri"/>
          <w:sz w:val="22"/>
        </w:rPr>
        <w:t>**Toll-like receptor signaling** (path:hsa04620; median BMD 10.5), **NOD-like receptor signaling** (path:hsa04621; median BMD 10.5), **RIG-I-like receptor signaling** (path:hsa04622; median BMD 9.5), and **cytosolic DNA-sensing** (path:hsa04623; median BMD 11.0)—collectively indicating activation of innate immune pattern recognition receptors, likely in response to damage-associated molecular patterns (DAMPs) released from dying cells.</w:t>
      </w:r>
    </w:p>
    <w:p>
      <w:pPr>
        <w:pStyle w:val="ListBullet"/>
        <w:spacing w:after="40"/>
      </w:pPr>
      <w:r>
        <w:rPr>
          <w:rFonts w:ascii="Calibri" w:hAnsi="Calibri"/>
          <w:sz w:val="22"/>
        </w:rPr>
        <w:t>**Cytokine-cytokine receptor interaction** (path:hsa04060; median BMD 11.0) and **chemokine signaling** (path:hsa04062; median BMD 8.75) reflect systemic inflammatory signaling.</w:t>
      </w:r>
    </w:p>
    <w:p>
      <w:pPr>
        <w:pStyle w:val="ListBullet"/>
        <w:spacing w:after="40"/>
      </w:pPr>
      <w:r>
        <w:rPr>
          <w:rFonts w:ascii="Calibri" w:hAnsi="Calibri"/>
          <w:sz w:val="22"/>
        </w:rPr>
        <w:t>**Senescence-Associated Secretory Phenotype (SASP)** (median BMD 10.25) indicates cellular senescence, a terminal stress response associated with chronic inflammation and tissue dysfunction.</w:t>
      </w:r>
    </w:p>
    <w:p>
      <w:pPr>
        <w:pStyle w:val="ListBullet"/>
        <w:spacing w:after="40"/>
      </w:pPr>
      <w:r>
        <w:rPr>
          <w:rFonts w:ascii="Calibri" w:hAnsi="Calibri"/>
          <w:sz w:val="22"/>
        </w:rPr>
        <w:t>Multiple **infectious disease pathways** (hepatitis B/C, tuberculosis, Salmonella, etc.) are enriched at high BMDs, reflecting the engagement of generic immune/inflammatory gene modules rather than actual infection—a common pattern in toxicogenomic analyses where inflammatory cascades overlap with pathogen response pathways.</w:t>
      </w:r>
    </w:p>
    <w:p>
      <w:pPr>
        <w:pStyle w:val="ListBullet"/>
        <w:spacing w:after="40"/>
      </w:pPr>
      <w:r>
        <w:rPr>
          <w:rFonts w:ascii="Calibri" w:hAnsi="Calibri"/>
          <w:sz w:val="22"/>
        </w:rPr>
        <w:t>**Neurodegenerative disease pathways** (Alzheimer's, Parkinson's, Huntington's; BMD 10.0) are enriched, driven by shared genes in oxidative stress, mitochondrial dysfunction, and neuroinflammation (BAX, BCL2, CASP3, SOD1, SOD2, IL1B, TNF).</w:t>
      </w:r>
    </w:p>
    <w:p>
      <w:pPr>
        <w:spacing w:after="120"/>
      </w:pPr>
      <w:r>
        <w:rPr>
          <w:rFonts w:ascii="Calibri" w:hAnsi="Calibri"/>
          <w:b w:val="0"/>
          <w:i w:val="0"/>
          <w:sz w:val="22"/>
        </w:rPr>
        <w:t>---</w:t>
      </w:r>
    </w:p>
    <w:p>
      <w:pPr>
        <w:pStyle w:val="Heading2"/>
      </w:pPr>
      <w:r>
        <w:t>2. Organ-Level Prediction</w:t>
      </w:r>
    </w:p>
    <w:p>
      <w:pPr>
        <w:pStyle w:val="Heading3"/>
      </w:pPr>
      <w:r>
        <w:t>2.1 Liver (Highest Confidence Target)</w:t>
      </w:r>
    </w:p>
    <w:p>
      <w:pPr>
        <w:spacing w:after="120"/>
      </w:pPr>
      <w:r>
        <w:rPr>
          <w:rFonts w:ascii="Calibri" w:hAnsi="Calibri"/>
          <w:b/>
          <w:sz w:val="22"/>
        </w:rPr>
        <w:t xml:space="preserve">Evidence:: </w:t>
      </w:r>
      <w:r>
        <w:rPr>
          <w:rFonts w:ascii="Calibri" w:hAnsi="Calibri"/>
          <w:sz w:val="22"/>
        </w:rPr>
        <w:t>The liver shows the broadest gene coverage in the organ signature analysis, with 32+ genes enriched across hepatic tissues (liver, hepatic Kupffer cells, hepatic system, liver microsomes). Key hepatic genes include the complete NRF2 battery (NFE2L2, KEAP1, NQO1, HMOX1, GCLC), xenobiotic metabolism genes (AHR, CYP1A1, CYP1B1, CYP3A4), inflammatory mediators (IL1B, IL6, TNF, NLRP3, NFKB1), and apoptotic regulators (BAX, BCL2, CASP3, TP53).</w:t>
      </w:r>
    </w:p>
    <w:p>
      <w:pPr>
        <w:spacing w:after="120"/>
      </w:pPr>
      <w:r>
        <w:rPr>
          <w:rFonts w:ascii="Calibri" w:hAnsi="Calibri"/>
          <w:b/>
          <w:sz w:val="22"/>
        </w:rPr>
        <w:t xml:space="preserve">Mechanistic rationale:: </w:t>
      </w:r>
      <w:r>
        <w:rPr>
          <w:rFonts w:ascii="Calibri" w:hAnsi="Calibri"/>
          <w:sz w:val="22"/>
        </w:rPr>
        <w:t>The liver is the primary site of xenobiotic metabolism. AHR-mediated induction of CYP1A1/CYP1B1 generates reactive metabolites that deplete glutathione (reflected by GCLC upregulation) and produce ROS, activating the NRF2 pathway. When oxidative stress exceeds the adaptive capacity, hepatocyte injury ensues, activating NLRP3 inflammasome in Kupffer cells and triggering IL1B/TNF-mediated inflammation. The literature directly supports this: "NLRP3 inflammasome activation plays a critical role in liver injury and disease progression" (NLRP3 Inflammasome Activation in Liver Disorders, 2025), and "A novel mechanism of hepatotoxicity involving endoplasmic reticulum stress and Nrf2 activation is identified" (Toxicogenomic module associations with pathogenesis, 2017).</w:t>
      </w:r>
    </w:p>
    <w:p>
      <w:pPr>
        <w:spacing w:after="120"/>
      </w:pPr>
      <w:r>
        <w:rPr>
          <w:rFonts w:ascii="Calibri" w:hAnsi="Calibri"/>
          <w:b/>
          <w:sz w:val="22"/>
        </w:rPr>
        <w:t xml:space="preserve">Predicted phenotype:: </w:t>
      </w:r>
      <w:r>
        <w:rPr>
          <w:rFonts w:ascii="Calibri" w:hAnsi="Calibri"/>
          <w:sz w:val="22"/>
        </w:rPr>
        <w:t>Hepatocellular injury progressing from centrilobular hypertrophy (adaptive CYP induction) → oxidative stress and steatosis → inflammatory infiltration → apoptosis/necrosis → fibrosis (TGFB1-mediated).</w:t>
      </w:r>
    </w:p>
    <w:p>
      <w:pPr>
        <w:pStyle w:val="Heading3"/>
      </w:pPr>
      <w:r>
        <w:t>2.2 Kidney (High Confidence Target)</w:t>
      </w:r>
    </w:p>
    <w:p>
      <w:pPr>
        <w:spacing w:after="120"/>
      </w:pPr>
      <w:r>
        <w:rPr>
          <w:rFonts w:ascii="Calibri" w:hAnsi="Calibri"/>
          <w:b/>
          <w:sz w:val="22"/>
        </w:rPr>
        <w:t xml:space="preserve">Evidence:: </w:t>
      </w:r>
      <w:r>
        <w:rPr>
          <w:rFonts w:ascii="Calibri" w:hAnsi="Calibri"/>
          <w:sz w:val="22"/>
        </w:rPr>
        <w:t>The kidney shows enrichment of 31+ genes, including the full complement of oxidative stress, inflammatory, and apoptotic markers. Specific renal signatures include enrichment in renal tubular epithelium (HMOX1), epithelial proximal cells (NFKB1), and glomerular mesangial cells (NFKB1). HAVCR1 (KIM-1), a highly specific biomarker of proximal tubular injury, is among the responsive genes in the xenobiotic stimulus GO term.</w:t>
      </w:r>
    </w:p>
    <w:p>
      <w:pPr>
        <w:spacing w:after="120"/>
      </w:pPr>
      <w:r>
        <w:rPr>
          <w:rFonts w:ascii="Calibri" w:hAnsi="Calibri"/>
          <w:b/>
          <w:sz w:val="22"/>
        </w:rPr>
        <w:t xml:space="preserve">Mechanistic rationale:: </w:t>
      </w:r>
      <w:r>
        <w:rPr>
          <w:rFonts w:ascii="Calibri" w:hAnsi="Calibri"/>
          <w:sz w:val="22"/>
        </w:rPr>
        <w:t>The kidney concentrates xenobiotics and their metabolites during excretion, making proximal tubular epithelium particularly vulnerable to oxidative damage. The literature supports this: "Rutin (RUT) protects against liver and kidney damage caused by valproic acid (VLP) in rats" (Rutin Protects from Destruction, 2021), and "Lead exposure triggers ferroptotic hepatocellular death" with associated renal effects (Lead Exposure Triggers Ferroptotic Hepatocellular Death, 2026).</w:t>
      </w:r>
    </w:p>
    <w:p>
      <w:pPr>
        <w:spacing w:after="120"/>
      </w:pPr>
      <w:r>
        <w:rPr>
          <w:rFonts w:ascii="Calibri" w:hAnsi="Calibri"/>
          <w:b/>
          <w:sz w:val="22"/>
        </w:rPr>
        <w:t xml:space="preserve">Predicted phenotype:: </w:t>
      </w:r>
      <w:r>
        <w:rPr>
          <w:rFonts w:ascii="Calibri" w:hAnsi="Calibri"/>
          <w:sz w:val="22"/>
        </w:rPr>
        <w:t>Proximal tubular injury with oxidative stress, progressing to tubular necrosis and interstitial inflammation at higher doses.</w:t>
      </w:r>
    </w:p>
    <w:p>
      <w:pPr>
        <w:pStyle w:val="Heading3"/>
      </w:pPr>
      <w:r>
        <w:t>2.3 Testis and Male Reproductive System (High Confidence Target)</w:t>
      </w:r>
    </w:p>
    <w:p>
      <w:pPr>
        <w:spacing w:after="120"/>
      </w:pPr>
      <w:r>
        <w:rPr>
          <w:rFonts w:ascii="Calibri" w:hAnsi="Calibri"/>
          <w:b/>
          <w:sz w:val="22"/>
        </w:rPr>
        <w:t xml:space="preserve">Evidence:: </w:t>
      </w:r>
      <w:r>
        <w:rPr>
          <w:rFonts w:ascii="Calibri" w:hAnsi="Calibri"/>
          <w:sz w:val="22"/>
        </w:rPr>
        <w:t>Testis/testes show enrichment of 19–21 genes, with specific signatures in spermatocytes (SIRT1, TP53), cauda epididymis (GCLC, HMOX1, NFE2L2, NQO1), and sperm. The complete oxidative stress defense battery, apoptotic machinery, and inflammatory mediators are represented.</w:t>
      </w:r>
    </w:p>
    <w:p>
      <w:pPr>
        <w:spacing w:after="120"/>
      </w:pPr>
      <w:r>
        <w:rPr>
          <w:rFonts w:ascii="Calibri" w:hAnsi="Calibri"/>
          <w:b/>
          <w:sz w:val="22"/>
        </w:rPr>
        <w:t xml:space="preserve">Mechanistic rationale:: </w:t>
      </w:r>
      <w:r>
        <w:rPr>
          <w:rFonts w:ascii="Calibri" w:hAnsi="Calibri"/>
          <w:sz w:val="22"/>
        </w:rPr>
        <w:t>Spermatogenesis is exquisitely sensitive to oxidative stress. AHR activation in testicular tissue can directly impair spermatogenesis, while ROS-mediated damage to spermatocytes triggers TP53-dependent apoptosis. The literature confirms: "The RuIII/Q complex has potent antioxidant and anti-inflammatory effects, reducing oxidative stress and apoptosis in testicular and brain tissues" (Potential Therapeutic Effects of New Ruthenium (III) Complex, 2021), and AHR is specifically enriched in male reproductive organs.</w:t>
      </w:r>
    </w:p>
    <w:p>
      <w:pPr>
        <w:spacing w:after="120"/>
      </w:pPr>
      <w:r>
        <w:rPr>
          <w:rFonts w:ascii="Calibri" w:hAnsi="Calibri"/>
          <w:b/>
          <w:sz w:val="22"/>
        </w:rPr>
        <w:t xml:space="preserve">Predicted phenotype:: </w:t>
      </w:r>
      <w:r>
        <w:rPr>
          <w:rFonts w:ascii="Calibri" w:hAnsi="Calibri"/>
          <w:sz w:val="22"/>
        </w:rPr>
        <w:t>Spermatocyte apoptosis, reduced sperm quality, testicular oxidative stress, and potential endocrine disruption.</w:t>
      </w:r>
    </w:p>
    <w:p>
      <w:pPr>
        <w:pStyle w:val="Heading3"/>
      </w:pPr>
      <w:r>
        <w:t>2.4 Brain and Central Nervous System (High Confidence Target)</w:t>
      </w:r>
    </w:p>
    <w:p>
      <w:pPr>
        <w:spacing w:after="120"/>
      </w:pPr>
      <w:r>
        <w:rPr>
          <w:rFonts w:ascii="Calibri" w:hAnsi="Calibri"/>
          <w:b/>
          <w:sz w:val="22"/>
        </w:rPr>
        <w:t xml:space="preserve">Evidence:: </w:t>
      </w:r>
      <w:r>
        <w:rPr>
          <w:rFonts w:ascii="Calibri" w:hAnsi="Calibri"/>
          <w:sz w:val="22"/>
        </w:rPr>
        <w:t>Brain tissue shows enrichment of 27+ genes across multiple CNS subregions: substantia nigra (9 genes including BAX, HMOX1, IL1B, IL6, NFE2L2, SOD1, SOD2, TNF), microglia (10+ genes), hippocampus, prefrontal cortex, spinal cord, and dorsal root ganglia. The neurodegenerative disease pathways (Alzheimer's, Parkinson's) are significantly enriched.</w:t>
      </w:r>
    </w:p>
    <w:p>
      <w:pPr>
        <w:spacing w:after="120"/>
      </w:pPr>
      <w:r>
        <w:rPr>
          <w:rFonts w:ascii="Calibri" w:hAnsi="Calibri"/>
          <w:b/>
          <w:sz w:val="22"/>
        </w:rPr>
        <w:t xml:space="preserve">Mechanistic rationale:: </w:t>
      </w:r>
      <w:r>
        <w:rPr>
          <w:rFonts w:ascii="Calibri" w:hAnsi="Calibri"/>
          <w:sz w:val="22"/>
        </w:rPr>
        <w:t>Microglial activation is a central mechanism of neurotoxicity. The gene signature (HMOX1, NFE2L2, NQO1, IL1B, IL6, NLRP3, SIRT1, TNF in microglia) is consistent with microglial polarization toward a pro-inflammatory phenotype. "ROS Generation in Microglia: Understanding Oxidative Stress and Inflammation in Neurodegenerative Disease" (2020) directly supports this mechanism. The blood-brain barrier signature (HMOX1, NFE2L2, SIRT1) and blood-brain barrier disru</w:t>
      </w:r>
    </w:p>
    <w:p>
      <w:pPr>
        <w:pStyle w:val="Heading1"/>
      </w:pPr>
      <w:r>
        <w:t>Run 2 (79.0s)</w:t>
      </w:r>
    </w:p>
    <w:p>
      <w:pPr>
        <w:pStyle w:val="Heading2"/>
      </w:pPr>
      <w:r>
        <w:t>Comprehensive Toxicogenomic Interpretation Report</w:t>
      </w:r>
    </w:p>
    <w:p>
      <w:pPr>
        <w:pStyle w:val="Heading2"/>
      </w:pPr>
      <w:r>
        <w:t>Executive Summary</w:t>
      </w:r>
    </w:p>
    <w:p>
      <w:pPr>
        <w:spacing w:after="120"/>
      </w:pPr>
      <w:r>
        <w:rPr>
          <w:rFonts w:ascii="Calibri" w:hAnsi="Calibri"/>
          <w:b w:val="0"/>
          <w:i w:val="0"/>
          <w:sz w:val="22"/>
        </w:rPr>
        <w:t>This dose-response analysis reveals a coherent toxicological signature involving 32 responsive genes (27 upregulated, 5 downregulated) across a BMD range of 0.2–20 dose units. The transcriptomic profile is dominated by activation of the KEAP1-NRF2 antioxidant defense system at the lowest doses, followed by progressive engagement of inflammatory (NF-κB, NLRP3 inflammasome), apoptotic (TP53, BAX/BCL2/CASP3), and pro-fibrotic (TGFB1) signaling cascades at higher doses. The gene expression signature is consistent with a xenobiotic-induced oxidative stress response that transitions from adaptive cytoprotection to overt tissue injury, with the inflection point estimated at approximately BMD 3–5. Multi-organ vulnerability is predicted, with liver, kidney, testis, brain, and cardiovascular tissues as primary targets.</w:t>
      </w:r>
    </w:p>
    <w:p>
      <w:pPr>
        <w:spacing w:after="120"/>
      </w:pPr>
      <w:r>
        <w:rPr>
          <w:rFonts w:ascii="Calibri" w:hAnsi="Calibri"/>
          <w:b w:val="0"/>
          <w:i w:val="0"/>
          <w:sz w:val="22"/>
        </w:rPr>
        <w:t>---</w:t>
      </w:r>
    </w:p>
    <w:p>
      <w:pPr>
        <w:pStyle w:val="Heading2"/>
      </w:pPr>
      <w:r>
        <w:t>1. Biological Response Narrative: Dose-Ordered Progression of Effects</w:t>
      </w:r>
    </w:p>
    <w:p>
      <w:pPr>
        <w:pStyle w:val="Heading3"/>
      </w:pPr>
      <w:r>
        <w:t>Ultra-Low Dose Range (BMD 0.2–0.5): Xenobiotic Sensing and Phase I/II Metabolism</w:t>
      </w:r>
    </w:p>
    <w:p>
      <w:pPr>
        <w:spacing w:after="120"/>
      </w:pPr>
      <w:r>
        <w:rPr>
          <w:rFonts w:ascii="Calibri" w:hAnsi="Calibri"/>
          <w:b w:val="0"/>
          <w:i w:val="0"/>
          <w:sz w:val="22"/>
        </w:rPr>
        <w:t>The earliest transcriptional responses occur in the aryl hydrocarbon receptor (AHR) signaling axis. AHR, CYP1A1, and CYP1B1 are among the first genes to respond (median BMD ~0.35), indicating that the compound or its metabolites engage the AHR as a molecular sensor. This is consistent with the enrichment of the "Chemical carcinogenesis – receptor activation" pathway (path:hsa05208/rno05208, median BMD 0.5, 9 genes). Concurrently, the KEAP1-NFE2L2 (NRF2) axis is activated, with NFE2L2 and KEAP1 responding at BMD 0.3–0.55. The upregulation of NRF2-target genes NQO1, HMOX1, and GCLC at BMDs of 0.4–0.87 confirms engagement of the electrophile response element (EpRE/ARE)-driven transcriptional program. The GO term "response to xenobiotic stimulus" (GO:0009410, FDR = 5.82 × 10⁻²⁶, 22 genes) is the most significantly enriched biological process, underscoring that the primary initiating event is xenobiotic recognition and detoxification.</w:t>
      </w:r>
    </w:p>
    <w:p>
      <w:pPr>
        <w:spacing w:after="120"/>
      </w:pPr>
      <w:r>
        <w:rPr>
          <w:rFonts w:ascii="Calibri" w:hAnsi="Calibri"/>
          <w:b w:val="0"/>
          <w:i w:val="0"/>
          <w:sz w:val="22"/>
        </w:rPr>
        <w:t>At this dose range, the metabolic pathways (path:hsa01100/rno01100, median BMD 0.5) are also engaged, reflecting biosynthesis of cofactors for conjugation reactions (path:hsa01240/rno01240, median BMD 0.55), including glutathione precursor synthesis via GCLC. This phase represents a canonical adaptive response: the organism detects the xenobiotic, activates phase I biotransformation (CYP1A1, CYP1B1), and simultaneously induces phase II detoxification and antioxidant defenses (NQO1, HMOX1, GCLC, GPX1, SOD1, SOD2, CAT) to neutralize reactive metabolites and reactive oxygen species (ROS).</w:t>
      </w:r>
    </w:p>
    <w:p>
      <w:pPr>
        <w:pStyle w:val="Heading3"/>
      </w:pPr>
      <w:r>
        <w:t>Low Dose Range (BMD 0.5–2.0): Ferroptosis Defense and Early Stress Signaling</w:t>
      </w:r>
    </w:p>
    <w:p>
      <w:pPr>
        <w:spacing w:after="120"/>
      </w:pPr>
      <w:r>
        <w:rPr>
          <w:rFonts w:ascii="Calibri" w:hAnsi="Calibri"/>
          <w:b w:val="0"/>
          <w:i w:val="0"/>
          <w:sz w:val="22"/>
        </w:rPr>
        <w:t>As dose increases, ferroptosis-related pathways (path:hsa04216/rno04216, median BMD 0.6, 3 genes) are activated, suggesting that lipid peroxidation is an early consequence of oxidative stress. The upregulation of GPX1 and the antioxidant enzyme battery (SOD1, SOD2, CAT) at this range reflects an intensification of the cellular defense against ROS-mediated damage. The "response to oxidative stress" GO term (GO:0006979, 12 genes) and "response to hydrogen peroxide" (GO:0042542, 8 genes) confirm that oxidative stress is a central feature of the toxicological response.</w:t>
      </w:r>
    </w:p>
    <w:p>
      <w:pPr>
        <w:spacing w:after="120"/>
      </w:pPr>
      <w:r>
        <w:rPr>
          <w:rFonts w:ascii="Calibri" w:hAnsi="Calibri"/>
          <w:b w:val="0"/>
          <w:i w:val="0"/>
          <w:sz w:val="22"/>
        </w:rPr>
        <w:t>The "GSK3B and BTRC:CUL1-mediated degradation of NFE2L2" pathway (median BMD 0.55, mixed direction) indicates that regulatory feedback on NRF2 protein stability is already engaged, with KEAP1 upregulation potentially reflecting a compensatory attempt to restrain NRF2 hyperactivation—or, alternatively, a response to sustained electrophilic stress that overwhelms the KEAP1 degradation machinery.</w:t>
      </w:r>
    </w:p>
    <w:p>
      <w:pPr>
        <w:pStyle w:val="Heading3"/>
      </w:pPr>
      <w:r>
        <w:t>Transitional Dose Range (BMD 2.0–4.0): Circadian Disruption, ER Stress, and Emerging Inflammation</w:t>
      </w:r>
    </w:p>
    <w:p>
      <w:pPr>
        <w:spacing w:after="120"/>
      </w:pPr>
      <w:r>
        <w:rPr>
          <w:rFonts w:ascii="Calibri" w:hAnsi="Calibri"/>
          <w:b w:val="0"/>
          <w:i w:val="0"/>
          <w:sz w:val="22"/>
        </w:rPr>
        <w:t>A notable finding is the downregulation of circadian clock genes at BMD 2.0–2.25 (path:hsa04922/rno04922, mostly DOWN). Circadian disruption is increasingly recognized as a hallmark of metabolic and oxidative stress in liver and other tissues, and the suppression of circadian regulators at this dose suggests that the homeostatic capacity of the cell is beginning to be overwhelmed.</w:t>
      </w:r>
    </w:p>
    <w:p>
      <w:pPr>
        <w:spacing w:after="120"/>
      </w:pPr>
      <w:r>
        <w:rPr>
          <w:rFonts w:ascii="Calibri" w:hAnsi="Calibri"/>
          <w:b w:val="0"/>
          <w:i w:val="0"/>
          <w:sz w:val="22"/>
        </w:rPr>
        <w:t>Endoplasmic reticulum (ER) protein processing pathways (path:hsa04141/rno04141, median BMD 5.5 but with gene responses starting at BMD 0.3) and mitophagy (path:hsa04137/rno04137, median BMD 3.5) are activated, indicating that protein misfolding and mitochondrial damage are emerging as secondary consequences of sustained oxidative stress. Autophagy pathways (path:hsa04140/rno04140, median BMD 3.5) are upregulated, consistent with SQSTM1 (p62) induction—a known NRF2 target and autophagy receptor that links oxidative stress to selective autophagy.</w:t>
      </w:r>
    </w:p>
    <w:p>
      <w:pPr>
        <w:spacing w:after="120"/>
      </w:pPr>
      <w:r>
        <w:rPr>
          <w:rFonts w:ascii="Calibri" w:hAnsi="Calibri"/>
          <w:b w:val="0"/>
          <w:i w:val="0"/>
          <w:sz w:val="22"/>
        </w:rPr>
        <w:t>The "Fluid shear stress and atherosclerosis" pathway (path:hsa05418/rno05418, median BMD 4.0, 11 genes) is significantly enriched, reflecting activation of endothelial stress responses involving NRF2, NF-κB, and pro-inflammatory cytokines. This marks the transition from purely adaptive to potentially adverse signaling.</w:t>
      </w:r>
    </w:p>
    <w:p>
      <w:pPr>
        <w:pStyle w:val="Heading3"/>
      </w:pPr>
      <w:r>
        <w:t>Moderate Dose Range (BMD 4.0–6.0): Apoptosis, p53 Activation, and Inflammatory Amplification</w:t>
      </w:r>
    </w:p>
    <w:p>
      <w:pPr>
        <w:spacing w:after="120"/>
      </w:pPr>
      <w:r>
        <w:rPr>
          <w:rFonts w:ascii="Calibri" w:hAnsi="Calibri"/>
          <w:b w:val="0"/>
          <w:i w:val="0"/>
          <w:sz w:val="22"/>
        </w:rPr>
        <w:t>This dose range witnesses the activation of the TP53 signaling pathway (path:hsa04115/rno04115, median BMD 5.5), with TP53, CDKN1A (p21), BAX, and CASP3 all upregulated. The GO terms "positive regulation of apoptotic process" (GO:0043065, 15 genes) and "neuron apoptotic process" (GO:0051402, 7 genes) confirm that programmed cell death is now a significant component of the response. The "TP53 Regulates Transcription of Cell Cycle Genes" (median BMD 5.25) and "TP53 Regulates Transcription of Cell Death Genes" (median BMD 5.75) Reactome pathways further delineate the dual role of p53 in cell cycle arrest (via CDKN1A) and apoptosis induction (via BAX).</w:t>
      </w:r>
    </w:p>
    <w:p>
      <w:pPr>
        <w:spacing w:after="120"/>
      </w:pPr>
      <w:r>
        <w:rPr>
          <w:rFonts w:ascii="Calibri" w:hAnsi="Calibri"/>
          <w:b w:val="0"/>
          <w:i w:val="0"/>
          <w:sz w:val="22"/>
        </w:rPr>
        <w:t>The "Pathways in cancer" (path:hsa05200/rno05200, median BMD 5.0, 15 genes) is the most significantly enriched KEGG pathway (FDR = 4.80 × 10⁻³⁶), reflecting the convergence of proliferative, survival, and death signaling through HIF1A, VEGFA, STAT3, BCL2, and NFKB1. The simultaneous upregulation of both pro-apoptotic (BAX, CASP3) and anti-apoptotic (BCL2) genes suggests a state of active cellular decision-making, where the balance between survival and death is being contested.</w:t>
      </w:r>
    </w:p>
    <w:p>
      <w:pPr>
        <w:spacing w:after="120"/>
      </w:pPr>
      <w:r>
        <w:rPr>
          <w:rFonts w:ascii="Calibri" w:hAnsi="Calibri"/>
          <w:b w:val="0"/>
          <w:i w:val="0"/>
          <w:sz w:val="22"/>
        </w:rPr>
        <w:t>The PI3K-Akt signaling pathway (path:hsa04151/rno04151, median BMD 5.25) and HIF-1 signaling pathway (path:hsa04066/rno04066, median BMD 5.0) are activated, with HIF1A and VEGFA upregulation indicating a hypoxic or pseudo-hypoxic response—likely secondary to mitochondrial dysfunction and ROS accumulation. The GO term "response to hypoxia" (GO:0001666, 15 genes) supports this interpretation.</w:t>
      </w:r>
    </w:p>
    <w:p>
      <w:pPr>
        <w:pStyle w:val="Heading3"/>
      </w:pPr>
      <w:r>
        <w:t>Moderate-High Dose Range (BMD 6.0–10.0): Inflammatory Cascade, Cytokine Signaling, and Tissue Damage</w:t>
      </w:r>
    </w:p>
    <w:p>
      <w:pPr>
        <w:spacing w:after="120"/>
      </w:pPr>
      <w:r>
        <w:rPr>
          <w:rFonts w:ascii="Calibri" w:hAnsi="Calibri"/>
          <w:b w:val="0"/>
          <w:i w:val="0"/>
          <w:sz w:val="22"/>
        </w:rPr>
        <w:t>At this dose range, the inflammatory response becomes dominant. The "Lipid and atherosclerosis" pathway (path:hsa05417/rno05417, median BMD 8.25, 12 genes) and multiple infection/inflammation-related pathways (Hepatitis B, C; Epstein-Barr virus; HTLV-I; Kaposi sarcoma; path:hsa05161/05163/05167/05169) are enriched—not because of actual infection, but because these pathways share core inflammatory signaling modules (NF-κB, JAK-STAT, TNF, IL-6).</w:t>
      </w:r>
    </w:p>
    <w:p>
      <w:pPr>
        <w:spacing w:after="120"/>
      </w:pPr>
      <w:r>
        <w:rPr>
          <w:rFonts w:ascii="Calibri" w:hAnsi="Calibri"/>
          <w:b w:val="0"/>
          <w:i w:val="0"/>
          <w:sz w:val="22"/>
        </w:rPr>
        <w:t>The upregulation of TNF, IL1B, IL6, and NLRP3 at BMDs of 8–12 indicates full activation of the NLRP3 inflammasome and pro-inflammatory cytokine production. The JAK-STAT signaling pathway (path:hsa04630/rno04630, median BMD 7.0) and NF-κB signaling pathway (path:hsa04064/rno04064, median BMD 9.5) are engaged, amplifying the inflammatory signal. The "AGE-RAGE signaling pathway in diabetic complications" (path:hsa04933/rno04933, median BMD 8.75) reflects activation of advanced glycation end-product signaling, a hallmark of sustained oxidative and metabolic stress.</w:t>
      </w:r>
    </w:p>
    <w:p>
      <w:pPr>
        <w:spacing w:after="120"/>
      </w:pPr>
      <w:r>
        <w:rPr>
          <w:rFonts w:ascii="Calibri" w:hAnsi="Calibri"/>
          <w:b w:val="0"/>
          <w:i w:val="0"/>
          <w:sz w:val="22"/>
        </w:rPr>
        <w:t>The apoptosis pathway (path:hsa04210/rno04210, median BMD 7.0, 6 genes) and necroptosis pathway (path:hsa04217/rno04217, median BMD 8.5, 7 genes) are both active, indicating that multiple forms of cell death are occurring simultaneously. The "Activation of BH3-only proteins" (median BMD 5.75) and the upregulation of both BAX and BCL2 suggest that the apoptotic threshold has been crossed in a subset of cells.</w:t>
      </w:r>
    </w:p>
    <w:p>
      <w:pPr>
        <w:pStyle w:val="Heading3"/>
      </w:pPr>
      <w:r>
        <w:t>High Dose Range (BMD 10.0–20.0): Immune Activation, Fibrosis, and Systemic Toxicity</w:t>
      </w:r>
    </w:p>
    <w:p>
      <w:pPr>
        <w:spacing w:after="120"/>
      </w:pPr>
      <w:r>
        <w:rPr>
          <w:rFonts w:ascii="Calibri" w:hAnsi="Calibri"/>
          <w:b w:val="0"/>
          <w:i w:val="0"/>
          <w:sz w:val="22"/>
        </w:rPr>
        <w:t>At the highest doses, immune signaling pathways dominate: Toll-like receptor signaling (path:hsa04620, median BMD 10.5), NOD-like receptor signaling (path:hsa04621, median BMD 10.5), RIG-I-like receptor signaling (path:hsa04622, median BMD 9.5), and cytokine-cytokine receptor interaction (path:hsa04060, median BMD 11.0) are all enriched. The inflammasome pathway (median BMD 12.0) and CLEC7A/inflammasome pathway (median BMD 12.0) are activated at the highest BMDs, indicating pyroptotic cell death and danger-associated molecular pattern (DAMP) release.</w:t>
      </w:r>
    </w:p>
    <w:p>
      <w:pPr>
        <w:spacing w:after="120"/>
      </w:pPr>
      <w:r>
        <w:rPr>
          <w:rFonts w:ascii="Calibri" w:hAnsi="Calibri"/>
          <w:b w:val="0"/>
          <w:i w:val="0"/>
          <w:sz w:val="22"/>
        </w:rPr>
        <w:t>The "Senescence-Associated Secretory Phenotype (SASP)" pathway (median BMD 10.25) is activated, consistent with cellular senescence induced by persistent DNA damage and oxidative stress. TGFB1 upregulation across multiple dose levels, combined with the enrichment of TGF-beta signaling (path:hsa04350, median BMD 12.5), indicates pro-fibrotic signaling that could lead to tissue remodeling and fibrosis with chronic exposure.</w:t>
      </w:r>
    </w:p>
    <w:p>
      <w:pPr>
        <w:spacing w:after="120"/>
      </w:pPr>
      <w:r>
        <w:rPr>
          <w:rFonts w:ascii="Calibri" w:hAnsi="Calibri"/>
          <w:b w:val="0"/>
          <w:i w:val="0"/>
          <w:sz w:val="22"/>
        </w:rPr>
        <w:t>---</w:t>
      </w:r>
    </w:p>
    <w:p>
      <w:pPr>
        <w:pStyle w:val="Heading2"/>
      </w:pPr>
      <w:r>
        <w:t>2. Organ-Level Prediction</w:t>
      </w:r>
    </w:p>
    <w:p>
      <w:pPr>
        <w:pStyle w:val="Heading3"/>
      </w:pPr>
      <w:r>
        <w:t>2.1 Liver (Highest Confidence)</w:t>
      </w:r>
    </w:p>
    <w:p>
      <w:pPr>
        <w:spacing w:after="120"/>
      </w:pPr>
      <w:r>
        <w:rPr>
          <w:rFonts w:ascii="Calibri" w:hAnsi="Calibri"/>
          <w:b w:val="0"/>
          <w:i w:val="0"/>
          <w:sz w:val="22"/>
        </w:rPr>
        <w:t>The liver is predicted to be the primary target organ based on multiple converging lines of evidence:</w:t>
      </w:r>
    </w:p>
    <w:p>
      <w:pPr>
        <w:pStyle w:val="ListBullet"/>
        <w:spacing w:after="40"/>
      </w:pPr>
      <w:r>
        <w:rPr>
          <w:rFonts w:ascii="Calibri" w:hAnsi="Calibri"/>
          <w:sz w:val="22"/>
        </w:rPr>
        <w:t>**Gene signature**: All 32 responsive genes have documented liver expression and relevance. The liver shows the broadest gene coverage in the organ signature analysis (32+ genes enriched). AHR, CYP1A1, CYP1B1, CYP3A4, NFE2L2, KEAP1, NQO1, HMOX1, GCLC, GPX1, and the full complement of inflammatory and apoptotic markers are liver-expressed.</w:t>
      </w:r>
    </w:p>
    <w:p>
      <w:pPr>
        <w:pStyle w:val="ListBullet"/>
        <w:spacing w:after="40"/>
      </w:pPr>
      <w:r>
        <w:rPr>
          <w:rFonts w:ascii="Calibri" w:hAnsi="Calibri"/>
          <w:sz w:val="22"/>
        </w:rPr>
        <w:t>**Pathway evidence**: The KEAP1-NRF2 pathway is the master regulator of hepatic detoxification. The literature explicitly identifies "a novel mechanism of hepatotoxicity involving endoplasmic reticulum stress and Nrf2 activation" (Toxicogenomic module associations with pathogenesis, 2017). NLRP3 inflammasome activation is described as playing "a critical role in liver injury and disease progression" (NLRP3 Inflammasome Activation in Liver Disorders, 2025).</w:t>
      </w:r>
    </w:p>
    <w:p>
      <w:pPr>
        <w:pStyle w:val="ListBullet"/>
        <w:spacing w:after="40"/>
      </w:pPr>
      <w:r>
        <w:rPr>
          <w:rFonts w:ascii="Calibri" w:hAnsi="Calibri"/>
          <w:sz w:val="22"/>
        </w:rPr>
        <w:t>**Metabolic activation**: CYP1A1 and CYP1B1 are hepatic phase I enzymes that can bioactivate xenobiotics to reactive intermediates, generating the oxidative stress that drives the downstream cascade.</w:t>
      </w:r>
    </w:p>
    <w:p>
      <w:pPr>
        <w:pStyle w:val="ListBullet"/>
        <w:spacing w:after="40"/>
      </w:pPr>
      <w:r>
        <w:rPr>
          <w:rFonts w:ascii="Calibri" w:hAnsi="Calibri"/>
          <w:sz w:val="22"/>
        </w:rPr>
        <w:t>**Literature support**: NQO1 is identified as a prioritized gene for liver toxicity prediction (Literature optimized integration of gene expression for organ toxicity, 2019). The SIRT1/FXR pathway, engaged in this dataset, plays "a key role in regulating BSEP and MRP2 expression" in hepatobiliary transport (Dysregulation of BSEP and MRP2, 2018).</w:t>
      </w:r>
    </w:p>
    <w:p>
      <w:pPr>
        <w:pStyle w:val="Heading3"/>
      </w:pPr>
      <w:r>
        <w:t>2.2 Kidney (High Confidence)</w:t>
      </w:r>
    </w:p>
    <w:p>
      <w:pPr>
        <w:pStyle w:val="ListBullet"/>
        <w:spacing w:after="40"/>
      </w:pPr>
      <w:r>
        <w:rPr>
          <w:rFonts w:ascii="Calibri" w:hAnsi="Calibri"/>
          <w:sz w:val="22"/>
        </w:rPr>
        <w:t>**Gene signature**: The kidney organ signature includes 31+ responsive genes (AHR, BAX, BCL2, CASP3, CAT, CDKN1A, CYP1A1, CYP1B1, and the full NRF2/inflammatory panel). Renal tubular epithelium shows specific enrichment for HMOX1, and HAVCR1 (KIM-1, a clinical biomarker of acute kidney injury) is among the responsive genes.</w:t>
      </w:r>
    </w:p>
    <w:p>
      <w:pPr>
        <w:pStyle w:val="ListBullet"/>
        <w:spacing w:after="40"/>
      </w:pPr>
      <w:r>
        <w:rPr>
          <w:rFonts w:ascii="Calibri" w:hAnsi="Calibri"/>
          <w:sz w:val="22"/>
        </w:rPr>
        <w:t>**Pathway evidence**: The AGE-RAGE signaling pathway in diabetic complications (path:hsa04933, 10 genes) is highly relevant to renal pathology. The literature notes that "Rutin (RUT) protects against liver and kidney damage caused by valproic acid (VLP) in rats" (Rutin Protects from Destruction, 2021), directly linking the gene signature to nephrotoxicity.</w:t>
      </w:r>
    </w:p>
    <w:p>
      <w:pPr>
        <w:pStyle w:val="ListBullet"/>
        <w:spacing w:after="40"/>
      </w:pPr>
      <w:r>
        <w:rPr>
          <w:rFonts w:ascii="Calibri" w:hAnsi="Calibri"/>
          <w:sz w:val="22"/>
        </w:rPr>
        <w:t>**Mechanistic basis**: Oxidative stress, NF-κB-mediated inflammation, and apoptosis are established mechanisms of drug-induced nephrotoxicity, all of which are represented in this dataset.</w:t>
      </w:r>
    </w:p>
    <w:p>
      <w:pPr>
        <w:pStyle w:val="Heading3"/>
      </w:pPr>
      <w:r>
        <w:t>2.3 Testis and Male Reproductive System (High Confidence)</w:t>
      </w:r>
    </w:p>
    <w:p>
      <w:pPr>
        <w:pStyle w:val="ListBullet"/>
        <w:spacing w:after="40"/>
      </w:pPr>
      <w:r>
        <w:rPr>
          <w:rFonts w:ascii="Calibri" w:hAnsi="Calibri"/>
          <w:sz w:val="22"/>
        </w:rPr>
        <w:t>**Gene signature**: The testis/testes show remarkably broad gene coverage (19–20+ genes), including AHR, BAX, BCL2, CASP3, CAT, CYP1A1, CYP1B1, GCLC, GPX1, HMOX1, IL1B, IL6, KEAP1, NFE2L2, NFKB1, NQO1, SIRT1, SOD1, SOD2, STAT3, TNF, TP53. The cauda epididymis (GCLC, HMOX1, NFE2L2, NQO1) and spermatocytes (SIRT1, TP53) show specific enrichment.</w:t>
      </w:r>
    </w:p>
    <w:p>
      <w:pPr>
        <w:pStyle w:val="ListBullet"/>
        <w:spacing w:after="40"/>
      </w:pPr>
      <w:r>
        <w:rPr>
          <w:rFonts w:ascii="Calibri" w:hAnsi="Calibri"/>
          <w:sz w:val="22"/>
        </w:rPr>
        <w:t>**Literature support**: "The RuIII/Q complex has potent antioxidant and anti-inflammatory effects, reducing oxidative stress and apoptosis in testicular and brain tissues" (Potential Therapeutic Effects of New Ruthenium (III) Complex, 2021). The apoptotic signature (BAX, BCL2, CASP3, TP53) in testicular tissue is consistent with germ cell death.</w:t>
      </w:r>
    </w:p>
    <w:p>
      <w:pPr>
        <w:pStyle w:val="ListBullet"/>
        <w:spacing w:after="40"/>
      </w:pPr>
      <w:r>
        <w:rPr>
          <w:rFonts w:ascii="Calibri" w:hAnsi="Calibri"/>
          <w:sz w:val="22"/>
        </w:rPr>
        <w:t>**Functional concern**: The combination of oxidative stress, apoptosis, and inflammatory cytokine production in the testis raises concern for impaired spermatogenesis and male reproductive toxicity.</w:t>
      </w:r>
    </w:p>
    <w:p>
      <w:pPr>
        <w:pStyle w:val="Heading3"/>
      </w:pPr>
      <w:r>
        <w:t>2.4 Brain and Central Nervous System (High Confidence)</w:t>
      </w:r>
    </w:p>
    <w:p>
      <w:pPr>
        <w:pStyle w:val="ListBullet"/>
        <w:spacing w:after="40"/>
      </w:pPr>
      <w:r>
        <w:rPr>
          <w:rFonts w:ascii="Calibri" w:hAnsi="Calibri"/>
          <w:sz w:val="22"/>
        </w:rPr>
        <w:t>**Gene signature**: Brain tissue shows coverage of 27+ genes. Specific neural substructures are enriched: substantia nigra (9 genes including BAX, HMOX1, IL1B, IL6, NFE2L2, SOD1, SOD2, TNF, TP53), microglia (10+ genes), hippocampus, spinal cord, and dorsal root ganglia.</w:t>
      </w:r>
    </w:p>
    <w:p>
      <w:pPr>
        <w:pStyle w:val="ListBullet"/>
        <w:spacing w:after="40"/>
      </w:pPr>
      <w:r>
        <w:rPr>
          <w:rFonts w:ascii="Calibri" w:hAnsi="Calibri"/>
          <w:sz w:val="22"/>
        </w:rPr>
        <w:t>**Pathway evidence**: The "negative regulation of neuron apoptotic process" (GO:0043524, 11 genes) and "neuron apoptotic process" (GO:0051402, 7 genes) GO terms indicate active neuronal death signaling. The blood-brain barrier shows specific enrichment</w:t>
      </w:r>
    </w:p>
    <w:p>
      <w:pPr>
        <w:pStyle w:val="Heading1"/>
      </w:pPr>
      <w:r>
        <w:t>Run 3 (80.2s)</w:t>
      </w:r>
    </w:p>
    <w:p>
      <w:pPr>
        <w:pStyle w:val="Heading2"/>
      </w:pPr>
      <w:r>
        <w:t>Comprehensive Toxicogenomic Interpretation Report</w:t>
      </w:r>
    </w:p>
    <w:p>
      <w:pPr>
        <w:pStyle w:val="Heading2"/>
      </w:pPr>
      <w:r>
        <w:t>Executive Summary</w:t>
      </w:r>
    </w:p>
    <w:p>
      <w:pPr>
        <w:spacing w:after="120"/>
      </w:pPr>
      <w:r>
        <w:rPr>
          <w:rFonts w:ascii="Calibri" w:hAnsi="Calibri"/>
          <w:b w:val="0"/>
          <w:i w:val="0"/>
          <w:sz w:val="22"/>
        </w:rPr>
        <w:t>This dose-response analysis reveals a coherent toxicological signature characterized by early activation of xenobiotic metabolism and antioxidant defense pathways (BMD 0.2–0.55), followed by progressive engagement of oxidative stress responses, inflammatory signaling, apoptotic cascades, and ultimately broad tissue damage pathways at higher doses (BMD 5–20). The 32 responsive genes (27 upregulated, 5 downregulated) define a classical oxidative stress–inflammation–cell death continuum. The gene expression profile is dominated by the KEAP1-NRF2-ARE axis, NF-κB-mediated inflammation, NLRP3 inflammasome activation, and TP53-dependent apoptosis, with the strongest organ-level signatures pointing to liver, kidney, brain, testis, and cardiovascular tissues as primary targets.</w:t>
      </w:r>
    </w:p>
    <w:p>
      <w:pPr>
        <w:spacing w:after="120"/>
      </w:pPr>
      <w:r>
        <w:rPr>
          <w:rFonts w:ascii="Calibri" w:hAnsi="Calibri"/>
          <w:b w:val="0"/>
          <w:i w:val="0"/>
          <w:sz w:val="22"/>
        </w:rPr>
        <w:t>---</w:t>
      </w:r>
    </w:p>
    <w:p>
      <w:pPr>
        <w:pStyle w:val="Heading2"/>
      </w:pPr>
      <w:r>
        <w:t>1. Biological Response Narrative</w:t>
      </w:r>
    </w:p>
    <w:p>
      <w:pPr>
        <w:pStyle w:val="Heading3"/>
      </w:pPr>
      <w:r>
        <w:t>Phase I: Xenobiotic Sensing and Metabolic Activation (BMD 0.2–0.55)</w:t>
      </w:r>
    </w:p>
    <w:p>
      <w:pPr>
        <w:spacing w:after="120"/>
      </w:pPr>
      <w:r>
        <w:rPr>
          <w:rFonts w:ascii="Calibri" w:hAnsi="Calibri"/>
          <w:b w:val="0"/>
          <w:i w:val="0"/>
          <w:sz w:val="22"/>
        </w:rPr>
        <w:t>The earliest transcriptional responses occur at the lowest benchmark doses and are dominated by **aryl hydrocarbon receptor (AHR) signaling** (median BMD 0.35), representing the molecular initiating event. Three genes respond at BMD 0.2–0.35, predominantly upregulated, indicating immediate xenobiotic sensing. AHR activation drives the induction of phase I metabolizing enzymes **CYP1A1** and **CYP1B1**, consistent with the enrichment of the chemical carcinogenesis pathway (path:hsa05208/rno05208, median BMD 0.5, 9 genes). This pathway includes AHR, CYP1A1, HIF1A, HMOX1, KEAP1, NFE2L2, NFKB1, NQO1, and VEGFA — indicating that even at these low doses, the compound engages both xenobiotic metabolism and the initial stages of the oxidative stress response.</w:t>
      </w:r>
    </w:p>
    <w:p>
      <w:pPr>
        <w:spacing w:after="120"/>
      </w:pPr>
      <w:r>
        <w:rPr>
          <w:rFonts w:ascii="Calibri" w:hAnsi="Calibri"/>
          <w:b w:val="0"/>
          <w:i w:val="0"/>
          <w:sz w:val="22"/>
        </w:rPr>
        <w:t>Concurrently, the **KEAP1-NRF2 axis** is activated at very low doses (BMD 0.3–0.55). The enrichment of "GSK3B and BTRC:CUL1-mediated degradation of NFE2L2" and "Nuclear events mediated by NFE2L2" pathways (median BMD 0.55) with mixed directionality suggests that KEAP1 (a negative regulator) and NFE2L2 are being modulated simultaneously — consistent with disruption of the KEAP1-NRF2 interaction and nuclear translocation of NRF2. The upregulation of downstream targets **NQO1**, **HMOX1**, and **GCLC** confirms functional NRF2 activation. Metabolic pathways (path:hsa01100/rno01100, median BMD 0.5) involving CYP1A1, CYP1B1, GCLC, and related metabolic enzymes are also engaged, reflecting altered cellular metabolism.</w:t>
      </w:r>
    </w:p>
    <w:p>
      <w:pPr>
        <w:spacing w:after="120"/>
      </w:pPr>
      <w:r>
        <w:rPr>
          <w:rFonts w:ascii="Calibri" w:hAnsi="Calibri"/>
          <w:b w:val="0"/>
          <w:i w:val="0"/>
          <w:sz w:val="22"/>
        </w:rPr>
        <w:t>The biosynthesis of cofactors pathway (path:hsa01240, median BMD 0.55) with 2 upregulated genes further supports early metabolic reprogramming, likely reflecting increased demand for NAD(P)H and glutathione cofactors required for phase II detoxification.</w:t>
      </w:r>
    </w:p>
    <w:p>
      <w:pPr>
        <w:pStyle w:val="Heading3"/>
      </w:pPr>
      <w:r>
        <w:t>Phase II: Ferroptosis Defense and Early Stress Signaling (BMD 0.4–2.0)</w:t>
      </w:r>
    </w:p>
    <w:p>
      <w:pPr>
        <w:spacing w:after="120"/>
      </w:pPr>
      <w:r>
        <w:rPr>
          <w:rFonts w:ascii="Calibri" w:hAnsi="Calibri"/>
          <w:b w:val="0"/>
          <w:i w:val="0"/>
          <w:sz w:val="22"/>
        </w:rPr>
        <w:t>At slightly higher doses, **ferroptosis-related pathways** (path:hsa04216/rno04216, median BMD 0.6, 3 genes, mostly upregulated) become engaged. This is significant because it indicates that the compound generates sufficient oxidative stress to threaten lipid peroxidation and iron-dependent cell death. The upregulation of protective genes (likely GPX1, HMOX1, and related antioxidant enzymes) at this stage represents an adaptive response to prevent ferroptotic damage.</w:t>
      </w:r>
    </w:p>
    <w:p>
      <w:pPr>
        <w:spacing w:after="120"/>
      </w:pPr>
      <w:r>
        <w:rPr>
          <w:rFonts w:ascii="Calibri" w:hAnsi="Calibri"/>
          <w:b w:val="0"/>
          <w:i w:val="0"/>
          <w:sz w:val="22"/>
        </w:rPr>
        <w:t>The engagement of **PPARA signaling** (path:hsa04934/rno04934, median BMD 2.35) suggests perturbation of lipid metabolism and fatty acid oxidation, which may reflect either a direct effect of the compound on lipid homeostasis or a compensatory metabolic response to oxidative stress.</w:t>
      </w:r>
    </w:p>
    <w:p>
      <w:pPr>
        <w:pStyle w:val="Heading3"/>
      </w:pPr>
      <w:r>
        <w:t>Phase III: Circadian Disruption and Metabolic Dysregulation (BMD 2.0–2.5)</w:t>
      </w:r>
    </w:p>
    <w:p>
      <w:pPr>
        <w:spacing w:after="120"/>
      </w:pPr>
      <w:r>
        <w:rPr>
          <w:rFonts w:ascii="Calibri" w:hAnsi="Calibri"/>
          <w:b w:val="0"/>
          <w:i w:val="0"/>
          <w:sz w:val="22"/>
        </w:rPr>
        <w:t>A notable finding is the **downregulation** of circadian clock genes (median BMD 2.25, 2 genes, mostly DOWN). This is one of the few downregulated responses and may reflect disruption of circadian-regulated metabolic processes. Circadian clock disruption has been increasingly recognized as a feature of toxic exposures that perturb NAD+ metabolism and SIRT1 activity. The concurrent engagement of glucocorticoid receptor signaling (path:hsa04922/rno04922) further supports metabolic and endocrine disruption at this dose range.</w:t>
      </w:r>
    </w:p>
    <w:p>
      <w:pPr>
        <w:pStyle w:val="Heading3"/>
      </w:pPr>
      <w:r>
        <w:t>Phase IV: Oncogenic Stress and Proliferative Signaling (BMD 2.5–5.0)</w:t>
      </w:r>
    </w:p>
    <w:p>
      <w:pPr>
        <w:spacing w:after="120"/>
      </w:pPr>
      <w:r>
        <w:rPr>
          <w:rFonts w:ascii="Calibri" w:hAnsi="Calibri"/>
          <w:b w:val="0"/>
          <w:i w:val="0"/>
          <w:sz w:val="22"/>
        </w:rPr>
        <w:t>Between BMD 2.5 and 5.0, the transcriptional response broadens dramatically to encompass cancer-related pathways. **Hepatocellular carcinoma pathways** (path:hsa05225/rno05225, median BMD 2.65, 8 genes) are among the first cancer pathways activated, followed by renal cell carcinoma (path:hsa05211, median BMD 4.25) and multiple other cancer-type pathways. This does not necessarily indicate carcinogenesis but rather reflects the engagement of shared oncogenic signaling nodes including:</w:t>
      </w:r>
    </w:p>
    <w:p>
      <w:pPr>
        <w:pStyle w:val="ListBullet"/>
        <w:spacing w:after="40"/>
      </w:pPr>
      <w:r>
        <w:rPr>
          <w:rFonts w:ascii="Calibri" w:hAnsi="Calibri"/>
          <w:sz w:val="22"/>
        </w:rPr>
        <w:t>**TP53 activation** (upregulated) with downstream targets CDKN1A (p21) and BAX</w:t>
      </w:r>
    </w:p>
    <w:p>
      <w:pPr>
        <w:pStyle w:val="ListBullet"/>
        <w:spacing w:after="40"/>
      </w:pPr>
      <w:r>
        <w:rPr>
          <w:rFonts w:ascii="Calibri" w:hAnsi="Calibri"/>
          <w:sz w:val="22"/>
        </w:rPr>
        <w:t>**STAT3 signaling** (upregulated), indicating JAK-STAT pathway engagement</w:t>
      </w:r>
    </w:p>
    <w:p>
      <w:pPr>
        <w:pStyle w:val="ListBullet"/>
        <w:spacing w:after="40"/>
      </w:pPr>
      <w:r>
        <w:rPr>
          <w:rFonts w:ascii="Calibri" w:hAnsi="Calibri"/>
          <w:sz w:val="22"/>
        </w:rPr>
        <w:t>**HIF1A** upregulation, suggesting hypoxic stress or pseudohypoxic signaling</w:t>
      </w:r>
    </w:p>
    <w:p>
      <w:pPr>
        <w:pStyle w:val="ListBullet"/>
        <w:spacing w:after="40"/>
      </w:pPr>
      <w:r>
        <w:rPr>
          <w:rFonts w:ascii="Calibri" w:hAnsi="Calibri"/>
          <w:sz w:val="22"/>
        </w:rPr>
        <w:t>**VEGFA** induction, consistent with HIF1A-driven angiogenic signaling</w:t>
      </w:r>
    </w:p>
    <w:p>
      <w:pPr>
        <w:spacing w:after="120"/>
      </w:pPr>
      <w:r>
        <w:rPr>
          <w:rFonts w:ascii="Calibri" w:hAnsi="Calibri"/>
          <w:b w:val="0"/>
          <w:i w:val="0"/>
          <w:sz w:val="22"/>
        </w:rPr>
        <w:t>The activation of **mitophagy** (path:hsa04137/rno04137, median BMD 3.5) and **autophagy** (path:hsa04140/rno04140, median BMD 3.5) pathways, with SQSTM1/p62 upregulation, indicates that cells are engaging quality control mechanisms to remove damaged mitochondria and protein aggregates. This represents a critical transition point where cellular damage is accumulating faster than primary antioxidant defenses can manage.</w:t>
      </w:r>
    </w:p>
    <w:p>
      <w:pPr>
        <w:spacing w:after="120"/>
      </w:pPr>
      <w:r>
        <w:rPr>
          <w:rFonts w:ascii="Calibri" w:hAnsi="Calibri"/>
          <w:b/>
          <w:sz w:val="22"/>
        </w:rPr>
        <w:t xml:space="preserve">Wnt signaling: </w:t>
      </w:r>
      <w:r>
        <w:rPr>
          <w:rFonts w:ascii="Calibri" w:hAnsi="Calibri"/>
          <w:sz w:val="22"/>
        </w:rPr>
        <w:t>(path:hsa04310, median BMD 3.75, mixed directionality) perturbation suggests effects on cell fate determination and tissue homeostasis.</w:t>
      </w:r>
    </w:p>
    <w:p>
      <w:pPr>
        <w:pStyle w:val="Heading3"/>
      </w:pPr>
      <w:r>
        <w:t>Phase V: Lipid Peroxidation and Fluid Shear Stress Response (BMD 4.0–5.0)</w:t>
      </w:r>
    </w:p>
    <w:p>
      <w:pPr>
        <w:spacing w:after="120"/>
      </w:pPr>
      <w:r>
        <w:rPr>
          <w:rFonts w:ascii="Calibri" w:hAnsi="Calibri"/>
          <w:b w:val="0"/>
          <w:i w:val="0"/>
          <w:sz w:val="22"/>
        </w:rPr>
        <w:t>The enrichment of **fluid shear stress and atherosclerosis** pathways (path:hsa05418/rno05418, median BMD 4.0, 11 genes) is highly informative, as this pathway integrates oxidative stress (NFE2L2, HMOX1, NQO1), inflammation (IL1B, TNF, NFKB1), and endothelial dysfunction (VEGFA, TP53). The **lipid and atherosclerosis** pathway (path:hsa05417/rno05417, median BMD 8.25 for the full gene set but with early-responding members) further reinforces vascular toxicity as a concern.</w:t>
      </w:r>
    </w:p>
    <w:p>
      <w:pPr>
        <w:spacing w:after="120"/>
      </w:pPr>
      <w:r>
        <w:rPr>
          <w:rFonts w:ascii="Calibri" w:hAnsi="Calibri"/>
          <w:b w:val="0"/>
          <w:i w:val="0"/>
          <w:sz w:val="22"/>
        </w:rPr>
        <w:t>The **chemical carcinogenesis – reactive oxygen species** pathway (path:hsa05207/rno05207, median BMD 4.0, 7 genes) confirms that ROS generation is a central mechanism at this dose level.</w:t>
      </w:r>
    </w:p>
    <w:p>
      <w:pPr>
        <w:pStyle w:val="Heading3"/>
      </w:pPr>
      <w:r>
        <w:t>Phase VI: Inflammatory Cascade and Inflammasome Activation (BMD 5.0–10.0)</w:t>
      </w:r>
    </w:p>
    <w:p>
      <w:pPr>
        <w:spacing w:after="120"/>
      </w:pPr>
      <w:r>
        <w:rPr>
          <w:rFonts w:ascii="Calibri" w:hAnsi="Calibri"/>
          <w:b w:val="0"/>
          <w:i w:val="0"/>
          <w:sz w:val="22"/>
        </w:rPr>
        <w:t>This phase marks the transition from predominantly adaptive to overtly adverse responses. Key developments include:</w:t>
      </w:r>
    </w:p>
    <w:p>
      <w:pPr>
        <w:pStyle w:val="ListBullet"/>
        <w:spacing w:after="40"/>
      </w:pPr>
      <w:r>
        <w:rPr>
          <w:rFonts w:ascii="Calibri" w:hAnsi="Calibri"/>
          <w:sz w:val="22"/>
        </w:rPr>
        <w:t>**Full engagement of the pathways in cancer** (path:hsa05200/rno05200, median BMD 5.0, 15 genes) — the most significantly enriched pathway (p = 3.65 × 10⁻³⁸)</w:t>
      </w:r>
    </w:p>
    <w:p>
      <w:pPr>
        <w:pStyle w:val="ListBullet"/>
        <w:spacing w:after="40"/>
      </w:pPr>
      <w:r>
        <w:rPr>
          <w:rFonts w:ascii="Calibri" w:hAnsi="Calibri"/>
          <w:sz w:val="22"/>
        </w:rPr>
        <w:t>**TP53 signaling pathway** activation (path:hsa04115, median BMD 5.5, 5 genes) with upregulation of pro-apoptotic effectors</w:t>
      </w:r>
    </w:p>
    <w:p>
      <w:pPr>
        <w:pStyle w:val="ListBullet"/>
        <w:spacing w:after="40"/>
      </w:pPr>
      <w:r>
        <w:rPr>
          <w:rFonts w:ascii="Calibri" w:hAnsi="Calibri"/>
          <w:sz w:val="22"/>
        </w:rPr>
        <w:t>**Apoptosis pathway** engagement (path:hsa04210, median BMD 7.0, 6 genes) with BAX, CASP3, and BCL2 all upregulated — the simultaneous upregulation of both pro-apoptotic (BAX, CASP3) and anti-apoptotic (BCL2) factors indicates active apoptotic signaling with attempted counter-regulation</w:t>
      </w:r>
    </w:p>
    <w:p>
      <w:pPr>
        <w:pStyle w:val="ListBullet"/>
        <w:spacing w:after="40"/>
      </w:pPr>
      <w:r>
        <w:rPr>
          <w:rFonts w:ascii="Calibri" w:hAnsi="Calibri"/>
          <w:sz w:val="22"/>
        </w:rPr>
        <w:t>**NF-κB signaling** (path:hsa04064, median BMD 9.5) and **TNF signaling** (path:hsa04668, median BMD 10.0) driving inflammatory cytokine production</w:t>
      </w:r>
    </w:p>
    <w:p>
      <w:pPr>
        <w:pStyle w:val="ListBullet"/>
        <w:spacing w:after="40"/>
      </w:pPr>
      <w:r>
        <w:rPr>
          <w:rFonts w:ascii="Calibri" w:hAnsi="Calibri"/>
          <w:sz w:val="22"/>
        </w:rPr>
        <w:t>**NLRP3 inflammasome** activation, evidenced by upregulation of NLRP3 and IL1B, with inflammasome-specific pathways enriched at median BMD 12.0</w:t>
      </w:r>
    </w:p>
    <w:p>
      <w:pPr>
        <w:pStyle w:val="ListBullet"/>
        <w:spacing w:after="40"/>
      </w:pPr>
      <w:r>
        <w:rPr>
          <w:rFonts w:ascii="Calibri" w:hAnsi="Calibri"/>
          <w:sz w:val="22"/>
        </w:rPr>
        <w:t>**IL-17 signaling** (path:hsa04657, median BMD 10.0) and **Th17 cell differentiation** (path:hsa04659, median BMD 9.0) indicating adaptive immune activation</w:t>
      </w:r>
    </w:p>
    <w:p>
      <w:pPr>
        <w:spacing w:after="120"/>
      </w:pPr>
      <w:r>
        <w:rPr>
          <w:rFonts w:ascii="Calibri" w:hAnsi="Calibri"/>
          <w:b w:val="0"/>
          <w:i w:val="0"/>
          <w:sz w:val="22"/>
        </w:rPr>
        <w:t>The **JAK-STAT signaling pathway** (path:hsa04630, median BMD 7.0) and **MAPK signaling** (path:hsa04010, median BMD 9.0) represent broad activation of stress-responsive kinase cascades.</w:t>
      </w:r>
    </w:p>
    <w:p>
      <w:pPr>
        <w:pStyle w:val="Heading3"/>
      </w:pPr>
      <w:r>
        <w:t>Phase VII: Tissue Damage, Fibrosis, and Immune Activation (BMD 10.0–20.0)</w:t>
      </w:r>
    </w:p>
    <w:p>
      <w:pPr>
        <w:spacing w:after="120"/>
      </w:pPr>
      <w:r>
        <w:rPr>
          <w:rFonts w:ascii="Calibri" w:hAnsi="Calibri"/>
          <w:b w:val="0"/>
          <w:i w:val="0"/>
          <w:sz w:val="22"/>
        </w:rPr>
        <w:t>At the highest doses, the response profile indicates frank tissue injury:</w:t>
      </w:r>
    </w:p>
    <w:p>
      <w:pPr>
        <w:pStyle w:val="ListBullet"/>
        <w:spacing w:after="40"/>
      </w:pPr>
      <w:r>
        <w:rPr>
          <w:rFonts w:ascii="Calibri" w:hAnsi="Calibri"/>
          <w:sz w:val="22"/>
        </w:rPr>
        <w:t>**Necroptosis** (path:hsa04217, median BMD 8.5) — programmed necrotic cell death</w:t>
      </w:r>
    </w:p>
    <w:p>
      <w:pPr>
        <w:pStyle w:val="ListBullet"/>
        <w:spacing w:after="40"/>
      </w:pPr>
      <w:r>
        <w:rPr>
          <w:rFonts w:ascii="Calibri" w:hAnsi="Calibri"/>
          <w:sz w:val="22"/>
        </w:rPr>
        <w:t>**Cellular senescence** (path:hsa04218, median BMD 5.0) and **Senescence-Associated Secretory Phenotype (SASP)** (median BMD 10.25) — indicating irreversible growth arrest with pro-inflammatory secretome</w:t>
      </w:r>
    </w:p>
    <w:p>
      <w:pPr>
        <w:pStyle w:val="ListBullet"/>
        <w:spacing w:after="40"/>
      </w:pPr>
      <w:r>
        <w:rPr>
          <w:rFonts w:ascii="Calibri" w:hAnsi="Calibri"/>
          <w:sz w:val="22"/>
        </w:rPr>
        <w:t>**TGF-beta signaling** (path:hsa04350, median BMD 12.5) with TGFB1 upregulation — a hallmark of fibrotic remodeling</w:t>
      </w:r>
    </w:p>
    <w:p>
      <w:pPr>
        <w:pStyle w:val="ListBullet"/>
        <w:spacing w:after="40"/>
      </w:pPr>
      <w:r>
        <w:rPr>
          <w:rFonts w:ascii="Calibri" w:hAnsi="Calibri"/>
          <w:sz w:val="22"/>
        </w:rPr>
        <w:t>**Toll-like receptor signaling** (path:hsa04620, median BMD 10.5) and **NOD-like receptor signaling** (path:hsa04621, median BMD 10.5) — innate immune activation</w:t>
      </w:r>
    </w:p>
    <w:p>
      <w:pPr>
        <w:pStyle w:val="ListBullet"/>
        <w:spacing w:after="40"/>
      </w:pPr>
      <w:r>
        <w:rPr>
          <w:rFonts w:ascii="Calibri" w:hAnsi="Calibri"/>
          <w:sz w:val="22"/>
        </w:rPr>
        <w:t>**Rheumatoid arthritis** (path:hsa05323, median BMD 11.0), **inflammatory bowel disease** (path:hsa05321, median BMD 10.5), and **graft-versus-host disease** (path:hsa05332, median BMD 11.0) pathways — reflecting systemic inflammatory tissue damage</w:t>
      </w:r>
    </w:p>
    <w:p>
      <w:pPr>
        <w:pStyle w:val="ListBullet"/>
        <w:spacing w:after="40"/>
      </w:pPr>
      <w:r>
        <w:rPr>
          <w:rFonts w:ascii="Calibri" w:hAnsi="Calibri"/>
          <w:sz w:val="22"/>
        </w:rPr>
        <w:t>Multiple **infectious disease pathways** (hepatitis B/C, Epstein-Barr virus, etc.) are enriched not because of infection but because these pathways share core inflammatory and apoptotic signaling nodes (NFKB1, TNF, IL6, STAT3, BAX, CASP3)</w:t>
      </w:r>
    </w:p>
    <w:p>
      <w:pPr>
        <w:spacing w:after="120"/>
      </w:pPr>
      <w:r>
        <w:rPr>
          <w:rFonts w:ascii="Calibri" w:hAnsi="Calibri"/>
          <w:b w:val="0"/>
          <w:i w:val="0"/>
          <w:sz w:val="22"/>
        </w:rPr>
        <w:t>---</w:t>
      </w:r>
    </w:p>
    <w:p>
      <w:pPr>
        <w:pStyle w:val="Heading2"/>
      </w:pPr>
      <w:r>
        <w:t>2. Organ-Level Prediction</w:t>
      </w:r>
    </w:p>
    <w:p>
      <w:pPr>
        <w:pStyle w:val="Heading3"/>
      </w:pPr>
      <w:r>
        <w:t>2.1 Liver (Highest Priority Target)</w:t>
      </w:r>
    </w:p>
    <w:p>
      <w:pPr>
        <w:spacing w:after="120"/>
      </w:pPr>
      <w:r>
        <w:rPr>
          <w:rFonts w:ascii="Calibri" w:hAnsi="Calibri"/>
          <w:b/>
          <w:i w:val="0"/>
          <w:sz w:val="22"/>
        </w:rPr>
        <w:t>Confidence: Very High</w:t>
      </w:r>
    </w:p>
    <w:p>
      <w:pPr>
        <w:spacing w:after="120"/>
      </w:pPr>
      <w:r>
        <w:rPr>
          <w:rFonts w:ascii="Calibri" w:hAnsi="Calibri"/>
          <w:b w:val="0"/>
          <w:i w:val="0"/>
          <w:sz w:val="22"/>
        </w:rPr>
        <w:t>The liver emerges as the primary target organ based on multiple converging lines of evidence:</w:t>
      </w:r>
    </w:p>
    <w:p>
      <w:pPr>
        <w:pStyle w:val="ListBullet"/>
        <w:spacing w:after="40"/>
      </w:pPr>
      <w:r>
        <w:rPr>
          <w:rFonts w:ascii="Calibri" w:hAnsi="Calibri"/>
          <w:sz w:val="22"/>
        </w:rPr>
        <w:t>**Gene coverage**: The liver organ signature includes the broadest set of responsive genes (34+ genes), encompassing AHR, CYP1A1, CYP1B1, CYP3A4, NFE2L2, KEAP1, NQO1, HMOX1, GCLC, GPX1, CAT, SOD1, SOD2, BAX, BCL2, CASP3, TP53, CDKN1A, NFKB1, NLRP3, IL1B, IL6, TNF, STAT3, TGFB1, SIRT1, PPARA, SQSTM1, HIF1A, and VEGFA.</w:t>
      </w:r>
    </w:p>
    <w:p>
      <w:pPr>
        <w:pStyle w:val="ListBullet"/>
        <w:spacing w:after="40"/>
      </w:pPr>
      <w:r>
        <w:rPr>
          <w:rFonts w:ascii="Calibri" w:hAnsi="Calibri"/>
          <w:sz w:val="22"/>
        </w:rPr>
        <w:t>**Pathway specificity**: Hepatocellular carcinoma (path:hsa05225, median BMD 2.65) is among the earliest cancer pathways activated. Non-alcoholic fatty liver disease (path:hsa04932, median BMD 9.5) and hepatitis pathways (path:hsa05160/05161, median BMD 7.0–8.25) are prominently enriched.</w:t>
      </w:r>
    </w:p>
    <w:p>
      <w:pPr>
        <w:pStyle w:val="ListBullet"/>
        <w:spacing w:after="40"/>
      </w:pPr>
      <w:r>
        <w:rPr>
          <w:rFonts w:ascii="Calibri" w:hAnsi="Calibri"/>
          <w:sz w:val="22"/>
        </w:rPr>
        <w:t>**AHR-CYP axis**: The liver is the primary site of AHR-mediated xenobiotic metabolism. CYP1A1, CYP1B1, and CYP3A4 are predominantly hepatic enzymes, and their induction at the lowest BMDs indicates the liver as the first organ to encounter and metabolize the compound.</w:t>
      </w:r>
    </w:p>
    <w:p>
      <w:pPr>
        <w:pStyle w:val="ListBullet"/>
        <w:spacing w:after="40"/>
      </w:pPr>
      <w:r>
        <w:rPr>
          <w:rFonts w:ascii="Calibri" w:hAnsi="Calibri"/>
          <w:sz w:val="22"/>
        </w:rPr>
        <w:t>**NLRP3 inflammasome**: Literature strongly supports NLRP3 inflammasome activation as "a critical role in liver injury and disease progression" (NLRP3 Inflammasome Activation in Liver Disorders, 2025). The co-upregulation of NLRP3, IL1B, and NFKB1 is consistent with hepatic Kupffer cell activation.</w:t>
      </w:r>
    </w:p>
    <w:p>
      <w:pPr>
        <w:pStyle w:val="ListBullet"/>
        <w:spacing w:after="40"/>
      </w:pPr>
      <w:r>
        <w:rPr>
          <w:rFonts w:ascii="Calibri" w:hAnsi="Calibri"/>
          <w:sz w:val="22"/>
        </w:rPr>
        <w:t>**NRF2-KEAP1 disruption**: The literature identifies "a novel mechanism of hepatotoxicity involving endoplasmic reticulum stress and Nrf2 activation" (Toxicogenomic module associations with pathogenesis, 2017), directly supporting the observed pattern.</w:t>
      </w:r>
    </w:p>
    <w:p>
      <w:pPr>
        <w:pStyle w:val="ListBullet"/>
        <w:spacing w:after="40"/>
      </w:pPr>
      <w:r>
        <w:rPr>
          <w:rFonts w:ascii="Calibri" w:hAnsi="Calibri"/>
          <w:sz w:val="22"/>
        </w:rPr>
        <w:t>**Fibrotic signaling**: TGFB1 upregulation combined with STAT3 activation is a hallmark of hepatic stellate cell activation and liver fibrosis.</w:t>
      </w:r>
    </w:p>
    <w:p>
      <w:pPr>
        <w:spacing w:after="120"/>
      </w:pPr>
      <w:r>
        <w:rPr>
          <w:rFonts w:ascii="Calibri" w:hAnsi="Calibri"/>
          <w:b/>
          <w:sz w:val="22"/>
        </w:rPr>
        <w:t xml:space="preserve">Predicted hepatic effects: </w:t>
      </w:r>
      <w:r>
        <w:rPr>
          <w:rFonts w:ascii="Calibri" w:hAnsi="Calibri"/>
          <w:sz w:val="22"/>
        </w:rPr>
        <w:t>Oxidative stress → hepatocellular injury → inflammation (Kupffer cell activation) → potential progression to fibrosis at sustained high exposures.</w:t>
      </w:r>
    </w:p>
    <w:p>
      <w:pPr>
        <w:pStyle w:val="Heading3"/>
      </w:pPr>
      <w:r>
        <w:t>2.2 Kidney (High Priority Target)</w:t>
      </w:r>
    </w:p>
    <w:p>
      <w:pPr>
        <w:spacing w:after="120"/>
      </w:pPr>
      <w:r>
        <w:rPr>
          <w:rFonts w:ascii="Calibri" w:hAnsi="Calibri"/>
          <w:b/>
          <w:i w:val="0"/>
          <w:sz w:val="22"/>
        </w:rPr>
        <w:t>Confidence: High</w:t>
      </w:r>
    </w:p>
    <w:p>
      <w:pPr>
        <w:pStyle w:val="ListBullet"/>
        <w:spacing w:after="40"/>
      </w:pPr>
      <w:r>
        <w:rPr>
          <w:rFonts w:ascii="Calibri" w:hAnsi="Calibri"/>
          <w:sz w:val="22"/>
        </w:rPr>
        <w:t>**Gene coverage**: 31+ responsive genes are annotated to kidney, including the full complement of antioxidant defense genes (NFE2L2, NQO1, HMOX1, GCLC, GPX1, CAT, SOD1, SOD2), apoptotic markers (BAX, BCL2, CASP3), and inflammatory mediators.</w:t>
      </w:r>
    </w:p>
    <w:p>
      <w:pPr>
        <w:pStyle w:val="ListBullet"/>
        <w:spacing w:after="40"/>
      </w:pPr>
      <w:r>
        <w:rPr>
          <w:rFonts w:ascii="Calibri" w:hAnsi="Calibri"/>
          <w:sz w:val="22"/>
        </w:rPr>
        <w:t>**Renal tubular epithelium**: HMOX1 enrichment (693.56×) in renal tubular epithelium specifically indicates tubular oxidative stress.</w:t>
      </w:r>
    </w:p>
    <w:p>
      <w:pPr>
        <w:pStyle w:val="ListBullet"/>
        <w:spacing w:after="40"/>
      </w:pPr>
      <w:r>
        <w:rPr>
          <w:rFonts w:ascii="Calibri" w:hAnsi="Calibri"/>
          <w:sz w:val="22"/>
        </w:rPr>
        <w:t>**Pathway evidence**: Renal cell carcinoma pathway (path:hsa05211, median BMD 4.25) and diabetic nephropathy-related AGE-RAGE signaling (path:hsa04933, median BMD 8.75) are enriched.</w:t>
      </w:r>
    </w:p>
    <w:p>
      <w:pPr>
        <w:pStyle w:val="ListBullet"/>
        <w:spacing w:after="40"/>
      </w:pPr>
      <w:r>
        <w:rPr>
          <w:rFonts w:ascii="Calibri" w:hAnsi="Calibri"/>
          <w:sz w:val="22"/>
        </w:rPr>
        <w:t>**Literature support**: Rutin protection studies demonstrate that oxidative stress-mediated kidney damage involves the same gene network (BAX, BCL2, CASP3, NFE2L2, NFKB1) observed here (Rutin Protects from Destruction, 2021). HAVCR1 (KIM-1), a specific biomarker of renal tubular injury, is among the responsive genes annotated to "response to xenobiotic stimulus."</w:t>
      </w:r>
    </w:p>
    <w:p>
      <w:pPr>
        <w:spacing w:after="120"/>
      </w:pPr>
      <w:r>
        <w:rPr>
          <w:rFonts w:ascii="Calibri" w:hAnsi="Calibri"/>
          <w:b/>
          <w:sz w:val="22"/>
        </w:rPr>
        <w:t xml:space="preserve">Predicted renal effects: </w:t>
      </w:r>
      <w:r>
        <w:rPr>
          <w:rFonts w:ascii="Calibri" w:hAnsi="Calibri"/>
          <w:sz w:val="22"/>
        </w:rPr>
        <w:t>Proximal tubular oxidative stress → tubular cell apoptosis → inflammatory infiltration → potential tubulointerstitial fibrosis.</w:t>
      </w:r>
    </w:p>
    <w:p>
      <w:pPr>
        <w:pStyle w:val="Heading3"/>
      </w:pPr>
      <w:r>
        <w:t>2.3 Brain and Central Nervous System (High Priority Target)</w:t>
      </w:r>
    </w:p>
    <w:p>
      <w:pPr>
        <w:spacing w:after="120"/>
      </w:pPr>
      <w:r>
        <w:rPr>
          <w:rFonts w:ascii="Calibri" w:hAnsi="Calibri"/>
          <w:b/>
          <w:i w:val="0"/>
          <w:sz w:val="22"/>
        </w:rPr>
        <w:t>Confidence: High</w:t>
      </w:r>
    </w:p>
    <w:p>
      <w:pPr>
        <w:pStyle w:val="ListBullet"/>
        <w:spacing w:after="40"/>
      </w:pPr>
      <w:r>
        <w:rPr>
          <w:rFonts w:ascii="Calibri" w:hAnsi="Calibri"/>
          <w:sz w:val="22"/>
        </w:rPr>
        <w:t>**Gene coverage**: 27+ responsive genes annotated to brain, with particularly strong signatures in substantia nigra (9 genes including BAX, HMOX1, IL1B, IL6, NFE2L2, SOD1, SOD2, TNF), microglia (10+ genes), and hippocampus.</w:t>
      </w:r>
    </w:p>
    <w:p>
      <w:pPr>
        <w:pStyle w:val="ListBullet"/>
        <w:spacing w:after="40"/>
      </w:pPr>
      <w:r>
        <w:rPr>
          <w:rFonts w:ascii="Calibri" w:hAnsi="Calibri"/>
          <w:sz w:val="22"/>
        </w:rPr>
        <w:t>**Microglial activation**: The microglia signature (GCLC, HMOX1, IL1B, IL6, NFE2L2, NLRP3, NQO1, SIRT1, and additional genes) is among the most enriched organ signatures (390.13×). This is consistent with neuroinflammation driven by microglial NLRP3 inflammasome activation.</w:t>
      </w:r>
    </w:p>
    <w:p>
      <w:pPr>
        <w:pStyle w:val="ListBullet"/>
        <w:spacing w:after="40"/>
      </w:pPr>
      <w:r>
        <w:rPr>
          <w:rFonts w:ascii="Calibri" w:hAnsi="Calibri"/>
          <w:sz w:val="22"/>
        </w:rPr>
        <w:t>**Blood-brain barrier**: Both BBB signatures (693.56× and 260.09×) show enrichment, with genes including HMOX1, NFE2L2, SIRT1, IL1B, IL6, and NLRP3. Literature confirms that "Microglial NLRP3-gasdermin D activation is essential for peripheral inflammation-induced BBB disruption" (2025).</w:t>
      </w:r>
    </w:p>
    <w:p>
      <w:pPr>
        <w:pStyle w:val="ListBullet"/>
        <w:spacing w:after="40"/>
      </w:pPr>
      <w:r>
        <w:rPr>
          <w:rFonts w:ascii="Calibri" w:hAnsi="Calibri"/>
          <w:sz w:val="22"/>
        </w:rPr>
        <w:t>**Neurodegenerative pathways**: Alzheimer's disease (path:hsa05010, median BMD 10.0), Parkinson's disease (path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