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Narratives: qwen2.5:14b</w:t>
      </w:r>
    </w:p>
    <w:p>
      <w:pPr>
        <w:pStyle w:val="Heading1"/>
      </w:pPr>
      <w:r>
        <w:t>Run 1 (48.4s)</w:t>
      </w:r>
    </w:p>
    <w:p>
      <w:pPr>
        <w:pStyle w:val="Heading3"/>
      </w:pPr>
      <w:r>
        <w:t>1. Biological Response Narrative</w:t>
      </w:r>
    </w:p>
    <w:p>
      <w:pPr>
        <w:spacing w:after="120"/>
      </w:pPr>
      <w:r>
        <w:rPr>
          <w:rFonts w:ascii="Calibri" w:hAnsi="Calibri"/>
          <w:b w:val="0"/>
          <w:i w:val="0"/>
          <w:sz w:val="22"/>
        </w:rPr>
        <w:t>#### Dose Level: Lowest (0 mg/kg)</w:t>
      </w:r>
    </w:p>
    <w:p>
      <w:pPr>
        <w:spacing w:after="120"/>
      </w:pPr>
      <w:r>
        <w:rPr>
          <w:rFonts w:ascii="Calibri" w:hAnsi="Calibri"/>
          <w:b w:val="0"/>
          <w:i w:val="0"/>
          <w:sz w:val="22"/>
        </w:rPr>
        <w:t>At this dose level, there is minimal biological activity observed. The primary response involves baseline gene expression levels that are indicative of normal cellular homeostasis and low-level basal activation of defense mechanisms such as the NRF2 pathway.</w:t>
      </w:r>
    </w:p>
    <w:p>
      <w:pPr>
        <w:spacing w:after="120"/>
      </w:pPr>
      <w:r>
        <w:rPr>
          <w:rFonts w:ascii="Calibri" w:hAnsi="Calibri"/>
          <w:b w:val="0"/>
          <w:i w:val="0"/>
          <w:sz w:val="22"/>
        </w:rPr>
        <w:t>#### Dose Level: Intermediate (5 mg/kg)</w:t>
      </w:r>
    </w:p>
    <w:p>
      <w:pPr>
        <w:spacing w:after="120"/>
      </w:pPr>
      <w:r>
        <w:rPr>
          <w:rFonts w:ascii="Calibri" w:hAnsi="Calibri"/>
          <w:b w:val="0"/>
          <w:i w:val="0"/>
          <w:sz w:val="22"/>
        </w:rPr>
        <w:t>As the dose increases to 5 mg/kg, there is a noticeable upregulation of genes involved in oxidative stress responses. This includes increased expression of NFE2L2, KEAP1, and HMOX1, indicating an activation of antioxidant defense mechanisms. Additionally, there is a slight increase in inflammatory markers such as IL1B.</w:t>
      </w:r>
    </w:p>
    <w:p>
      <w:pPr>
        <w:spacing w:after="120"/>
      </w:pPr>
      <w:r>
        <w:rPr>
          <w:rFonts w:ascii="Calibri" w:hAnsi="Calibri"/>
          <w:b w:val="0"/>
          <w:i w:val="0"/>
          <w:sz w:val="22"/>
        </w:rPr>
        <w:t>#### Dose Level: Highest (10 mg/kg)</w:t>
      </w:r>
    </w:p>
    <w:p>
      <w:pPr>
        <w:spacing w:after="120"/>
      </w:pPr>
      <w:r>
        <w:rPr>
          <w:rFonts w:ascii="Calibri" w:hAnsi="Calibri"/>
          <w:b w:val="0"/>
          <w:i w:val="0"/>
          <w:sz w:val="22"/>
        </w:rPr>
        <w:t>At the highest dose level, the biological response becomes more pronounced with significant upregulation of genes involved in inflammation (e.g., NLRP3) and cell death pathways (e.g., CASP3). There is also a marked increase in oxidative stress markers such as SOD1. The NRF2 pathway remains activated but shows signs of being overwhelmed, leading to increased cellular damage.</w:t>
      </w:r>
    </w:p>
    <w:p>
      <w:pPr>
        <w:pStyle w:val="Heading3"/>
      </w:pPr>
      <w:r>
        <w:t>2. Organ-Level Prediction</w:t>
      </w:r>
    </w:p>
    <w:p>
      <w:pPr>
        <w:spacing w:after="120"/>
      </w:pPr>
      <w:r>
        <w:rPr>
          <w:rFonts w:ascii="Calibri" w:hAnsi="Calibri"/>
          <w:b w:val="0"/>
          <w:i w:val="0"/>
          <w:sz w:val="22"/>
        </w:rPr>
        <w:t>#### Most Affected Organs:</w:t>
      </w:r>
    </w:p>
    <w:p>
      <w:pPr>
        <w:pStyle w:val="ListBullet"/>
        <w:spacing w:after="40"/>
      </w:pPr>
      <w:r>
        <w:rPr>
          <w:rFonts w:ascii="Calibri" w:hAnsi="Calibri"/>
          <w:sz w:val="22"/>
        </w:rPr>
        <w:t>**Liver**: Based on the gene expression patterns and literature evidence, the liver is likely to be one of the most affected organs due to high levels of oxidative stress markers (SOD1, NQO1) and inflammation (IL1B, NLRP3). The liver's role in detoxification makes it particularly vulnerable to chemical exposures.</w:t>
      </w:r>
    </w:p>
    <w:p>
      <w:pPr>
        <w:pStyle w:val="ListBullet"/>
        <w:spacing w:after="40"/>
      </w:pPr>
      <w:r>
        <w:rPr>
          <w:rFonts w:ascii="Calibri" w:hAnsi="Calibri"/>
          <w:sz w:val="22"/>
        </w:rPr>
        <w:t>**Kidney**: Similar to the liver, the kidney shows increased expression of genes involved in oxidative stress and inflammation. Additionally, there is evidence from literature that renal toxicity can be induced by similar mechanisms (e.g., p53 activation alleviating acetaminophen-induced hepatotoxicity).</w:t>
      </w:r>
    </w:p>
    <w:p>
      <w:pPr>
        <w:pStyle w:val="ListBullet"/>
        <w:spacing w:after="40"/>
      </w:pPr>
      <w:r>
        <w:rPr>
          <w:rFonts w:ascii="Calibri" w:hAnsi="Calibri"/>
          <w:sz w:val="22"/>
        </w:rPr>
        <w:t>**Heart**: The heart exhibits upregulation of inflammatory markers and cell death pathways, indicating potential cardiac damage. Literature supports the role of NLRP3 in myocardial infarction.</w:t>
      </w:r>
    </w:p>
    <w:p>
      <w:pPr>
        <w:pStyle w:val="ListBullet"/>
        <w:spacing w:after="40"/>
      </w:pPr>
      <w:r>
        <w:rPr>
          <w:rFonts w:ascii="Calibri" w:hAnsi="Calibri"/>
          <w:sz w:val="22"/>
        </w:rPr>
        <w:t>**Brain**: Increased oxidative stress and inflammation in brain tissue can lead to neurodegeneration. Genes like KEAP1 and NRF2 are crucial for maintaining redox homeostasis in neurons.</w:t>
      </w:r>
    </w:p>
    <w:p>
      <w:pPr>
        <w:pStyle w:val="Heading3"/>
      </w:pPr>
      <w:r>
        <w:t>3. Mechanism of Action</w:t>
      </w:r>
    </w:p>
    <w:p>
      <w:pPr>
        <w:spacing w:after="120"/>
      </w:pPr>
      <w:r>
        <w:rPr>
          <w:rFonts w:ascii="Calibri" w:hAnsi="Calibri"/>
          <w:b w:val="0"/>
          <w:i w:val="0"/>
          <w:sz w:val="22"/>
        </w:rPr>
        <w:t>#### Molecular Initiating Event (MIE):</w:t>
      </w:r>
    </w:p>
    <w:p>
      <w:pPr>
        <w:spacing w:after="120"/>
      </w:pPr>
      <w:r>
        <w:rPr>
          <w:rFonts w:ascii="Calibri" w:hAnsi="Calibri"/>
          <w:b w:val="0"/>
          <w:i w:val="0"/>
          <w:sz w:val="22"/>
        </w:rPr>
        <w:t>The molecular initiating event is likely the generation of reactive oxygen species (ROS) due to exposure, leading to oxidative stress.</w:t>
      </w:r>
    </w:p>
    <w:p>
      <w:pPr>
        <w:spacing w:after="120"/>
      </w:pPr>
      <w:r>
        <w:rPr>
          <w:rFonts w:ascii="Calibri" w:hAnsi="Calibri"/>
          <w:b w:val="0"/>
          <w:i w:val="0"/>
          <w:sz w:val="22"/>
        </w:rPr>
        <w:t>#### Key Events:</w:t>
      </w:r>
    </w:p>
    <w:p>
      <w:pPr>
        <w:pStyle w:val="ListBullet"/>
        <w:spacing w:after="40"/>
      </w:pPr>
      <w:r>
        <w:rPr>
          <w:rFonts w:ascii="Calibri" w:hAnsi="Calibri"/>
          <w:sz w:val="22"/>
        </w:rPr>
        <w:t>**Oxidative Stress**: Increased ROS levels trigger activation of the NRF2 pathway and upregulation of antioxidant enzymes.</w:t>
      </w:r>
    </w:p>
    <w:p>
      <w:pPr>
        <w:pStyle w:val="ListBullet"/>
        <w:spacing w:after="40"/>
      </w:pPr>
      <w:r>
        <w:rPr>
          <w:rFonts w:ascii="Calibri" w:hAnsi="Calibri"/>
          <w:sz w:val="22"/>
        </w:rPr>
        <w:t>**Inflammation**: Persistent oxidative stress leads to activation of inflammatory pathways such as NLRP3 inflammasome.</w:t>
      </w:r>
    </w:p>
    <w:p>
      <w:pPr>
        <w:pStyle w:val="ListBullet"/>
        <w:spacing w:after="40"/>
      </w:pPr>
      <w:r>
        <w:rPr>
          <w:rFonts w:ascii="Calibri" w:hAnsi="Calibri"/>
          <w:sz w:val="22"/>
        </w:rPr>
        <w:t>**Cell Death**: Inflammatory responses and continued oxidative stress result in apoptosis via caspase activation.</w:t>
      </w:r>
    </w:p>
    <w:p>
      <w:pPr>
        <w:pStyle w:val="Heading3"/>
      </w:pPr>
      <w:r>
        <w:t>4. Protective vs. Adverse Responses</w:t>
      </w:r>
    </w:p>
    <w:p>
      <w:pPr>
        <w:spacing w:after="120"/>
      </w:pPr>
      <w:r>
        <w:rPr>
          <w:rFonts w:ascii="Calibri" w:hAnsi="Calibri"/>
          <w:b w:val="0"/>
          <w:i w:val="0"/>
          <w:sz w:val="22"/>
        </w:rPr>
        <w:t>#### Adaptive/Protective Responses:</w:t>
      </w:r>
    </w:p>
    <w:p>
      <w:pPr>
        <w:spacing w:after="120"/>
      </w:pPr>
      <w:r>
        <w:rPr>
          <w:rFonts w:ascii="Calibri" w:hAnsi="Calibri"/>
          <w:b w:val="0"/>
          <w:i w:val="0"/>
          <w:sz w:val="22"/>
        </w:rPr>
        <w:t>At the lower dose levels, there is a significant upregulation of NRF2 pathway genes (NFE2L2, KEAP1), indicating an adaptive response to mitigate oxidative damage and activate antioxidant defenses.</w:t>
      </w:r>
    </w:p>
    <w:p>
      <w:pPr>
        <w:spacing w:after="120"/>
      </w:pPr>
      <w:r>
        <w:rPr>
          <w:rFonts w:ascii="Calibri" w:hAnsi="Calibri"/>
          <w:b w:val="0"/>
          <w:i w:val="0"/>
          <w:sz w:val="22"/>
        </w:rPr>
        <w:t>#### Damage-Indicating Responses:</w:t>
      </w:r>
    </w:p>
    <w:p>
      <w:pPr>
        <w:spacing w:after="120"/>
      </w:pPr>
      <w:r>
        <w:rPr>
          <w:rFonts w:ascii="Calibri" w:hAnsi="Calibri"/>
          <w:b w:val="0"/>
          <w:i w:val="0"/>
          <w:sz w:val="22"/>
        </w:rPr>
        <w:t>As the dose increases, the balance shifts towards adverse responses. At intermediate doses, inflammatory markers like IL1B are elevated, suggesting early signs of tissue damage. By the highest dose level, there is significant upregulation of cell death pathways (CASP3) and continued oxidative stress markers (SOD1), indicating irreversible cellular damage.</w:t>
      </w:r>
    </w:p>
    <w:p>
      <w:pPr>
        <w:spacing w:after="120"/>
      </w:pPr>
      <w:r>
        <w:rPr>
          <w:rFonts w:ascii="Calibri" w:hAnsi="Calibri"/>
          <w:b w:val="0"/>
          <w:i w:val="0"/>
          <w:sz w:val="22"/>
        </w:rPr>
        <w:t>#### Transition Point:</w:t>
      </w:r>
    </w:p>
    <w:p>
      <w:pPr>
        <w:spacing w:after="120"/>
      </w:pPr>
      <w:r>
        <w:rPr>
          <w:rFonts w:ascii="Calibri" w:hAnsi="Calibri"/>
          <w:b w:val="0"/>
          <w:i w:val="0"/>
          <w:sz w:val="22"/>
        </w:rPr>
        <w:t>The transition from adaptive to adverse responses likely occurs around the intermediate dose level (5 mg/kg). At this point, while NRF2 pathway remains active, it becomes overwhelmed by persistent ROS generation leading to sustained inflammation and cell death.</w:t>
      </w:r>
    </w:p>
    <w:p>
      <w:pPr>
        <w:pStyle w:val="Heading3"/>
      </w:pPr>
      <w:r>
        <w:t>5. Literature Support</w:t>
      </w:r>
    </w:p>
    <w:p>
      <w:pPr>
        <w:pStyle w:val="ListBullet"/>
        <w:spacing w:after="40"/>
      </w:pPr>
      <w:r>
        <w:rPr>
          <w:rFonts w:ascii="Calibri" w:hAnsi="Calibri"/>
          <w:sz w:val="22"/>
        </w:rPr>
        <w:t>**NRF2 Pathway Activation**: An Overview of Nrf2–Keap1 Signaling Pathway in Cancer (2013) supports the role of NRF2 activation as a protective mechanism against oxidative stress.</w:t>
      </w:r>
    </w:p>
    <w:p>
      <w:pPr>
        <w:pStyle w:val="ListBullet"/>
        <w:spacing w:after="40"/>
      </w:pPr>
      <w:r>
        <w:rPr>
          <w:rFonts w:ascii="Calibri" w:hAnsi="Calibri"/>
          <w:sz w:val="22"/>
        </w:rPr>
        <w:t>**Inflammation and Cell Death**: ROS Generation in Microglia: Understanding Oxidative Stress and Inflammation in Neurodegenerative Disease (2020) highlights the progression from oxidative stress to inflammation and cell death via NLRP3 inflammasome activation.</w:t>
      </w:r>
    </w:p>
    <w:p>
      <w:pPr>
        <w:pStyle w:val="ListBullet"/>
        <w:spacing w:after="40"/>
      </w:pPr>
      <w:r>
        <w:rPr>
          <w:rFonts w:ascii="Calibri" w:hAnsi="Calibri"/>
          <w:sz w:val="22"/>
        </w:rPr>
        <w:t>**Organ-Specific Toxicity**: Reactive Oxygen Species, Toxicity, Oxidative Stress, and Antioxidants: Chronic Diseases and Aging (2023) provides evidence for organ-specific toxicity patterns based on gene expression changes.</w:t>
      </w:r>
    </w:p>
    <w:p>
      <w:pPr>
        <w:pStyle w:val="Heading3"/>
      </w:pPr>
      <w:r>
        <w:t>6. Confidence Assessment</w:t>
      </w:r>
    </w:p>
    <w:p>
      <w:pPr>
        <w:spacing w:after="120"/>
      </w:pPr>
      <w:r>
        <w:rPr>
          <w:rFonts w:ascii="Calibri" w:hAnsi="Calibri"/>
          <w:b w:val="0"/>
          <w:i w:val="0"/>
          <w:sz w:val="22"/>
        </w:rPr>
        <w:t>#### High Confidence:</w:t>
      </w:r>
    </w:p>
    <w:p>
      <w:pPr>
        <w:pStyle w:val="ListBullet"/>
        <w:spacing w:after="40"/>
      </w:pPr>
      <w:r>
        <w:rPr>
          <w:rFonts w:ascii="Calibri" w:hAnsi="Calibri"/>
          <w:sz w:val="22"/>
        </w:rPr>
        <w:t>The role of NRF2 pathway in oxidative stress defense is well-supported by literature.</w:t>
      </w:r>
    </w:p>
    <w:p>
      <w:pPr>
        <w:pStyle w:val="ListBullet"/>
        <w:spacing w:after="40"/>
      </w:pPr>
      <w:r>
        <w:rPr>
          <w:rFonts w:ascii="Calibri" w:hAnsi="Calibri"/>
          <w:sz w:val="22"/>
        </w:rPr>
        <w:t>The progression from oxidative stress to inflammation and cell death via NLRP3 inflammasome activation has strong empirical support.</w:t>
      </w:r>
    </w:p>
    <w:p>
      <w:pPr>
        <w:spacing w:after="120"/>
      </w:pPr>
      <w:r>
        <w:rPr>
          <w:rFonts w:ascii="Calibri" w:hAnsi="Calibri"/>
          <w:b w:val="0"/>
          <w:i w:val="0"/>
          <w:sz w:val="22"/>
        </w:rPr>
        <w:t>#### Moderate Confidence:</w:t>
      </w:r>
    </w:p>
    <w:p>
      <w:pPr>
        <w:pStyle w:val="ListBullet"/>
        <w:spacing w:after="40"/>
      </w:pPr>
      <w:r>
        <w:rPr>
          <w:rFonts w:ascii="Calibri" w:hAnsi="Calibri"/>
          <w:sz w:val="22"/>
        </w:rPr>
        <w:t>Transition point between adaptive and adverse responses may vary based on individual variability, but the general trend is supported by multiple studies.</w:t>
      </w:r>
    </w:p>
    <w:p>
      <w:pPr>
        <w:pStyle w:val="ListBullet"/>
        <w:spacing w:after="40"/>
      </w:pPr>
      <w:r>
        <w:rPr>
          <w:rFonts w:ascii="Calibri" w:hAnsi="Calibri"/>
          <w:sz w:val="22"/>
        </w:rPr>
        <w:t>Organ-specific toxicity patterns are consistent with literature findings but require further validation in specific contexts.</w:t>
      </w:r>
    </w:p>
    <w:p>
      <w:pPr>
        <w:spacing w:after="120"/>
      </w:pPr>
      <w:r>
        <w:rPr>
          <w:rFonts w:ascii="Calibri" w:hAnsi="Calibri"/>
          <w:b w:val="0"/>
          <w:i w:val="0"/>
          <w:sz w:val="22"/>
        </w:rPr>
        <w:t>#### Low Confidence:</w:t>
      </w:r>
    </w:p>
    <w:p>
      <w:pPr>
        <w:pStyle w:val="ListBullet"/>
        <w:spacing w:after="40"/>
      </w:pPr>
      <w:r>
        <w:rPr>
          <w:rFonts w:ascii="Calibri" w:hAnsi="Calibri"/>
          <w:sz w:val="22"/>
        </w:rPr>
        <w:t>Novel findings such as precise dose-response relationships for each organ need more empirical evidence to be fully validated.</w:t>
      </w:r>
    </w:p>
    <w:p>
      <w:pPr>
        <w:pStyle w:val="Heading1"/>
      </w:pPr>
      <w:r>
        <w:t>Run 2 (71.6s)</w:t>
      </w:r>
    </w:p>
    <w:p>
      <w:pPr>
        <w:pStyle w:val="Heading3"/>
      </w:pPr>
      <w:r>
        <w:t>1. Biological Response Narrative</w:t>
      </w:r>
    </w:p>
    <w:p>
      <w:pPr>
        <w:spacing w:after="120"/>
      </w:pPr>
      <w:r>
        <w:rPr>
          <w:rFonts w:ascii="Calibri" w:hAnsi="Calibri"/>
          <w:b w:val="0"/>
          <w:i w:val="0"/>
          <w:sz w:val="22"/>
        </w:rPr>
        <w:t>#### Dose Level: Low</w:t>
      </w:r>
    </w:p>
    <w:p>
      <w:pPr>
        <w:spacing w:after="120"/>
      </w:pPr>
      <w:r>
        <w:rPr>
          <w:rFonts w:ascii="Calibri" w:hAnsi="Calibri"/>
          <w:b w:val="0"/>
          <w:i w:val="0"/>
          <w:sz w:val="22"/>
        </w:rPr>
        <w:t>At low doses, the primary biological processes activated are antioxidant defense mechanisms and cellular stress responses. The expression of genes such as KEAP1, NFE2L2 (NRF2), and HMOX1 is upregulated to mitigate oxidative stress and inflammation. This response likely involves the activation of NRF2, which translocates to the nucleus and induces the transcription of antioxidant enzymes like SOD1 and catalase.</w:t>
      </w:r>
    </w:p>
    <w:p>
      <w:pPr>
        <w:spacing w:after="120"/>
      </w:pPr>
      <w:r>
        <w:rPr>
          <w:rFonts w:ascii="Calibri" w:hAnsi="Calibri"/>
          <w:b w:val="0"/>
          <w:i w:val="0"/>
          <w:sz w:val="22"/>
        </w:rPr>
        <w:t>#### Dose Level: Moderate</w:t>
      </w:r>
    </w:p>
    <w:p>
      <w:pPr>
        <w:spacing w:after="120"/>
      </w:pPr>
      <w:r>
        <w:rPr>
          <w:rFonts w:ascii="Calibri" w:hAnsi="Calibri"/>
          <w:b w:val="0"/>
          <w:i w:val="0"/>
          <w:sz w:val="22"/>
        </w:rPr>
        <w:t>As doses increase, there is a continuation of the adaptive responses seen at low levels but with an intensification. Additionally, there may be early signs of inflammation and cell cycle regulation changes. Genes such as IL1B and NLRP3 show increased expression, indicating activation of pro-inflammatory pathways. This suggests that while NRF2-mediated antioxidant defenses are still active, they are being challenged by increasing cellular stress.</w:t>
      </w:r>
    </w:p>
    <w:p>
      <w:pPr>
        <w:spacing w:after="120"/>
      </w:pPr>
      <w:r>
        <w:rPr>
          <w:rFonts w:ascii="Calibri" w:hAnsi="Calibri"/>
          <w:b w:val="0"/>
          <w:i w:val="0"/>
          <w:sz w:val="22"/>
        </w:rPr>
        <w:t>#### Dose Level: High</w:t>
      </w:r>
    </w:p>
    <w:p>
      <w:pPr>
        <w:spacing w:after="120"/>
      </w:pPr>
      <w:r>
        <w:rPr>
          <w:rFonts w:ascii="Calibri" w:hAnsi="Calibri"/>
          <w:b w:val="0"/>
          <w:i w:val="0"/>
          <w:sz w:val="22"/>
        </w:rPr>
        <w:t>At high doses, the biological response shifts from adaptive to adverse. There is a significant upregulation of genes involved in apoptosis (CASP3), cell cycle arrest (TP53), and fibrosis (TGFB1). The expression of pro-inflammatory cytokines like IL6 and TNFα may also be elevated. This indicates that cellular damage has surpassed the capacity for adaptive responses, leading to necrotic or apoptotic cell death.</w:t>
      </w:r>
    </w:p>
    <w:p>
      <w:pPr>
        <w:pStyle w:val="Heading3"/>
      </w:pPr>
      <w:r>
        <w:t>2. Organ-Level Prediction</w:t>
      </w:r>
    </w:p>
    <w:p>
      <w:pPr>
        <w:spacing w:after="120"/>
      </w:pPr>
      <w:r>
        <w:rPr>
          <w:rFonts w:ascii="Calibri" w:hAnsi="Calibri"/>
          <w:b w:val="0"/>
          <w:i w:val="0"/>
          <w:sz w:val="22"/>
        </w:rPr>
        <w:t>#### Most Affected Organs</w:t>
      </w:r>
    </w:p>
    <w:p>
      <w:pPr>
        <w:spacing w:after="120"/>
      </w:pPr>
      <w:r>
        <w:rPr>
          <w:rFonts w:ascii="Calibri" w:hAnsi="Calibri"/>
          <w:b w:val="0"/>
          <w:i w:val="0"/>
          <w:sz w:val="22"/>
        </w:rPr>
        <w:t>Based on gene expression patterns, organ-specific annotations, and literature evidence, the following organs are most likely affected:</w:t>
      </w:r>
    </w:p>
    <w:p>
      <w:pPr>
        <w:pStyle w:val="ListBullet"/>
        <w:spacing w:after="40"/>
      </w:pPr>
      <w:r>
        <w:rPr>
          <w:rFonts w:ascii="Calibri" w:hAnsi="Calibri"/>
          <w:sz w:val="22"/>
        </w:rPr>
        <w:t>**Liver**: Genes like KEAP1, NFE2L2, HMOX1, SOD1, and TGFB1 show significant upregulation in liver toxicity studies. NRF2 activation is a key defense mechanism against oxidative stress and inflammation.</w:t>
      </w:r>
    </w:p>
    <w:p>
      <w:pPr>
        <w:pStyle w:val="ListBullet"/>
        <w:spacing w:after="40"/>
      </w:pPr>
      <w:r>
        <w:rPr>
          <w:rFonts w:ascii="Calibri" w:hAnsi="Calibri"/>
          <w:sz w:val="22"/>
        </w:rPr>
        <w:t>**Kidney**: Similar to the liver, the kidney shows upregulation of KEAP1, NFE2L2, HMOX1, and SOD1 genes, indicating antioxidant responses. Additionally, TGFB1 and CASP3 are involved in fibrosis and apoptosis.</w:t>
      </w:r>
    </w:p>
    <w:p>
      <w:pPr>
        <w:pStyle w:val="ListBullet"/>
        <w:spacing w:after="40"/>
      </w:pPr>
      <w:r>
        <w:rPr>
          <w:rFonts w:ascii="Calibri" w:hAnsi="Calibri"/>
          <w:sz w:val="22"/>
        </w:rPr>
        <w:t>**Heart**: Genes like STAT3, IL6, TNFα, and CASP3 indicate inflammation and cell death pathways being activated in cardiac tissue. This suggests that the heart is also susceptible to adverse effects at higher doses.</w:t>
      </w:r>
    </w:p>
    <w:p>
      <w:pPr>
        <w:spacing w:after="120"/>
      </w:pPr>
      <w:r>
        <w:rPr>
          <w:rFonts w:ascii="Calibri" w:hAnsi="Calibri"/>
          <w:b w:val="0"/>
          <w:i w:val="0"/>
          <w:sz w:val="22"/>
        </w:rPr>
        <w:t>#### Justification</w:t>
      </w:r>
    </w:p>
    <w:p>
      <w:pPr>
        <w:spacing w:after="120"/>
      </w:pPr>
      <w:r>
        <w:rPr>
          <w:rFonts w:ascii="Calibri" w:hAnsi="Calibri"/>
          <w:b w:val="0"/>
          <w:i w:val="0"/>
          <w:sz w:val="22"/>
        </w:rPr>
        <w:t>The liver and kidney have extensive NRF2-mediated antioxidant defense systems, which are critical for handling oxidative stress and detoxifying xenobiotics. The heart shows increased expression of inflammatory markers and apoptotic genes, indicating a shift towards damage rather than adaptation.</w:t>
      </w:r>
    </w:p>
    <w:p>
      <w:pPr>
        <w:pStyle w:val="Heading3"/>
      </w:pPr>
      <w:r>
        <w:t>3. Mechanism of Action</w:t>
      </w:r>
    </w:p>
    <w:p>
      <w:pPr>
        <w:spacing w:after="120"/>
      </w:pPr>
      <w:r>
        <w:rPr>
          <w:rFonts w:ascii="Calibri" w:hAnsi="Calibri"/>
          <w:b w:val="0"/>
          <w:i w:val="0"/>
          <w:sz w:val="22"/>
        </w:rPr>
        <w:t>#### Molecular Initiating Event (MIE)</w:t>
      </w:r>
    </w:p>
    <w:p>
      <w:pPr>
        <w:spacing w:after="120"/>
      </w:pPr>
      <w:r>
        <w:rPr>
          <w:rFonts w:ascii="Calibri" w:hAnsi="Calibri"/>
          <w:b w:val="0"/>
          <w:i w:val="0"/>
          <w:sz w:val="22"/>
        </w:rPr>
        <w:t>The MIE is likely the generation of reactive oxygen species (ROS) leading to oxidative stress. This triggers the activation of KEAP1-NRF2 signaling pathways to induce antioxidant enzymes and detoxification proteins.</w:t>
      </w:r>
    </w:p>
    <w:p>
      <w:pPr>
        <w:spacing w:after="120"/>
      </w:pPr>
      <w:r>
        <w:rPr>
          <w:rFonts w:ascii="Calibri" w:hAnsi="Calibri"/>
          <w:b w:val="0"/>
          <w:i w:val="0"/>
          <w:sz w:val="22"/>
        </w:rPr>
        <w:t>#### Key Events in Adverse Outcome Pathway</w:t>
      </w:r>
    </w:p>
    <w:p>
      <w:pPr>
        <w:pStyle w:val="ListBullet"/>
        <w:spacing w:after="40"/>
      </w:pPr>
      <w:r>
        <w:rPr>
          <w:rFonts w:ascii="Calibri" w:hAnsi="Calibri"/>
          <w:sz w:val="22"/>
        </w:rPr>
        <w:t>**Activation of NRF2**: Upregulation of HMOX1, SOD1, and other antioxidant genes.</w:t>
      </w:r>
    </w:p>
    <w:p>
      <w:pPr>
        <w:pStyle w:val="ListBullet"/>
        <w:spacing w:after="40"/>
      </w:pPr>
      <w:r>
        <w:rPr>
          <w:rFonts w:ascii="Calibri" w:hAnsi="Calibri"/>
          <w:sz w:val="22"/>
        </w:rPr>
        <w:t>**Inflammation**: Increased expression of IL1B, NLRP3, and pro-inflammatory cytokines (IL6, TNFα).</w:t>
      </w:r>
    </w:p>
    <w:p>
      <w:pPr>
        <w:pStyle w:val="ListBullet"/>
        <w:spacing w:after="40"/>
      </w:pPr>
      <w:r>
        <w:rPr>
          <w:rFonts w:ascii="Calibri" w:hAnsi="Calibri"/>
          <w:sz w:val="22"/>
        </w:rPr>
        <w:t>**Cellular Damage**: Apoptosis via CASP3 activation and cell cycle arrest through TP53.</w:t>
      </w:r>
    </w:p>
    <w:p>
      <w:pPr>
        <w:pStyle w:val="ListBullet"/>
        <w:spacing w:after="40"/>
      </w:pPr>
      <w:r>
        <w:rPr>
          <w:rFonts w:ascii="Calibri" w:hAnsi="Calibri"/>
          <w:sz w:val="22"/>
        </w:rPr>
        <w:t>**Fibrosis**: TGFB1 upregulation leading to extracellular matrix deposition.</w:t>
      </w:r>
    </w:p>
    <w:p>
      <w:pPr>
        <w:pStyle w:val="Heading3"/>
      </w:pPr>
      <w:r>
        <w:t>4. Protective vs. Adverse Responses</w:t>
      </w:r>
    </w:p>
    <w:p>
      <w:pPr>
        <w:spacing w:after="120"/>
      </w:pPr>
      <w:r>
        <w:rPr>
          <w:rFonts w:ascii="Calibri" w:hAnsi="Calibri"/>
          <w:b w:val="0"/>
          <w:i w:val="0"/>
          <w:sz w:val="22"/>
        </w:rPr>
        <w:t>#### Adaptive/Protective Responses</w:t>
      </w:r>
    </w:p>
    <w:p>
      <w:pPr>
        <w:spacing w:after="120"/>
      </w:pPr>
      <w:r>
        <w:rPr>
          <w:rFonts w:ascii="Calibri" w:hAnsi="Calibri"/>
          <w:b w:val="0"/>
          <w:i w:val="0"/>
          <w:sz w:val="22"/>
        </w:rPr>
        <w:t>At low doses, the primary responses are:</w:t>
      </w:r>
    </w:p>
    <w:p>
      <w:pPr>
        <w:pStyle w:val="ListBullet"/>
        <w:spacing w:after="40"/>
      </w:pPr>
      <w:r>
        <w:rPr>
          <w:rFonts w:ascii="Calibri" w:hAnsi="Calibri"/>
          <w:sz w:val="22"/>
        </w:rPr>
        <w:t>NRF2-mediated antioxidant defense (KEAP1, NFE2L2, HMOX1).</w:t>
      </w:r>
    </w:p>
    <w:p>
      <w:pPr>
        <w:pStyle w:val="ListBullet"/>
        <w:spacing w:after="40"/>
      </w:pPr>
      <w:r>
        <w:rPr>
          <w:rFonts w:ascii="Calibri" w:hAnsi="Calibri"/>
          <w:sz w:val="22"/>
        </w:rPr>
        <w:t>DNA repair and cell cycle regulation.</w:t>
      </w:r>
    </w:p>
    <w:p>
      <w:pPr>
        <w:pStyle w:val="ListBullet"/>
        <w:spacing w:after="40"/>
      </w:pPr>
      <w:r>
        <w:rPr>
          <w:rFonts w:ascii="Calibri" w:hAnsi="Calibri"/>
          <w:sz w:val="22"/>
        </w:rPr>
        <w:t>UPR activation to manage endoplasmic reticulum stress.</w:t>
      </w:r>
    </w:p>
    <w:p>
      <w:pPr>
        <w:spacing w:after="120"/>
      </w:pPr>
      <w:r>
        <w:rPr>
          <w:rFonts w:ascii="Calibri" w:hAnsi="Calibri"/>
          <w:b w:val="0"/>
          <w:i w:val="0"/>
          <w:sz w:val="22"/>
        </w:rPr>
        <w:t>These adaptive responses likely occur up to a moderate dose level where inflammation begins but is still manageable.</w:t>
      </w:r>
    </w:p>
    <w:p>
      <w:pPr>
        <w:spacing w:after="120"/>
      </w:pPr>
      <w:r>
        <w:rPr>
          <w:rFonts w:ascii="Calibri" w:hAnsi="Calibri"/>
          <w:b w:val="0"/>
          <w:i w:val="0"/>
          <w:sz w:val="22"/>
        </w:rPr>
        <w:t>#### Adverse Responses</w:t>
      </w:r>
    </w:p>
    <w:p>
      <w:pPr>
        <w:spacing w:after="120"/>
      </w:pPr>
      <w:r>
        <w:rPr>
          <w:rFonts w:ascii="Calibri" w:hAnsi="Calibri"/>
          <w:b w:val="0"/>
          <w:i w:val="0"/>
          <w:sz w:val="22"/>
        </w:rPr>
        <w:t>At high doses:</w:t>
      </w:r>
    </w:p>
    <w:p>
      <w:pPr>
        <w:pStyle w:val="ListBullet"/>
        <w:spacing w:after="40"/>
      </w:pPr>
      <w:r>
        <w:rPr>
          <w:rFonts w:ascii="Calibri" w:hAnsi="Calibri"/>
          <w:sz w:val="22"/>
        </w:rPr>
        <w:t>Apoptosis (CASP3, TP53).</w:t>
      </w:r>
    </w:p>
    <w:p>
      <w:pPr>
        <w:pStyle w:val="ListBullet"/>
        <w:spacing w:after="40"/>
      </w:pPr>
      <w:r>
        <w:rPr>
          <w:rFonts w:ascii="Calibri" w:hAnsi="Calibri"/>
          <w:sz w:val="22"/>
        </w:rPr>
        <w:t>Fibrosis (TGFB1).</w:t>
      </w:r>
    </w:p>
    <w:p>
      <w:pPr>
        <w:pStyle w:val="ListBullet"/>
        <w:spacing w:after="40"/>
      </w:pPr>
      <w:r>
        <w:rPr>
          <w:rFonts w:ascii="Calibri" w:hAnsi="Calibri"/>
          <w:sz w:val="22"/>
        </w:rPr>
        <w:t>Inflammation (IL6, TNFα).</w:t>
      </w:r>
    </w:p>
    <w:p>
      <w:pPr>
        <w:spacing w:after="120"/>
      </w:pPr>
      <w:r>
        <w:rPr>
          <w:rFonts w:ascii="Calibri" w:hAnsi="Calibri"/>
          <w:b w:val="0"/>
          <w:i w:val="0"/>
          <w:sz w:val="22"/>
        </w:rPr>
        <w:t>The transition from adaptive to adverse responses likely occurs at the moderate dose level, where inflammation and cell cycle arrest become more pronounced.</w:t>
      </w:r>
    </w:p>
    <w:p>
      <w:pPr>
        <w:pStyle w:val="Heading3"/>
      </w:pPr>
      <w:r>
        <w:t>5. Literature Support</w:t>
      </w:r>
    </w:p>
    <w:p>
      <w:pPr>
        <w:spacing w:after="120"/>
      </w:pPr>
      <w:r>
        <w:rPr>
          <w:rFonts w:ascii="Calibri" w:hAnsi="Calibri"/>
          <w:b w:val="0"/>
          <w:i w:val="0"/>
          <w:sz w:val="22"/>
        </w:rPr>
        <w:t>#### Major Conclusions</w:t>
      </w:r>
    </w:p>
    <w:p>
      <w:pPr>
        <w:pStyle w:val="ListBullet"/>
        <w:spacing w:after="40"/>
      </w:pPr>
      <w:r>
        <w:rPr>
          <w:rFonts w:ascii="Calibri" w:hAnsi="Calibri"/>
          <w:sz w:val="22"/>
        </w:rPr>
        <w:t>**Antioxidant Defense**: The upregulation of NRF2 pathway genes is supported by literature on KEAP1-NRF2 signaling (The KEAP1-NRF2 System: a Thiol-Based Sensor-Effector Apparatus for Maintaining Redox Homeostasis, 2018).</w:t>
      </w:r>
    </w:p>
    <w:p>
      <w:pPr>
        <w:pStyle w:val="ListBullet"/>
        <w:spacing w:after="40"/>
      </w:pPr>
      <w:r>
        <w:rPr>
          <w:rFonts w:ascii="Calibri" w:hAnsi="Calibri"/>
          <w:sz w:val="22"/>
        </w:rPr>
        <w:t>**Inflammation and Fibrosis**: Increased expression of IL6, TNFα, and TGFB1 is consistent with studies on inflammation and fibrogenesis in liver toxicity (Signaling pathways and targeted therapy for myocardial infarction, 2022).</w:t>
      </w:r>
    </w:p>
    <w:p>
      <w:pPr>
        <w:spacing w:after="120"/>
      </w:pPr>
      <w:r>
        <w:rPr>
          <w:rFonts w:ascii="Calibri" w:hAnsi="Calibri"/>
          <w:b w:val="0"/>
          <w:i w:val="0"/>
          <w:sz w:val="22"/>
        </w:rPr>
        <w:t>#### Specific Papers</w:t>
      </w:r>
    </w:p>
    <w:p>
      <w:pPr>
        <w:pStyle w:val="ListBullet"/>
        <w:spacing w:after="40"/>
      </w:pPr>
      <w:r>
        <w:rPr>
          <w:rFonts w:ascii="Calibri" w:hAnsi="Calibri"/>
          <w:sz w:val="22"/>
        </w:rPr>
        <w:t>**KEAP1-NRF2 System**: The KEAP1-NRF2 System: a Thiol-Based Sensor-Effector Apparatus for Maintaining Redox Homeostasis. (2018)</w:t>
      </w:r>
    </w:p>
    <w:p>
      <w:pPr>
        <w:pStyle w:val="ListBullet"/>
        <w:spacing w:after="40"/>
      </w:pPr>
      <w:r>
        <w:rPr>
          <w:rFonts w:ascii="Calibri" w:hAnsi="Calibri"/>
          <w:sz w:val="22"/>
        </w:rPr>
        <w:t>**Nrf2 in Cancer**: The emerging role of the Nrf2–Keap1 signaling pathway in cancer (2013)</w:t>
      </w:r>
    </w:p>
    <w:p>
      <w:pPr>
        <w:pStyle w:val="ListBullet"/>
        <w:spacing w:after="40"/>
      </w:pPr>
      <w:r>
        <w:rPr>
          <w:rFonts w:ascii="Calibri" w:hAnsi="Calibri"/>
          <w:sz w:val="22"/>
        </w:rPr>
        <w:t>**ROS and Inflammation**: ROS Generation in Microglia: Understanding Oxidative Stress and Inflammation in Neurodegenerative Disease (2020)</w:t>
      </w:r>
    </w:p>
    <w:p>
      <w:pPr>
        <w:pStyle w:val="Heading3"/>
      </w:pPr>
      <w:r>
        <w:t>6. Confidence Assessment</w:t>
      </w:r>
    </w:p>
    <w:p>
      <w:pPr>
        <w:spacing w:after="120"/>
      </w:pPr>
      <w:r>
        <w:rPr>
          <w:rFonts w:ascii="Calibri" w:hAnsi="Calibri"/>
          <w:b w:val="0"/>
          <w:i w:val="0"/>
          <w:sz w:val="22"/>
        </w:rPr>
        <w:t>#### High Confidence</w:t>
      </w:r>
    </w:p>
    <w:p>
      <w:pPr>
        <w:pStyle w:val="ListBullet"/>
        <w:spacing w:after="40"/>
      </w:pPr>
      <w:r>
        <w:rPr>
          <w:rFonts w:ascii="Calibri" w:hAnsi="Calibri"/>
          <w:sz w:val="22"/>
        </w:rPr>
        <w:t>NRF2-mediated antioxidant defense mechanisms are well-supported by literature.</w:t>
      </w:r>
    </w:p>
    <w:p>
      <w:pPr>
        <w:pStyle w:val="ListBullet"/>
        <w:spacing w:after="40"/>
      </w:pPr>
      <w:r>
        <w:rPr>
          <w:rFonts w:ascii="Calibri" w:hAnsi="Calibri"/>
          <w:sz w:val="22"/>
        </w:rPr>
        <w:t>The role of KEAP1, NFE2L2, HMOX1, SOD1, IL1B, and TGFB1 in liver and kidney toxicity is extensively studied.</w:t>
      </w:r>
    </w:p>
    <w:p>
      <w:pPr>
        <w:spacing w:after="120"/>
      </w:pPr>
      <w:r>
        <w:rPr>
          <w:rFonts w:ascii="Calibri" w:hAnsi="Calibri"/>
          <w:b w:val="0"/>
          <w:i w:val="0"/>
          <w:sz w:val="22"/>
        </w:rPr>
        <w:t>#### Moderate to Low Confidence</w:t>
      </w:r>
    </w:p>
    <w:p>
      <w:pPr>
        <w:pStyle w:val="ListBullet"/>
        <w:spacing w:after="40"/>
      </w:pPr>
      <w:r>
        <w:rPr>
          <w:rFonts w:ascii="Calibri" w:hAnsi="Calibri"/>
          <w:sz w:val="22"/>
        </w:rPr>
        <w:t>Specific dose-response relationships for transition from adaptive to adverse responses require further experimental validation.</w:t>
      </w:r>
    </w:p>
    <w:p>
      <w:pPr>
        <w:pStyle w:val="ListBullet"/>
        <w:spacing w:after="40"/>
      </w:pPr>
      <w:r>
        <w:rPr>
          <w:rFonts w:ascii="Calibri" w:hAnsi="Calibri"/>
          <w:sz w:val="22"/>
        </w:rPr>
        <w:t>Novel findings such as the precise timing of CASP3 activation and TP53-mediated cell cycle arrest need more empirical evidence.</w:t>
      </w:r>
    </w:p>
    <w:p>
      <w:pPr>
        <w:spacing w:after="120"/>
      </w:pPr>
      <w:r>
        <w:rPr>
          <w:rFonts w:ascii="Calibri" w:hAnsi="Calibri"/>
          <w:b w:val="0"/>
          <w:i w:val="0"/>
          <w:sz w:val="22"/>
        </w:rPr>
        <w:t>#### Novel Findings</w:t>
      </w:r>
    </w:p>
    <w:p>
      <w:pPr>
        <w:pStyle w:val="ListBullet"/>
        <w:spacing w:after="40"/>
      </w:pPr>
      <w:r>
        <w:rPr>
          <w:rFonts w:ascii="Calibri" w:hAnsi="Calibri"/>
          <w:sz w:val="22"/>
        </w:rPr>
        <w:t>The exact threshold at which NRF2-mediated defenses become overwhelmed by oxidative stress leading to apoptosis is not well-documented in literature, requiring additional research.</w:t>
      </w:r>
    </w:p>
    <w:p>
      <w:pPr>
        <w:pStyle w:val="Heading1"/>
      </w:pPr>
      <w:r>
        <w:t>Run 3 (71.7s)</w:t>
      </w:r>
    </w:p>
    <w:p>
      <w:pPr>
        <w:pStyle w:val="Heading3"/>
      </w:pPr>
      <w:r>
        <w:t>1. Biological Response Narrative</w:t>
      </w:r>
    </w:p>
    <w:p>
      <w:pPr>
        <w:spacing w:after="120"/>
      </w:pPr>
      <w:r>
        <w:rPr>
          <w:rFonts w:ascii="Calibri" w:hAnsi="Calibri"/>
          <w:b w:val="0"/>
          <w:i w:val="0"/>
          <w:sz w:val="22"/>
        </w:rPr>
        <w:t>#### Dose Level: Low to Moderate</w:t>
      </w:r>
    </w:p>
    <w:p>
      <w:pPr>
        <w:spacing w:after="120"/>
      </w:pPr>
      <w:r>
        <w:rPr>
          <w:rFonts w:ascii="Calibri" w:hAnsi="Calibri"/>
          <w:b w:val="0"/>
          <w:i w:val="0"/>
          <w:sz w:val="22"/>
        </w:rPr>
        <w:t>At low and moderate doses, the primary biological response involves activation of adaptive/protective mechanisms aimed at maintaining cellular homeostasis. Key genes such as NFE2L2 (NRF2), KEAP1, SIRT1, and HMOX1 are upregulated, indicating an induction of antioxidant defense systems to mitigate oxidative stress and inflammation.</w:t>
      </w:r>
    </w:p>
    <w:p>
      <w:pPr>
        <w:pStyle w:val="ListBullet"/>
        <w:spacing w:after="40"/>
      </w:pPr>
      <w:r>
        <w:rPr>
          <w:rFonts w:ascii="Calibri" w:hAnsi="Calibri"/>
          <w:sz w:val="22"/>
        </w:rPr>
        <w:t>**Low Dose:**</w:t>
      </w:r>
    </w:p>
    <w:p>
      <w:pPr>
        <w:pStyle w:val="ListBullet"/>
        <w:spacing w:after="40"/>
      </w:pPr>
      <w:r>
        <w:rPr>
          <w:rFonts w:ascii="Calibri" w:hAnsi="Calibri"/>
          <w:sz w:val="22"/>
        </w:rPr>
        <w:t>Upregulation of NRF2 pathway genes (KEAP1, NQO1) suggests activation of the cellular redox balance.</w:t>
      </w:r>
    </w:p>
    <w:p>
      <w:pPr>
        <w:pStyle w:val="ListBullet"/>
        <w:spacing w:after="40"/>
      </w:pPr>
      <w:r>
        <w:rPr>
          <w:rFonts w:ascii="Calibri" w:hAnsi="Calibri"/>
          <w:sz w:val="22"/>
        </w:rPr>
        <w:t>Increased expression of SIRT1 indicates enhanced autophagy and mitochondrial function to cope with metabolic demands.</w:t>
      </w:r>
    </w:p>
    <w:p>
      <w:pPr>
        <w:pStyle w:val="ListBullet"/>
        <w:spacing w:after="40"/>
      </w:pPr>
      <w:r>
        <w:rPr>
          <w:rFonts w:ascii="Calibri" w:hAnsi="Calibri"/>
          <w:sz w:val="22"/>
        </w:rPr>
        <w:t>**Moderate Dose:**</w:t>
      </w:r>
    </w:p>
    <w:p>
      <w:pPr>
        <w:pStyle w:val="ListBullet"/>
        <w:spacing w:after="40"/>
      </w:pPr>
      <w:r>
        <w:rPr>
          <w:rFonts w:ascii="Calibri" w:hAnsi="Calibri"/>
          <w:sz w:val="22"/>
        </w:rPr>
        <w:t>Further upregulation of HMOX1 and other antioxidant enzymes (SOD1, CAT).</w:t>
      </w:r>
    </w:p>
    <w:p>
      <w:pPr>
        <w:pStyle w:val="ListBullet"/>
        <w:spacing w:after="40"/>
      </w:pPr>
      <w:r>
        <w:rPr>
          <w:rFonts w:ascii="Calibri" w:hAnsi="Calibri"/>
          <w:sz w:val="22"/>
        </w:rPr>
        <w:t>Induction of DNA repair pathways (TP53) to address potential genotoxic damage.</w:t>
      </w:r>
    </w:p>
    <w:p>
      <w:pPr>
        <w:spacing w:after="120"/>
      </w:pPr>
      <w:r>
        <w:rPr>
          <w:rFonts w:ascii="Calibri" w:hAnsi="Calibri"/>
          <w:b w:val="0"/>
          <w:i w:val="0"/>
          <w:sz w:val="22"/>
        </w:rPr>
        <w:t>#### Dose Level: High</w:t>
      </w:r>
    </w:p>
    <w:p>
      <w:pPr>
        <w:spacing w:after="120"/>
      </w:pPr>
      <w:r>
        <w:rPr>
          <w:rFonts w:ascii="Calibri" w:hAnsi="Calibri"/>
          <w:b w:val="0"/>
          <w:i w:val="0"/>
          <w:sz w:val="22"/>
        </w:rPr>
        <w:t>At high doses, the adaptive responses are overwhelmed by increased oxidative stress and inflammation. Key genes involved in apoptosis (CASP3), inflammation (IL1B, NLRP3), and fibrosis (TGF-β signaling) show significant upregulation.</w:t>
      </w:r>
    </w:p>
    <w:p>
      <w:pPr>
        <w:pStyle w:val="ListBullet"/>
        <w:spacing w:after="40"/>
      </w:pPr>
      <w:r>
        <w:rPr>
          <w:rFonts w:ascii="Calibri" w:hAnsi="Calibri"/>
          <w:sz w:val="22"/>
        </w:rPr>
        <w:t>**High Dose:**</w:t>
      </w:r>
    </w:p>
    <w:p>
      <w:pPr>
        <w:pStyle w:val="ListBullet"/>
        <w:spacing w:after="40"/>
      </w:pPr>
      <w:r>
        <w:rPr>
          <w:rFonts w:ascii="Calibri" w:hAnsi="Calibri"/>
          <w:sz w:val="22"/>
        </w:rPr>
        <w:t>Marked increase in pro-inflammatory cytokines (IL1B).</w:t>
      </w:r>
    </w:p>
    <w:p>
      <w:pPr>
        <w:pStyle w:val="ListBullet"/>
        <w:spacing w:after="40"/>
      </w:pPr>
      <w:r>
        <w:rPr>
          <w:rFonts w:ascii="Calibri" w:hAnsi="Calibri"/>
          <w:sz w:val="22"/>
        </w:rPr>
        <w:t>Activation of inflammasome pathways (NLRP3).</w:t>
      </w:r>
    </w:p>
    <w:p>
      <w:pPr>
        <w:pStyle w:val="ListBullet"/>
        <w:spacing w:after="40"/>
      </w:pPr>
      <w:r>
        <w:rPr>
          <w:rFonts w:ascii="Calibri" w:hAnsi="Calibri"/>
          <w:sz w:val="22"/>
        </w:rPr>
        <w:t>Induction of apoptosis-related genes (CASP3, BAX).</w:t>
      </w:r>
    </w:p>
    <w:p>
      <w:pPr>
        <w:pStyle w:val="ListBullet"/>
        <w:spacing w:after="40"/>
      </w:pPr>
      <w:r>
        <w:rPr>
          <w:rFonts w:ascii="Calibri" w:hAnsi="Calibri"/>
          <w:sz w:val="22"/>
        </w:rPr>
        <w:t>Upregulation of fibrotic markers (TGF-β signaling).</w:t>
      </w:r>
    </w:p>
    <w:p>
      <w:pPr>
        <w:pStyle w:val="Heading3"/>
      </w:pPr>
      <w:r>
        <w:t>2. Organ-Level Prediction</w:t>
      </w:r>
    </w:p>
    <w:p>
      <w:pPr>
        <w:spacing w:after="120"/>
      </w:pPr>
      <w:r>
        <w:rPr>
          <w:rFonts w:ascii="Calibri" w:hAnsi="Calibri"/>
          <w:b w:val="0"/>
          <w:i w:val="0"/>
          <w:sz w:val="22"/>
        </w:rPr>
        <w:t>Based on the gene expression patterns and organ-specific annotations, several organs are likely affected by this exposure:</w:t>
      </w:r>
    </w:p>
    <w:p>
      <w:pPr>
        <w:spacing w:after="120"/>
      </w:pPr>
      <w:r>
        <w:rPr>
          <w:rFonts w:ascii="Calibri" w:hAnsi="Calibri"/>
          <w:b w:val="0"/>
          <w:i w:val="0"/>
          <w:sz w:val="22"/>
        </w:rPr>
        <w:t>1. **Liver:**</w:t>
      </w:r>
    </w:p>
    <w:p>
      <w:pPr>
        <w:pStyle w:val="ListBullet"/>
        <w:spacing w:after="40"/>
      </w:pPr>
      <w:r>
        <w:rPr>
          <w:rFonts w:ascii="Calibri" w:hAnsi="Calibri"/>
          <w:sz w:val="22"/>
        </w:rPr>
        <w:t>High levels of KEAP1, NFE2L2, SIRT1, HMOX1 indicate liver's role in detoxification and antioxidant defense.</w:t>
      </w:r>
    </w:p>
    <w:p>
      <w:pPr>
        <w:pStyle w:val="ListBullet"/>
        <w:spacing w:after="40"/>
      </w:pPr>
      <w:r>
        <w:rPr>
          <w:rFonts w:ascii="Calibri" w:hAnsi="Calibri"/>
          <w:sz w:val="22"/>
        </w:rPr>
        <w:t>Upregulated IL1B, NLRP3 suggest inflammation and fibrosis.</w:t>
      </w:r>
    </w:p>
    <w:p>
      <w:pPr>
        <w:spacing w:after="120"/>
      </w:pPr>
      <w:r>
        <w:rPr>
          <w:rFonts w:ascii="Calibri" w:hAnsi="Calibri"/>
          <w:b w:val="0"/>
          <w:i w:val="0"/>
          <w:sz w:val="22"/>
        </w:rPr>
        <w:t>2. **Kidney:**</w:t>
      </w:r>
    </w:p>
    <w:p>
      <w:pPr>
        <w:pStyle w:val="ListBullet"/>
        <w:spacing w:after="40"/>
      </w:pPr>
      <w:r>
        <w:rPr>
          <w:rFonts w:ascii="Calibri" w:hAnsi="Calibri"/>
          <w:sz w:val="22"/>
        </w:rPr>
        <w:t>Increased expression of NRF2 pathway genes (KEAP1, NQO1) indicates oxidative stress response.</w:t>
      </w:r>
    </w:p>
    <w:p>
      <w:pPr>
        <w:pStyle w:val="ListBullet"/>
        <w:spacing w:after="40"/>
      </w:pPr>
      <w:r>
        <w:rPr>
          <w:rFonts w:ascii="Calibri" w:hAnsi="Calibri"/>
          <w:sz w:val="22"/>
        </w:rPr>
        <w:t>Apoptosis markers (CASP3) indicate cellular damage.</w:t>
      </w:r>
    </w:p>
    <w:p>
      <w:pPr>
        <w:spacing w:after="120"/>
      </w:pPr>
      <w:r>
        <w:rPr>
          <w:rFonts w:ascii="Calibri" w:hAnsi="Calibri"/>
          <w:b w:val="0"/>
          <w:i w:val="0"/>
          <w:sz w:val="22"/>
        </w:rPr>
        <w:t>3. **Heart:**</w:t>
      </w:r>
    </w:p>
    <w:p>
      <w:pPr>
        <w:pStyle w:val="ListBullet"/>
        <w:spacing w:after="40"/>
      </w:pPr>
      <w:r>
        <w:rPr>
          <w:rFonts w:ascii="Calibri" w:hAnsi="Calibri"/>
          <w:sz w:val="22"/>
        </w:rPr>
        <w:t>Upregulation of SIRT1 and TP53 suggests enhanced autophagy and DNA repair mechanisms.</w:t>
      </w:r>
    </w:p>
    <w:p>
      <w:pPr>
        <w:pStyle w:val="ListBullet"/>
        <w:spacing w:after="40"/>
      </w:pPr>
      <w:r>
        <w:rPr>
          <w:rFonts w:ascii="Calibri" w:hAnsi="Calibri"/>
          <w:sz w:val="22"/>
        </w:rPr>
        <w:t>Inflammation markers (IL1B, NLRP3) suggest cardiac injury.</w:t>
      </w:r>
    </w:p>
    <w:p>
      <w:pPr>
        <w:spacing w:after="120"/>
      </w:pPr>
      <w:r>
        <w:rPr>
          <w:rFonts w:ascii="Calibri" w:hAnsi="Calibri"/>
          <w:b w:val="0"/>
          <w:i w:val="0"/>
          <w:sz w:val="22"/>
        </w:rPr>
        <w:t>4. **Lungs:**</w:t>
      </w:r>
    </w:p>
    <w:p>
      <w:pPr>
        <w:pStyle w:val="ListBullet"/>
        <w:spacing w:after="40"/>
      </w:pPr>
      <w:r>
        <w:rPr>
          <w:rFonts w:ascii="Calibri" w:hAnsi="Calibri"/>
          <w:sz w:val="22"/>
        </w:rPr>
        <w:t>High expression of IL1B, NLRP3 indicates inflammation and potential fibrosis.</w:t>
      </w:r>
    </w:p>
    <w:p>
      <w:pPr>
        <w:pStyle w:val="ListBullet"/>
        <w:spacing w:after="40"/>
      </w:pPr>
      <w:r>
        <w:rPr>
          <w:rFonts w:ascii="Calibri" w:hAnsi="Calibri"/>
          <w:sz w:val="22"/>
        </w:rPr>
        <w:t>Apoptosis-related genes (CASP3) indicate cellular damage.</w:t>
      </w:r>
    </w:p>
    <w:p>
      <w:pPr>
        <w:spacing w:after="120"/>
      </w:pPr>
      <w:r>
        <w:rPr>
          <w:rFonts w:ascii="Calibri" w:hAnsi="Calibri"/>
          <w:b w:val="0"/>
          <w:i w:val="0"/>
          <w:sz w:val="22"/>
        </w:rPr>
        <w:t>5. **Brain:**</w:t>
      </w:r>
    </w:p>
    <w:p>
      <w:pPr>
        <w:pStyle w:val="ListBullet"/>
        <w:spacing w:after="40"/>
      </w:pPr>
      <w:r>
        <w:rPr>
          <w:rFonts w:ascii="Calibri" w:hAnsi="Calibri"/>
          <w:sz w:val="22"/>
        </w:rPr>
        <w:t>Increased NRF2 pathway activity suggests oxidative stress response in neurons.</w:t>
      </w:r>
    </w:p>
    <w:p>
      <w:pPr>
        <w:pStyle w:val="ListBullet"/>
        <w:spacing w:after="40"/>
      </w:pPr>
      <w:r>
        <w:rPr>
          <w:rFonts w:ascii="Calibri" w:hAnsi="Calibri"/>
          <w:sz w:val="22"/>
        </w:rPr>
        <w:t>Upregulated BAX, CASP3 suggest neurodegeneration and apoptosis.</w:t>
      </w:r>
    </w:p>
    <w:p>
      <w:pPr>
        <w:pStyle w:val="Heading3"/>
      </w:pPr>
      <w:r>
        <w:t>3. Mechanism of Action</w:t>
      </w:r>
    </w:p>
    <w:p>
      <w:pPr>
        <w:spacing w:after="120"/>
      </w:pPr>
      <w:r>
        <w:rPr>
          <w:rFonts w:ascii="Calibri" w:hAnsi="Calibri"/>
          <w:b w:val="0"/>
          <w:i w:val="0"/>
          <w:sz w:val="22"/>
        </w:rPr>
        <w:t>#### Molecular Initiating Event</w:t>
      </w:r>
    </w:p>
    <w:p>
      <w:pPr>
        <w:spacing w:after="120"/>
      </w:pPr>
      <w:r>
        <w:rPr>
          <w:rFonts w:ascii="Calibri" w:hAnsi="Calibri"/>
          <w:b w:val="0"/>
          <w:i w:val="0"/>
          <w:sz w:val="22"/>
        </w:rPr>
        <w:t>The molecular initiating event (MIE) is likely the generation of reactive oxygen species (ROS), leading to oxidative stress and activation of redox-sensitive transcription factors such as NRF2.</w:t>
      </w:r>
    </w:p>
    <w:p>
      <w:pPr>
        <w:spacing w:after="120"/>
      </w:pPr>
      <w:r>
        <w:rPr>
          <w:rFonts w:ascii="Calibri" w:hAnsi="Calibri"/>
          <w:b w:val="0"/>
          <w:i w:val="0"/>
          <w:sz w:val="22"/>
        </w:rPr>
        <w:t>#### Key Events in Adverse Outcome Pathway</w:t>
      </w:r>
    </w:p>
    <w:p>
      <w:pPr>
        <w:spacing w:after="120"/>
      </w:pPr>
      <w:r>
        <w:rPr>
          <w:rFonts w:ascii="Calibri" w:hAnsi="Calibri"/>
          <w:b w:val="0"/>
          <w:i w:val="0"/>
          <w:sz w:val="22"/>
        </w:rPr>
        <w:t>1. **Oxidative Stress:**</w:t>
      </w:r>
    </w:p>
    <w:p>
      <w:pPr>
        <w:pStyle w:val="ListBullet"/>
        <w:spacing w:after="40"/>
      </w:pPr>
      <w:r>
        <w:rPr>
          <w:rFonts w:ascii="Calibri" w:hAnsi="Calibri"/>
          <w:sz w:val="22"/>
        </w:rPr>
        <w:t>ROS production activates KEAP1-NRF2 pathway, inducing antioxidant enzymes.</w:t>
      </w:r>
    </w:p>
    <w:p>
      <w:pPr>
        <w:spacing w:after="120"/>
      </w:pPr>
      <w:r>
        <w:rPr>
          <w:rFonts w:ascii="Calibri" w:hAnsi="Calibri"/>
          <w:b w:val="0"/>
          <w:i w:val="0"/>
          <w:sz w:val="22"/>
        </w:rPr>
        <w:t>2. **Inflammation:**</w:t>
      </w:r>
    </w:p>
    <w:p>
      <w:pPr>
        <w:pStyle w:val="ListBullet"/>
        <w:spacing w:after="40"/>
      </w:pPr>
      <w:r>
        <w:rPr>
          <w:rFonts w:ascii="Calibri" w:hAnsi="Calibri"/>
          <w:sz w:val="22"/>
        </w:rPr>
        <w:t>Upregulation of IL1B and NLRP3 inflammasome leads to cytokine release (IL-1β).</w:t>
      </w:r>
    </w:p>
    <w:p>
      <w:pPr>
        <w:spacing w:after="120"/>
      </w:pPr>
      <w:r>
        <w:rPr>
          <w:rFonts w:ascii="Calibri" w:hAnsi="Calibri"/>
          <w:b w:val="0"/>
          <w:i w:val="0"/>
          <w:sz w:val="22"/>
        </w:rPr>
        <w:t>3. **Cellular Damage:**</w:t>
      </w:r>
    </w:p>
    <w:p>
      <w:pPr>
        <w:pStyle w:val="ListBullet"/>
        <w:spacing w:after="40"/>
      </w:pPr>
      <w:r>
        <w:rPr>
          <w:rFonts w:ascii="Calibri" w:hAnsi="Calibri"/>
          <w:sz w:val="22"/>
        </w:rPr>
        <w:t>Persistent oxidative stress overwhelms cellular defense mechanisms leading to DNA damage, mitochondrial dysfunction.</w:t>
      </w:r>
    </w:p>
    <w:p>
      <w:pPr>
        <w:spacing w:after="120"/>
      </w:pPr>
      <w:r>
        <w:rPr>
          <w:rFonts w:ascii="Calibri" w:hAnsi="Calibri"/>
          <w:b w:val="0"/>
          <w:i w:val="0"/>
          <w:sz w:val="22"/>
        </w:rPr>
        <w:t>4. **Apoptosis/Fibrosis:**</w:t>
      </w:r>
    </w:p>
    <w:p>
      <w:pPr>
        <w:pStyle w:val="ListBullet"/>
        <w:spacing w:after="40"/>
      </w:pPr>
      <w:r>
        <w:rPr>
          <w:rFonts w:ascii="Calibri" w:hAnsi="Calibri"/>
          <w:sz w:val="22"/>
        </w:rPr>
        <w:t>Activation of apoptosis pathways (CASP3) and fibrotic markers (TGF-β signaling).</w:t>
      </w:r>
    </w:p>
    <w:p>
      <w:pPr>
        <w:pStyle w:val="Heading3"/>
      </w:pPr>
      <w:r>
        <w:t>4. Protective vs. Adverse Responses</w:t>
      </w:r>
    </w:p>
    <w:p>
      <w:pPr>
        <w:spacing w:after="120"/>
      </w:pPr>
      <w:r>
        <w:rPr>
          <w:rFonts w:ascii="Calibri" w:hAnsi="Calibri"/>
          <w:b w:val="0"/>
          <w:i w:val="0"/>
          <w:sz w:val="22"/>
        </w:rPr>
        <w:t>#### Adaptive/Protective Responses</w:t>
      </w:r>
    </w:p>
    <w:p>
      <w:pPr>
        <w:pStyle w:val="ListBullet"/>
        <w:spacing w:after="40"/>
      </w:pPr>
      <w:r>
        <w:rPr>
          <w:rFonts w:ascii="Calibri" w:hAnsi="Calibri"/>
          <w:sz w:val="22"/>
        </w:rPr>
        <w:t>Low doses: NRF2 activation, SIRT1-mediated autophagy.</w:t>
      </w:r>
    </w:p>
    <w:p>
      <w:pPr>
        <w:pStyle w:val="ListBullet"/>
        <w:spacing w:after="40"/>
      </w:pPr>
      <w:r>
        <w:rPr>
          <w:rFonts w:ascii="Calibri" w:hAnsi="Calibri"/>
          <w:sz w:val="22"/>
        </w:rPr>
        <w:t>Moderate doses: Enhanced antioxidant defense (HMOX1), DNA repair.</w:t>
      </w:r>
    </w:p>
    <w:p>
      <w:pPr>
        <w:spacing w:after="120"/>
      </w:pPr>
      <w:r>
        <w:rPr>
          <w:rFonts w:ascii="Calibri" w:hAnsi="Calibri"/>
          <w:b w:val="0"/>
          <w:i w:val="0"/>
          <w:sz w:val="22"/>
        </w:rPr>
        <w:t>#### Damage Indicating Responses</w:t>
      </w:r>
    </w:p>
    <w:p>
      <w:pPr>
        <w:pStyle w:val="ListBullet"/>
        <w:spacing w:after="40"/>
      </w:pPr>
      <w:r>
        <w:rPr>
          <w:rFonts w:ascii="Calibri" w:hAnsi="Calibri"/>
          <w:sz w:val="22"/>
        </w:rPr>
        <w:t>High doses: Apoptosis (CASP3), inflammation (IL1B, NLRP3), fibrosis (TGF-β).</w:t>
      </w:r>
    </w:p>
    <w:p>
      <w:pPr>
        <w:spacing w:after="120"/>
      </w:pPr>
      <w:r>
        <w:rPr>
          <w:rFonts w:ascii="Calibri" w:hAnsi="Calibri"/>
          <w:b/>
          <w:sz w:val="22"/>
        </w:rPr>
        <w:t xml:space="preserve">Transition Point:: </w:t>
      </w:r>
      <w:r>
        <w:rPr>
          <w:rFonts w:ascii="Calibri" w:hAnsi="Calibri"/>
          <w:sz w:val="22"/>
        </w:rPr>
        <w:t>The transition from adaptive to adverse responses likely occurs at moderate dose levels where the upregulation of pro-inflammatory and apoptotic pathways begins.</w:t>
      </w:r>
    </w:p>
    <w:p>
      <w:pPr>
        <w:pStyle w:val="Heading3"/>
      </w:pPr>
      <w:r>
        <w:t>5. Literature Support</w:t>
      </w:r>
    </w:p>
    <w:p>
      <w:pPr>
        <w:spacing w:after="120"/>
      </w:pPr>
      <w:r>
        <w:rPr>
          <w:rFonts w:ascii="Calibri" w:hAnsi="Calibri"/>
          <w:b w:val="0"/>
          <w:i w:val="0"/>
          <w:sz w:val="22"/>
        </w:rPr>
        <w:t>#### Adaptive/Protective Responses</w:t>
      </w:r>
    </w:p>
    <w:p>
      <w:pPr>
        <w:pStyle w:val="ListBullet"/>
        <w:spacing w:after="40"/>
      </w:pPr>
      <w:r>
        <w:rPr>
          <w:rFonts w:ascii="Calibri" w:hAnsi="Calibri"/>
          <w:sz w:val="22"/>
        </w:rPr>
        <w:t>**NRF2 Antioxidant Defense:**</w:t>
      </w:r>
    </w:p>
    <w:p>
      <w:pPr>
        <w:pStyle w:val="ListBullet"/>
        <w:spacing w:after="40"/>
      </w:pPr>
      <w:r>
        <w:rPr>
          <w:rFonts w:ascii="Calibri" w:hAnsi="Calibri"/>
          <w:sz w:val="22"/>
        </w:rPr>
        <w:t>"The KEAP1-NRF2 System: a Thiol-Based Sensor-Effector Apparatus for Maintaining Redox Homeostasis." (2018)</w:t>
      </w:r>
    </w:p>
    <w:p>
      <w:pPr>
        <w:pStyle w:val="ListBullet"/>
        <w:spacing w:after="40"/>
      </w:pPr>
      <w:r>
        <w:rPr>
          <w:rFonts w:ascii="Calibri" w:hAnsi="Calibri"/>
          <w:sz w:val="22"/>
        </w:rPr>
        <w:t>"An Overview of Nrf2–Keap1 signaling pathway in cancer" (2013)</w:t>
      </w:r>
    </w:p>
    <w:p>
      <w:pPr>
        <w:pStyle w:val="ListBullet"/>
        <w:spacing w:after="40"/>
      </w:pPr>
      <w:r>
        <w:rPr>
          <w:rFonts w:ascii="Calibri" w:hAnsi="Calibri"/>
          <w:sz w:val="22"/>
        </w:rPr>
        <w:t>**SIRT1-mediated Autophagy:**</w:t>
      </w:r>
    </w:p>
    <w:p>
      <w:pPr>
        <w:pStyle w:val="ListBullet"/>
        <w:spacing w:after="40"/>
      </w:pPr>
      <w:r>
        <w:rPr>
          <w:rFonts w:ascii="Calibri" w:hAnsi="Calibri"/>
          <w:sz w:val="22"/>
        </w:rPr>
        <w:t>"Nucleocytoplasmic Shuttling of the NAD+-dependent Histone Deacetylase SIRT1*" (2007)</w:t>
      </w:r>
    </w:p>
    <w:p>
      <w:pPr>
        <w:spacing w:after="120"/>
      </w:pPr>
      <w:r>
        <w:rPr>
          <w:rFonts w:ascii="Calibri" w:hAnsi="Calibri"/>
          <w:b w:val="0"/>
          <w:i w:val="0"/>
          <w:sz w:val="22"/>
        </w:rPr>
        <w:t>#### Damage Indicating Responses</w:t>
      </w:r>
    </w:p>
    <w:p>
      <w:pPr>
        <w:pStyle w:val="ListBullet"/>
        <w:spacing w:after="40"/>
      </w:pPr>
      <w:r>
        <w:rPr>
          <w:rFonts w:ascii="Calibri" w:hAnsi="Calibri"/>
          <w:sz w:val="22"/>
        </w:rPr>
        <w:t>**Inflammation and Fibrosis:**</w:t>
      </w:r>
    </w:p>
    <w:p>
      <w:pPr>
        <w:pStyle w:val="ListBullet"/>
        <w:spacing w:after="40"/>
      </w:pPr>
      <w:r>
        <w:rPr>
          <w:rFonts w:ascii="Calibri" w:hAnsi="Calibri"/>
          <w:sz w:val="22"/>
        </w:rPr>
        <w:t>"Signaling pathways and targeted therapy for myocardial infarction" (2022)</w:t>
      </w:r>
    </w:p>
    <w:p>
      <w:pPr>
        <w:pStyle w:val="Heading3"/>
      </w:pPr>
      <w:r>
        <w:t>6. Confidence Assessment</w:t>
      </w:r>
    </w:p>
    <w:p>
      <w:pPr>
        <w:spacing w:after="120"/>
      </w:pPr>
      <w:r>
        <w:rPr>
          <w:rFonts w:ascii="Calibri" w:hAnsi="Calibri"/>
          <w:b/>
          <w:i w:val="0"/>
          <w:sz w:val="22"/>
        </w:rPr>
        <w:t>High Confidence:</w:t>
      </w:r>
    </w:p>
    <w:p>
      <w:pPr>
        <w:pStyle w:val="ListBullet"/>
        <w:spacing w:after="40"/>
      </w:pPr>
      <w:r>
        <w:rPr>
          <w:rFonts w:ascii="Calibri" w:hAnsi="Calibri"/>
          <w:sz w:val="22"/>
        </w:rPr>
        <w:t>NRF2 pathway activation (KEAP1, NFE2L2)</w:t>
      </w:r>
    </w:p>
    <w:p>
      <w:pPr>
        <w:pStyle w:val="ListBullet"/>
        <w:spacing w:after="40"/>
      </w:pPr>
      <w:r>
        <w:rPr>
          <w:rFonts w:ascii="Calibri" w:hAnsi="Calibri"/>
          <w:sz w:val="22"/>
        </w:rPr>
        <w:t>SIRT1-mediated autophagy</w:t>
      </w:r>
    </w:p>
    <w:p>
      <w:pPr>
        <w:pStyle w:val="ListBullet"/>
        <w:spacing w:after="40"/>
      </w:pPr>
      <w:r>
        <w:rPr>
          <w:rFonts w:ascii="Calibri" w:hAnsi="Calibri"/>
          <w:sz w:val="22"/>
        </w:rPr>
        <w:t>HMOX1 antioxidant defense</w:t>
      </w:r>
    </w:p>
    <w:p>
      <w:pPr>
        <w:spacing w:after="120"/>
      </w:pPr>
      <w:r>
        <w:rPr>
          <w:rFonts w:ascii="Calibri" w:hAnsi="Calibri"/>
          <w:b/>
          <w:i w:val="0"/>
          <w:sz w:val="22"/>
        </w:rPr>
        <w:t>Moderate Confidence:</w:t>
      </w:r>
    </w:p>
    <w:p>
      <w:pPr>
        <w:pStyle w:val="ListBullet"/>
        <w:spacing w:after="40"/>
      </w:pPr>
      <w:r>
        <w:rPr>
          <w:rFonts w:ascii="Calibri" w:hAnsi="Calibri"/>
          <w:sz w:val="22"/>
        </w:rPr>
        <w:t>IL1B and NLRP3 inflammasome activation</w:t>
      </w:r>
    </w:p>
    <w:p>
      <w:pPr>
        <w:pStyle w:val="ListBullet"/>
        <w:spacing w:after="40"/>
      </w:pPr>
      <w:r>
        <w:rPr>
          <w:rFonts w:ascii="Calibri" w:hAnsi="Calibri"/>
          <w:sz w:val="22"/>
        </w:rPr>
        <w:t>TGF-β signaling in fibrosis</w:t>
      </w:r>
    </w:p>
    <w:p>
      <w:pPr>
        <w:spacing w:after="120"/>
      </w:pPr>
      <w:r>
        <w:rPr>
          <w:rFonts w:ascii="Calibri" w:hAnsi="Calibri"/>
          <w:b/>
          <w:i w:val="0"/>
          <w:sz w:val="22"/>
        </w:rPr>
        <w:t>Low Confidence:</w:t>
      </w:r>
    </w:p>
    <w:p>
      <w:pPr>
        <w:pStyle w:val="ListBullet"/>
        <w:spacing w:after="40"/>
      </w:pPr>
      <w:r>
        <w:rPr>
          <w:rFonts w:ascii="Calibri" w:hAnsi="Calibri"/>
          <w:sz w:val="22"/>
        </w:rPr>
        <w:t>CASP3-mediated apoptosis (limited literature on dose-response relationship)</w:t>
      </w:r>
    </w:p>
    <w:p>
      <w:pPr>
        <w:spacing w:after="120"/>
      </w:pPr>
      <w:r>
        <w:rPr>
          <w:rFonts w:ascii="Calibri" w:hAnsi="Calibri"/>
          <w:b/>
          <w:i w:val="0"/>
          <w:sz w:val="22"/>
        </w:rPr>
        <w:t>Novel Findings:</w:t>
      </w:r>
    </w:p>
    <w:p>
      <w:pPr>
        <w:pStyle w:val="ListBullet"/>
        <w:spacing w:after="40"/>
      </w:pPr>
      <w:r>
        <w:rPr>
          <w:rFonts w:ascii="Calibri" w:hAnsi="Calibri"/>
          <w:sz w:val="22"/>
        </w:rPr>
        <w:t>Transition from adaptive to adverse responses at moderate doses.</w:t>
      </w:r>
    </w:p>
    <w:p>
      <w:pPr>
        <w:pStyle w:val="ListBullet"/>
        <w:spacing w:after="40"/>
      </w:pPr>
      <w:r>
        <w:rPr>
          <w:rFonts w:ascii="Calibri" w:hAnsi="Calibri"/>
          <w:sz w:val="22"/>
        </w:rPr>
        <w:t>Specific organ-level predictions based on gene expression patterns.</w:t>
      </w:r>
    </w:p>
    <w:p>
      <w:pPr>
        <w:spacing w:after="120"/>
      </w:pPr>
      <w:r>
        <w:rPr>
          <w:rFonts w:ascii="Calibri" w:hAnsi="Calibri"/>
          <w:b w:val="0"/>
          <w:i w:val="0"/>
          <w:sz w:val="22"/>
        </w:rPr>
        <w:t>Overall, the conclusions are well-supported by existing literature for NRF2 and SIRT1 pathways but require further validation for CASP3-mediated apoptosis.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