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Narratives: claude-haiku-4-5</w:t>
      </w:r>
    </w:p>
    <w:p>
      <w:pPr>
        <w:pStyle w:val="Heading1"/>
      </w:pPr>
      <w:r>
        <w:t>Run 1 (35.3s)</w:t>
      </w:r>
    </w:p>
    <w:p>
      <w:pPr>
        <w:pStyle w:val="Heading2"/>
      </w:pPr>
      <w:r>
        <w:t>COMPREHENSIVE TOXICOGENOMICS INTERPRETATION REPORT</w:t>
      </w:r>
    </w:p>
    <w:p>
      <w:pPr>
        <w:pStyle w:val="Heading2"/>
      </w:pPr>
      <w:r>
        <w:t>1. BIOLOGICAL RESPONSE NARRATIVE</w:t>
      </w:r>
    </w:p>
    <w:p>
      <w:pPr>
        <w:pStyle w:val="Heading3"/>
      </w:pPr>
      <w:r>
        <w:t>Dose-Dependent Progression of Molecular Events</w:t>
      </w:r>
    </w:p>
    <w:p>
      <w:pPr>
        <w:spacing w:after="120"/>
      </w:pPr>
      <w:r>
        <w:rPr>
          <w:rFonts w:ascii="Calibri" w:hAnsi="Calibri"/>
          <w:b w:val="0"/>
          <w:i w:val="0"/>
          <w:sz w:val="22"/>
        </w:rPr>
        <w:t>The dose-response analysis reveals a highly organized temporal sequence of molecular responses, progressing from early xenobiotic sensing and adaptive stress responses at low doses (BMD 0.2–0.6) through sustained cytoprotective mechanisms at intermediate doses (BMD 0.5–5.0), and culminating in cell death and tissue-level adverse outcomes at higher doses (BMD 5.0–13.5).</w:t>
      </w:r>
    </w:p>
    <w:p>
      <w:pPr>
        <w:spacing w:after="120"/>
      </w:pPr>
      <w:r>
        <w:rPr>
          <w:rFonts w:ascii="Calibri" w:hAnsi="Calibri"/>
          <w:b w:val="0"/>
          <w:i w:val="0"/>
          <w:sz w:val="22"/>
        </w:rPr>
        <w:t>#### **Phase 1: Xenobiotic Sensing and Initial Stress Response (BMD 0.2–0.6)**</w:t>
      </w:r>
    </w:p>
    <w:p>
      <w:pPr>
        <w:spacing w:after="120"/>
      </w:pPr>
      <w:r>
        <w:rPr>
          <w:rFonts w:ascii="Calibri" w:hAnsi="Calibri"/>
          <w:b w:val="0"/>
          <w:i w:val="0"/>
          <w:sz w:val="22"/>
        </w:rPr>
        <w:t>The earliest and most sensitive responses involve activation of xenobiotic-sensing pathways, centered on the aryl hydrocarbon receptor (AhR) and nuclear factor erythroid 2-related factor 2 (NFE2L2/Nrf2) signaling axes.</w:t>
      </w:r>
    </w:p>
    <w:p>
      <w:pPr>
        <w:spacing w:after="120"/>
      </w:pPr>
      <w:r>
        <w:rPr>
          <w:rFonts w:ascii="Calibri" w:hAnsi="Calibri"/>
          <w:b/>
          <w:i w:val="0"/>
          <w:sz w:val="22"/>
        </w:rPr>
        <w:t>Key genes activated (median BMD 0.35–0.55):</w:t>
      </w:r>
    </w:p>
    <w:p>
      <w:pPr>
        <w:pStyle w:val="ListBullet"/>
        <w:spacing w:after="40"/>
      </w:pPr>
      <w:r>
        <w:rPr>
          <w:rFonts w:ascii="Calibri" w:hAnsi="Calibri"/>
          <w:sz w:val="22"/>
        </w:rPr>
        <w:t>**AHR** (BMD 0.35): Aryl hydrocarbon receptor signaling pathway (path:hsa05208, median BMD 0.5)</w:t>
      </w:r>
    </w:p>
    <w:p>
      <w:pPr>
        <w:pStyle w:val="ListBullet"/>
        <w:spacing w:after="40"/>
      </w:pPr>
      <w:r>
        <w:rPr>
          <w:rFonts w:ascii="Calibri" w:hAnsi="Calibri"/>
          <w:sz w:val="22"/>
        </w:rPr>
        <w:t>**CYP1A1, CYP1B1** (BMD 0.2–0.5): Phase I xenobiotic metabolism</w:t>
      </w:r>
    </w:p>
    <w:p>
      <w:pPr>
        <w:pStyle w:val="ListBullet"/>
        <w:spacing w:after="40"/>
      </w:pPr>
      <w:r>
        <w:rPr>
          <w:rFonts w:ascii="Calibri" w:hAnsi="Calibri"/>
          <w:sz w:val="22"/>
        </w:rPr>
        <w:t>**NFE2L2, KEAP1** (BMD 0.3–0.55): Nuclear events mediated by NFE2L2 and GSK3B:BTRC:CUL1-mediated degradation</w:t>
      </w:r>
    </w:p>
    <w:p>
      <w:pPr>
        <w:pStyle w:val="ListBullet"/>
        <w:spacing w:after="40"/>
      </w:pPr>
      <w:r>
        <w:rPr>
          <w:rFonts w:ascii="Calibri" w:hAnsi="Calibri"/>
          <w:sz w:val="22"/>
        </w:rPr>
        <w:t>**NQO1** (BMD 0.2–0.55): NAD(P)H quinone oxidoreductase 1</w:t>
      </w:r>
    </w:p>
    <w:p>
      <w:pPr>
        <w:spacing w:after="120"/>
      </w:pPr>
      <w:r>
        <w:rPr>
          <w:rFonts w:ascii="Calibri" w:hAnsi="Calibri"/>
          <w:b w:val="0"/>
          <w:i w:val="0"/>
          <w:sz w:val="22"/>
        </w:rPr>
        <w:t>This phase represents the **molecular initiating event (MIE)** for xenobiotic-induced toxicity. The GO term "response to xenobiotic stimulus" (GO:0009410, p=3.47e-28) is the most significantly enriched biological process, with 22 genes responding at this dose range. The rapid induction of CYP1A1 and CYP1B1 indicates activation of the AhR pathway, which is a canonical xenobiotic sensor. Simultaneously, NFE2L2 activation (through KEAP1 interaction) initiates the antioxidant response element (ARE)-driven transcription of cytoprotective genes.</w:t>
      </w:r>
    </w:p>
    <w:p>
      <w:pPr>
        <w:spacing w:after="120"/>
      </w:pPr>
      <w:r>
        <w:rPr>
          <w:rFonts w:ascii="Calibri" w:hAnsi="Calibri"/>
          <w:b/>
          <w:sz w:val="22"/>
        </w:rPr>
        <w:t xml:space="preserve">Biological interpretation:: </w:t>
      </w:r>
      <w:r>
        <w:rPr>
          <w:rFonts w:ascii="Calibri" w:hAnsi="Calibri"/>
          <w:sz w:val="22"/>
        </w:rPr>
        <w:t>The organism is detecting and attempting to metabolize and detoxify a xenobiotic substance. This is an **adaptive response** aimed at preventing accumulation of toxic metabolites.</w:t>
      </w:r>
    </w:p>
    <w:p>
      <w:pPr>
        <w:spacing w:after="120"/>
      </w:pPr>
      <w:r>
        <w:rPr>
          <w:rFonts w:ascii="Calibri" w:hAnsi="Calibri"/>
          <w:b w:val="0"/>
          <w:i w:val="0"/>
          <w:sz w:val="22"/>
        </w:rPr>
        <w:t>#### **Phase 2: Antioxidant and Cytoprotective Response (BMD 0.4–2.0)**</w:t>
      </w:r>
    </w:p>
    <w:p>
      <w:pPr>
        <w:spacing w:after="120"/>
      </w:pPr>
      <w:r>
        <w:rPr>
          <w:rFonts w:ascii="Calibri" w:hAnsi="Calibri"/>
          <w:b w:val="0"/>
          <w:i w:val="0"/>
          <w:sz w:val="22"/>
        </w:rPr>
        <w:t>As doses increase, the response broadens to include comprehensive antioxidant defense mechanisms and cellular stress adaptation.</w:t>
      </w:r>
    </w:p>
    <w:p>
      <w:pPr>
        <w:spacing w:after="120"/>
      </w:pPr>
      <w:r>
        <w:rPr>
          <w:rFonts w:ascii="Calibri" w:hAnsi="Calibri"/>
          <w:b/>
          <w:i w:val="0"/>
          <w:sz w:val="22"/>
        </w:rPr>
        <w:t>Key genes activated (median BMD 0.5–2.0):</w:t>
      </w:r>
    </w:p>
    <w:p>
      <w:pPr>
        <w:pStyle w:val="ListBullet"/>
        <w:spacing w:after="40"/>
      </w:pPr>
      <w:r>
        <w:rPr>
          <w:rFonts w:ascii="Calibri" w:hAnsi="Calibri"/>
          <w:sz w:val="22"/>
        </w:rPr>
        <w:t>**HMOX1** (heme oxygenase-1, BMD 0.4–2.0): Cytoprotection by HMOX1 pathway (median BMD 6.7)</w:t>
      </w:r>
    </w:p>
    <w:p>
      <w:pPr>
        <w:pStyle w:val="ListBullet"/>
        <w:spacing w:after="40"/>
      </w:pPr>
      <w:r>
        <w:rPr>
          <w:rFonts w:ascii="Calibri" w:hAnsi="Calibri"/>
          <w:sz w:val="22"/>
        </w:rPr>
        <w:t>**SOD1, SOD2** (superoxide dismutase, BMD 0.5–2.0): Antioxidant enzymes</w:t>
      </w:r>
    </w:p>
    <w:p>
      <w:pPr>
        <w:pStyle w:val="ListBullet"/>
        <w:spacing w:after="40"/>
      </w:pPr>
      <w:r>
        <w:rPr>
          <w:rFonts w:ascii="Calibri" w:hAnsi="Calibri"/>
          <w:sz w:val="22"/>
        </w:rPr>
        <w:t>**CAT** (catalase, BMD 0.5–2.0): Hydrogen peroxide metabolism</w:t>
      </w:r>
    </w:p>
    <w:p>
      <w:pPr>
        <w:pStyle w:val="ListBullet"/>
        <w:spacing w:after="40"/>
      </w:pPr>
      <w:r>
        <w:rPr>
          <w:rFonts w:ascii="Calibri" w:hAnsi="Calibri"/>
          <w:sz w:val="22"/>
        </w:rPr>
        <w:t>**GPX1** (glutathione peroxidase 1, BMD 0.5–2.0): Selenoprotein antioxidant</w:t>
      </w:r>
    </w:p>
    <w:p>
      <w:pPr>
        <w:pStyle w:val="ListBullet"/>
        <w:spacing w:after="40"/>
      </w:pPr>
      <w:r>
        <w:rPr>
          <w:rFonts w:ascii="Calibri" w:hAnsi="Calibri"/>
          <w:sz w:val="22"/>
        </w:rPr>
        <w:t>**GCLC** (glutamate-cysteine ligase catalytic subunit, BMD 0.5–2.0): Glutathione synthesis</w:t>
      </w:r>
    </w:p>
    <w:p>
      <w:pPr>
        <w:pStyle w:val="ListBullet"/>
        <w:spacing w:after="40"/>
      </w:pPr>
      <w:r>
        <w:rPr>
          <w:rFonts w:ascii="Calibri" w:hAnsi="Calibri"/>
          <w:sz w:val="22"/>
        </w:rPr>
        <w:t>**SIRT1** (sirtuin 1, BMD 0.4–5.27): NAD+-dependent deacetylase and metabolic regulator</w:t>
      </w:r>
    </w:p>
    <w:p>
      <w:pPr>
        <w:spacing w:after="120"/>
      </w:pPr>
      <w:r>
        <w:rPr>
          <w:rFonts w:ascii="Calibri" w:hAnsi="Calibri"/>
          <w:b w:val="0"/>
          <w:i w:val="0"/>
          <w:sz w:val="22"/>
        </w:rPr>
        <w:t>The GO terms "response to oxidative stress" (GO:0006979, p=1.25e-16), "response to hydrogen peroxide" (GO:0042542, p=1.83e-13), and "response to hypoxia" (GO:0001666, p=9.11e-20) are highly enriched, indicating that oxidative stress is a primary consequence of xenobiotic metabolism.</w:t>
      </w:r>
    </w:p>
    <w:p>
      <w:pPr>
        <w:spacing w:after="120"/>
      </w:pPr>
      <w:r>
        <w:rPr>
          <w:rFonts w:ascii="Calibri" w:hAnsi="Calibri"/>
          <w:b/>
          <w:sz w:val="22"/>
        </w:rPr>
        <w:t xml:space="preserve">Biological interpretation:: </w:t>
      </w:r>
      <w:r>
        <w:rPr>
          <w:rFonts w:ascii="Calibri" w:hAnsi="Calibri"/>
          <w:sz w:val="22"/>
        </w:rPr>
        <w:t>Phase I metabolism of the xenobiotic generates reactive oxygen species (ROS) and reactive metabolites. The organism mounts a robust antioxidant defense response, including upregulation of superoxide dismutase, catalase, glutathione peroxidase, and heme oxygenase-1. SIRT1 activation suggests metabolic reprogramming to support energy-intensive detoxification processes. This phase represents **sustained adaptive/protective response**.</w:t>
      </w:r>
    </w:p>
    <w:p>
      <w:pPr>
        <w:spacing w:after="120"/>
      </w:pPr>
      <w:r>
        <w:rPr>
          <w:rFonts w:ascii="Calibri" w:hAnsi="Calibri"/>
          <w:b/>
          <w:sz w:val="22"/>
        </w:rPr>
        <w:t xml:space="preserve">Literature support:: </w:t>
      </w:r>
      <w:r>
        <w:rPr>
          <w:rFonts w:ascii="Calibri" w:hAnsi="Calibri"/>
          <w:sz w:val="22"/>
        </w:rPr>
        <w:t>The literature on heavy metals (BAX, BCL2, NFE2L2) notes that "Heavy metals interfere with antioxidant defense mechanisms and signaling pathways" and that "Arsenic binds directly to thiols, affecting Nrf2 activity in response to oxidative stress" (Heavy metals: toxicity and human health effects, 2024). The NFE2L2 consensus gene literature emphasizes that "Network-based approaches using co-expression network analysis can predict drug toxicity mechanisms and phenotypes more effectively than traditional gene-level analysis" (Toxicogenomic module associations with pathogenesis, 2017).</w:t>
      </w:r>
    </w:p>
    <w:p>
      <w:pPr>
        <w:spacing w:after="120"/>
      </w:pPr>
      <w:r>
        <w:rPr>
          <w:rFonts w:ascii="Calibri" w:hAnsi="Calibri"/>
          <w:b w:val="0"/>
          <w:i w:val="0"/>
          <w:sz w:val="22"/>
        </w:rPr>
        <w:t>#### **Phase 3: Inflammatory and Immune Response (BMD 0.3–4.0)**</w:t>
      </w:r>
    </w:p>
    <w:p>
      <w:pPr>
        <w:spacing w:after="120"/>
      </w:pPr>
      <w:r>
        <w:rPr>
          <w:rFonts w:ascii="Calibri" w:hAnsi="Calibri"/>
          <w:b w:val="0"/>
          <w:i w:val="0"/>
          <w:sz w:val="22"/>
        </w:rPr>
        <w:t>Concurrent with antioxidant activation, inflammatory mediators are upregulated, indicating that the xenobiotic or its metabolites trigger innate immune responses.</w:t>
      </w:r>
    </w:p>
    <w:p>
      <w:pPr>
        <w:spacing w:after="120"/>
      </w:pPr>
      <w:r>
        <w:rPr>
          <w:rFonts w:ascii="Calibri" w:hAnsi="Calibri"/>
          <w:b/>
          <w:i w:val="0"/>
          <w:sz w:val="22"/>
        </w:rPr>
        <w:t>Key genes activated (median BMD 0.3–4.0):</w:t>
      </w:r>
    </w:p>
    <w:p>
      <w:pPr>
        <w:pStyle w:val="ListBullet"/>
        <w:spacing w:after="40"/>
      </w:pPr>
      <w:r>
        <w:rPr>
          <w:rFonts w:ascii="Calibri" w:hAnsi="Calibri"/>
          <w:sz w:val="22"/>
        </w:rPr>
        <w:t>**IL1B, IL6, TNF** (pro-inflammatory cytokines, BMD 0.3–4.0): Inflammatory response</w:t>
      </w:r>
    </w:p>
    <w:p>
      <w:pPr>
        <w:pStyle w:val="ListBullet"/>
        <w:spacing w:after="40"/>
      </w:pPr>
      <w:r>
        <w:rPr>
          <w:rFonts w:ascii="Calibri" w:hAnsi="Calibri"/>
          <w:sz w:val="22"/>
        </w:rPr>
        <w:t>**NLRP3** (NOD-like receptor family pyrin domain containing 3, BMD 0.3–4.0): Inflammasome activation</w:t>
      </w:r>
    </w:p>
    <w:p>
      <w:pPr>
        <w:pStyle w:val="ListBullet"/>
        <w:spacing w:after="40"/>
      </w:pPr>
      <w:r>
        <w:rPr>
          <w:rFonts w:ascii="Calibri" w:hAnsi="Calibri"/>
          <w:sz w:val="22"/>
        </w:rPr>
        <w:t>**NFKB1** (nuclear factor kappa-light-chain-enhancer of activated B cells, BMD 0.3–5.0): Master inflammatory transcription factor</w:t>
      </w:r>
    </w:p>
    <w:p>
      <w:pPr>
        <w:pStyle w:val="ListBullet"/>
        <w:spacing w:after="40"/>
      </w:pPr>
      <w:r>
        <w:rPr>
          <w:rFonts w:ascii="Calibri" w:hAnsi="Calibri"/>
          <w:sz w:val="22"/>
        </w:rPr>
        <w:t>**STAT3** (signal transducer and activator of transcription 3, BMD 0.3–5.0): JAK-STAT signaling</w:t>
      </w:r>
    </w:p>
    <w:p>
      <w:pPr>
        <w:spacing w:after="120"/>
      </w:pPr>
      <w:r>
        <w:rPr>
          <w:rFonts w:ascii="Calibri" w:hAnsi="Calibri"/>
          <w:b w:val="0"/>
          <w:i w:val="0"/>
          <w:sz w:val="22"/>
        </w:rPr>
        <w:t>The GO terms "positive regulation of transcription by RNA polymerase II" (GO:0045944, p=1.83e-10) and "positive regulation of angiogenesis" (GO:0045766, p=9.16e-11) indicate that inflammatory signaling is driving transcriptional reprogramming.</w:t>
      </w:r>
    </w:p>
    <w:p>
      <w:pPr>
        <w:spacing w:after="120"/>
      </w:pPr>
      <w:r>
        <w:rPr>
          <w:rFonts w:ascii="Calibri" w:hAnsi="Calibri"/>
          <w:b w:val="0"/>
          <w:i w:val="0"/>
          <w:sz w:val="22"/>
        </w:rPr>
        <w:t>The enriched KEGG pathways include:</w:t>
      </w:r>
    </w:p>
    <w:p>
      <w:pPr>
        <w:pStyle w:val="ListBullet"/>
        <w:spacing w:after="40"/>
      </w:pPr>
      <w:r>
        <w:rPr>
          <w:rFonts w:ascii="Calibri" w:hAnsi="Calibri"/>
          <w:sz w:val="22"/>
        </w:rPr>
        <w:t>**path:hsa05417** (Lipopolysaccharide and IL-17 signaling pathway, p=6.89e-32): 12/17 genes</w:t>
      </w:r>
    </w:p>
    <w:p>
      <w:pPr>
        <w:pStyle w:val="ListBullet"/>
        <w:spacing w:after="40"/>
      </w:pPr>
      <w:r>
        <w:rPr>
          <w:rFonts w:ascii="Calibri" w:hAnsi="Calibri"/>
          <w:sz w:val="22"/>
        </w:rPr>
        <w:t>**path:hsa05418** (Toll-like receptor signaling pathway, p=1.41e-28): 11/17 genes</w:t>
      </w:r>
    </w:p>
    <w:p>
      <w:pPr>
        <w:pStyle w:val="ListBullet"/>
        <w:spacing w:after="40"/>
      </w:pPr>
      <w:r>
        <w:rPr>
          <w:rFonts w:ascii="Calibri" w:hAnsi="Calibri"/>
          <w:sz w:val="22"/>
        </w:rPr>
        <w:t>**path:hsa04933** (Regulation of lipolysis in adipocytes, p=1.11e-26): 10/14 genes</w:t>
      </w:r>
    </w:p>
    <w:p>
      <w:pPr>
        <w:spacing w:after="120"/>
      </w:pPr>
      <w:r>
        <w:rPr>
          <w:rFonts w:ascii="Calibri" w:hAnsi="Calibri"/>
          <w:b/>
          <w:sz w:val="22"/>
        </w:rPr>
        <w:t xml:space="preserve">Biological interpretation:: </w:t>
      </w:r>
      <w:r>
        <w:rPr>
          <w:rFonts w:ascii="Calibri" w:hAnsi="Calibri"/>
          <w:sz w:val="22"/>
        </w:rPr>
        <w:t>The xenobiotic or its metabolites activate pattern recognition receptors (PRRs) and toll-like receptors (TLRs), triggering NF-κB and STAT3-mediated inflammatory responses. This is a **double-edged response**: inflammation is necessary for clearing damaged cells and pathogens, but excessive inflammation contributes to tissue damage. The simultaneous activation of antioxidant and inflammatory pathways suggests the organism is attempting to contain and resolve the xenobiotic insult while managing collateral damage.</w:t>
      </w:r>
    </w:p>
    <w:p>
      <w:pPr>
        <w:spacing w:after="120"/>
      </w:pPr>
      <w:r>
        <w:rPr>
          <w:rFonts w:ascii="Calibri" w:hAnsi="Calibri"/>
          <w:b/>
          <w:sz w:val="22"/>
        </w:rPr>
        <w:t xml:space="preserve">Literature support:: </w:t>
      </w:r>
      <w:r>
        <w:rPr>
          <w:rFonts w:ascii="Calibri" w:hAnsi="Calibri"/>
          <w:sz w:val="22"/>
        </w:rPr>
        <w:t>The TNF consensus gene literature notes that "Cardiac arrest in rats leads to a systemic and organ-specific TNFα and cytokine response, with increased biomarkers of injury" (Targeting TNFα-mediated cytotoxicity using thalidomide after, 2022). The IL6 consensus gene literature emphasizes that "Intermittent hypoxia exacerbates NAFLD by promoting ferroptosis via IL6-induced MARCH3-mediated GPX4 ubiquitination" (IL6 Derived from Macrophages under Intermittent Hypoxia Exac, 2024), indicating that IL6 can drive ferroptotic cell death under stress conditions.</w:t>
      </w:r>
    </w:p>
    <w:p>
      <w:pPr>
        <w:spacing w:after="120"/>
      </w:pPr>
      <w:r>
        <w:rPr>
          <w:rFonts w:ascii="Calibri" w:hAnsi="Calibri"/>
          <w:b w:val="0"/>
          <w:i w:val="0"/>
          <w:sz w:val="22"/>
        </w:rPr>
        <w:t>#### **Phase 4: Cell Cycle Arrest and DNA Damage Response (BMD 0.3–5.5)**</w:t>
      </w:r>
    </w:p>
    <w:p>
      <w:pPr>
        <w:spacing w:after="120"/>
      </w:pPr>
      <w:r>
        <w:rPr>
          <w:rFonts w:ascii="Calibri" w:hAnsi="Calibri"/>
          <w:b w:val="0"/>
          <w:i w:val="0"/>
          <w:sz w:val="22"/>
        </w:rPr>
        <w:t>As doses increase, evidence of cellular stress accumulates, triggering p53-mediated cell cycle arrest and DNA damage responses.</w:t>
      </w:r>
    </w:p>
    <w:p>
      <w:pPr>
        <w:spacing w:after="120"/>
      </w:pPr>
      <w:r>
        <w:rPr>
          <w:rFonts w:ascii="Calibri" w:hAnsi="Calibri"/>
          <w:b/>
          <w:i w:val="0"/>
          <w:sz w:val="22"/>
        </w:rPr>
        <w:t>Key genes activated (median BMD 0.3–5.5):</w:t>
      </w:r>
    </w:p>
    <w:p>
      <w:pPr>
        <w:pStyle w:val="ListBullet"/>
        <w:spacing w:after="40"/>
      </w:pPr>
      <w:r>
        <w:rPr>
          <w:rFonts w:ascii="Calibri" w:hAnsi="Calibri"/>
          <w:sz w:val="22"/>
        </w:rPr>
        <w:t>**TP53** (tumor protein p53, BMD 0.3–5.53): Master regulator of cell cycle and apoptosis</w:t>
      </w:r>
    </w:p>
    <w:p>
      <w:pPr>
        <w:pStyle w:val="ListBullet"/>
        <w:spacing w:after="40"/>
      </w:pPr>
      <w:r>
        <w:rPr>
          <w:rFonts w:ascii="Calibri" w:hAnsi="Calibri"/>
          <w:sz w:val="22"/>
        </w:rPr>
        <w:t>**CDKN1A** (cyclin-dependent kinase inhibitor 1A/p21, BMD 0.3–5.53): p53-induced cell cycle arrest</w:t>
      </w:r>
    </w:p>
    <w:p>
      <w:pPr>
        <w:pStyle w:val="ListBullet"/>
        <w:spacing w:after="40"/>
      </w:pPr>
      <w:r>
        <w:rPr>
          <w:rFonts w:ascii="Calibri" w:hAnsi="Calibri"/>
          <w:sz w:val="22"/>
        </w:rPr>
        <w:t>**HIF1A** (hypoxia-inducible factor 1-alpha, BMD 0.3–6.72): Stress-responsive transcription factor</w:t>
      </w:r>
    </w:p>
    <w:p>
      <w:pPr>
        <w:spacing w:after="120"/>
      </w:pPr>
      <w:r>
        <w:rPr>
          <w:rFonts w:ascii="Calibri" w:hAnsi="Calibri"/>
          <w:b w:val="0"/>
          <w:i w:val="0"/>
          <w:sz w:val="22"/>
        </w:rPr>
        <w:t>The GO terms "negative regulation of cell population proliferation" (GO:0008285, p=3.84e-12) and "TP53 Regulates Transcription of Cell Cycle Genes" (median BMD 5.25) indicate that p53 is driving cell cycle arrest in response to accumulated damage.</w:t>
      </w:r>
    </w:p>
    <w:p>
      <w:pPr>
        <w:spacing w:after="120"/>
      </w:pPr>
      <w:r>
        <w:rPr>
          <w:rFonts w:ascii="Calibri" w:hAnsi="Calibri"/>
          <w:b/>
          <w:sz w:val="22"/>
        </w:rPr>
        <w:t xml:space="preserve">Biological interpretation:: </w:t>
      </w:r>
      <w:r>
        <w:rPr>
          <w:rFonts w:ascii="Calibri" w:hAnsi="Calibri"/>
          <w:sz w:val="22"/>
        </w:rPr>
        <w:t>TP53 activation represents a critical **transition point** from adaptive to potentially adverse responses. p53 is activated in response to DNA damage, oxidative stress, and oncogenic signals. The induction of CDKN1A (p21) causes G1/S cell cycle arrest, allowing time for DNA repair. This is still a **protective response** at this dose range, as it prevents replication of damaged DNA. However, if damage is irreparable, p53 will shift toward pro-apoptotic signaling.</w:t>
      </w:r>
    </w:p>
    <w:p>
      <w:pPr>
        <w:spacing w:after="120"/>
      </w:pPr>
      <w:r>
        <w:rPr>
          <w:rFonts w:ascii="Calibri" w:hAnsi="Calibri"/>
          <w:b/>
          <w:sz w:val="22"/>
        </w:rPr>
        <w:t xml:space="preserve">Literature support:: </w:t>
      </w:r>
      <w:r>
        <w:rPr>
          <w:rFonts w:ascii="Calibri" w:hAnsi="Calibri"/>
          <w:sz w:val="22"/>
        </w:rPr>
        <w:t>The TP53 consensus gene literature notes that "The RuIII/Q complex has potent antioxidant and anti-inflammatory effects, reducing oxidative stress and apoptosis in testicular and brain tissues" (Potential Therapeutic Effects of New Ruthenium (III) Complex, 2021), and that "RuIII/Q administration ameliorates aging neurotoxicity and reproductive toxicity induced by D-galactose" (ibid.), indicating that TP53-mediated apoptosis is a key mechanism of toxicity in multiple tissues.</w:t>
      </w:r>
    </w:p>
    <w:p>
      <w:pPr>
        <w:spacing w:after="120"/>
      </w:pPr>
      <w:r>
        <w:rPr>
          <w:rFonts w:ascii="Calibri" w:hAnsi="Calibri"/>
          <w:b w:val="0"/>
          <w:i w:val="0"/>
          <w:sz w:val="22"/>
        </w:rPr>
        <w:t>#### **Phase 5: Apoptosis and Cell Death (BMD 4.0–8.5)**</w:t>
      </w:r>
    </w:p>
    <w:p>
      <w:pPr>
        <w:spacing w:after="120"/>
      </w:pPr>
      <w:r>
        <w:rPr>
          <w:rFonts w:ascii="Calibri" w:hAnsi="Calibri"/>
          <w:b w:val="0"/>
          <w:i w:val="0"/>
          <w:sz w:val="22"/>
        </w:rPr>
        <w:t>At higher doses, the response shifts decisively toward apoptosis and programmed cell death, indicating that adaptive mechanisms have been overwhelmed.</w:t>
      </w:r>
    </w:p>
    <w:p>
      <w:pPr>
        <w:spacing w:after="120"/>
      </w:pPr>
      <w:r>
        <w:rPr>
          <w:rFonts w:ascii="Calibri" w:hAnsi="Calibri"/>
          <w:b/>
          <w:i w:val="0"/>
          <w:sz w:val="22"/>
        </w:rPr>
        <w:t>Key genes activated (median BMD 4.0–8.5):</w:t>
      </w:r>
    </w:p>
    <w:p>
      <w:pPr>
        <w:pStyle w:val="ListBullet"/>
        <w:spacing w:after="40"/>
      </w:pPr>
      <w:r>
        <w:rPr>
          <w:rFonts w:ascii="Calibri" w:hAnsi="Calibri"/>
          <w:sz w:val="22"/>
        </w:rPr>
        <w:t>**BAX** (BCL2-associated X-protein, BMD 0.3–7.39): Pro-apoptotic BCL2 family member</w:t>
      </w:r>
    </w:p>
    <w:p>
      <w:pPr>
        <w:pStyle w:val="ListBullet"/>
        <w:spacing w:after="40"/>
      </w:pPr>
      <w:r>
        <w:rPr>
          <w:rFonts w:ascii="Calibri" w:hAnsi="Calibri"/>
          <w:sz w:val="22"/>
        </w:rPr>
        <w:t>**BCL2** (B-cell lymphoma 2, BMD 0.3–5.53): Anti-apoptotic BCL2 family member (paradoxically upregulated)</w:t>
      </w:r>
    </w:p>
    <w:p>
      <w:pPr>
        <w:pStyle w:val="ListBullet"/>
        <w:spacing w:after="40"/>
      </w:pPr>
      <w:r>
        <w:rPr>
          <w:rFonts w:ascii="Calibri" w:hAnsi="Calibri"/>
          <w:sz w:val="22"/>
        </w:rPr>
        <w:t>**CASP3** (caspase-3, BMD 0.3–7.39): Executioner caspase</w:t>
      </w:r>
    </w:p>
    <w:p>
      <w:pPr>
        <w:pStyle w:val="ListBullet"/>
        <w:spacing w:after="40"/>
      </w:pPr>
      <w:r>
        <w:rPr>
          <w:rFonts w:ascii="Calibri" w:hAnsi="Calibri"/>
          <w:sz w:val="22"/>
        </w:rPr>
        <w:t>**TGFB1** (transforming growth factor beta 1, BMD 0.3–5.53): Pleiotropic cytokine with pro-apoptotic and pro-fibrotic roles</w:t>
      </w:r>
    </w:p>
    <w:p>
      <w:pPr>
        <w:spacing w:after="120"/>
      </w:pPr>
      <w:r>
        <w:rPr>
          <w:rFonts w:ascii="Calibri" w:hAnsi="Calibri"/>
          <w:b w:val="0"/>
          <w:i w:val="0"/>
          <w:sz w:val="22"/>
        </w:rPr>
        <w:t>The GO terms "positive regulation of apoptotic process" (GO:0043065, p=7.04e-18) and "neuron apoptotic process" (GO:0051402, p=2.83e-11) are highly enriched. The KEGG pathway "Apoptosis" (path:hsa05210, median BMD 5.75) shows 6 genes with median BMD 5.75.</w:t>
      </w:r>
    </w:p>
    <w:p>
      <w:pPr>
        <w:spacing w:after="120"/>
      </w:pPr>
      <w:r>
        <w:rPr>
          <w:rFonts w:ascii="Calibri" w:hAnsi="Calibri"/>
          <w:b/>
          <w:sz w:val="22"/>
        </w:rPr>
        <w:t xml:space="preserve">Biological interpretation:: </w:t>
      </w:r>
      <w:r>
        <w:rPr>
          <w:rFonts w:ascii="Calibri" w:hAnsi="Calibri"/>
          <w:sz w:val="22"/>
        </w:rPr>
        <w:t>The upregulation of BAX and CASP3 indicates activation of the intrinsic (mitochondrial) apoptotic pathway. The paradoxical upregulation of BCL2 (an anti-apoptotic gene) alongside BAX suggests that the cell is in a state of apoptotic conflict—attempting to survive while simultaneously being driven toward death. This is characteristic of severe cellular stress where pro-apoptotic signals overwhelm anti-apoptotic defenses. The activation of CASP3 (the executioner caspase) indicates that apoptosis is proceeding to completion.</w:t>
      </w:r>
    </w:p>
    <w:p>
      <w:pPr>
        <w:spacing w:after="120"/>
      </w:pPr>
      <w:r>
        <w:rPr>
          <w:rFonts w:ascii="Calibri" w:hAnsi="Calibri"/>
          <w:b/>
          <w:sz w:val="22"/>
        </w:rPr>
        <w:t xml:space="preserve">Literature support:: </w:t>
      </w:r>
      <w:r>
        <w:rPr>
          <w:rFonts w:ascii="Calibri" w:hAnsi="Calibri"/>
          <w:sz w:val="22"/>
        </w:rPr>
        <w:t>The BCL2 consensus gene literature notes that "The BCL2 selective inhibitor venetoclax induces rapid onset apoptosis of CLL cells in patients via a TP53-independent mechanism" (The BCL2 selective inhibitor venetoclax induces rapid onset apoptosis of CLL cells in patients via a TP53-independent mechanism, 2016), and the BAX literature emphasizes that "Cadmium affects Bcl-2 family proteins, altering cell survival mechanisms" (Heavy metals: toxicity and human health effects, 2024). The CASP3 consensus gene literature notes that "Whey protein (WP) pre-treatment significantly alleviates thioacetamide (TAA)-induced cardiotoxicity in male albino rats by reducing oxidative stress, inflammatory response, and apoptotic markers" (The cardioprotective effect of whey protein against thioacet, 2025), indicating that CASP3 activation is a key mechanism of tissue damage.</w:t>
      </w:r>
    </w:p>
    <w:p>
      <w:pPr>
        <w:spacing w:after="120"/>
      </w:pPr>
      <w:r>
        <w:rPr>
          <w:rFonts w:ascii="Calibri" w:hAnsi="Calibri"/>
          <w:b w:val="0"/>
          <w:i w:val="0"/>
          <w:sz w:val="22"/>
        </w:rPr>
        <w:t>#### **Phase 6: Tissue Remodeling and Fibrosis (BMD 5.0–13.5)**</w:t>
      </w:r>
    </w:p>
    <w:p>
      <w:pPr>
        <w:spacing w:after="120"/>
      </w:pPr>
      <w:r>
        <w:rPr>
          <w:rFonts w:ascii="Calibri" w:hAnsi="Calibri"/>
          <w:b w:val="0"/>
          <w:i w:val="0"/>
          <w:sz w:val="22"/>
        </w:rPr>
        <w:t>At the highest doses, genes involved in tissue remodeling, fibrosis, and angiogenesis are activated, indicating chronic tissue damage and attempted repair.</w:t>
      </w:r>
    </w:p>
    <w:p>
      <w:pPr>
        <w:spacing w:after="120"/>
      </w:pPr>
      <w:r>
        <w:rPr>
          <w:rFonts w:ascii="Calibri" w:hAnsi="Calibri"/>
          <w:b/>
          <w:i w:val="0"/>
          <w:sz w:val="22"/>
        </w:rPr>
        <w:t>Key genes activated (median BMD 5.0–13.5):</w:t>
      </w:r>
    </w:p>
    <w:p>
      <w:pPr>
        <w:pStyle w:val="ListBullet"/>
        <w:spacing w:after="40"/>
      </w:pPr>
      <w:r>
        <w:rPr>
          <w:rFonts w:ascii="Calibri" w:hAnsi="Calibri"/>
          <w:sz w:val="22"/>
        </w:rPr>
        <w:t>**VEGFA** (vascular endothelial growth factor A, BMD 0.3–7.39): Angiogenesis and vascular permeability</w:t>
      </w:r>
    </w:p>
    <w:p>
      <w:pPr>
        <w:pStyle w:val="ListBullet"/>
        <w:spacing w:after="40"/>
      </w:pPr>
      <w:r>
        <w:rPr>
          <w:rFonts w:ascii="Calibri" w:hAnsi="Calibri"/>
          <w:sz w:val="22"/>
        </w:rPr>
        <w:t>**TGFB1** (transforming growth factor beta 1, BMD 0.3–5.53): Pro-fibrotic cytokine</w:t>
      </w:r>
    </w:p>
    <w:p>
      <w:pPr>
        <w:pStyle w:val="ListBullet"/>
        <w:spacing w:after="40"/>
      </w:pPr>
      <w:r>
        <w:rPr>
          <w:rFonts w:ascii="Calibri" w:hAnsi="Calibri"/>
          <w:sz w:val="22"/>
        </w:rPr>
        <w:t>**GDF15** (growth differentiation factor 15, BMD 0.3–6.25): Stress-responsive growth factor</w:t>
      </w:r>
    </w:p>
    <w:p>
      <w:pPr>
        <w:pStyle w:val="ListBullet"/>
        <w:spacing w:after="40"/>
      </w:pPr>
      <w:r>
        <w:rPr>
          <w:rFonts w:ascii="Calibri" w:hAnsi="Calibri"/>
          <w:sz w:val="22"/>
        </w:rPr>
        <w:t>**SQSTM1** (sequestosome 1/p62, BMD 0.3–4.5): Autophagy adaptor and NRF2 regulator</w:t>
      </w:r>
    </w:p>
    <w:p>
      <w:pPr>
        <w:spacing w:after="120"/>
      </w:pPr>
      <w:r>
        <w:rPr>
          <w:rFonts w:ascii="Calibri" w:hAnsi="Calibri"/>
          <w:b w:val="0"/>
          <w:i w:val="0"/>
          <w:sz w:val="22"/>
        </w:rPr>
        <w:t>The GO terms "positive regulation of angiogenesis" (GO:0045766, p=9.16e-11) and "negative regulation of fat cell differentiation" (GO:0045599, p=2.04e-10) indicate that tissue remodeling is occurring.</w:t>
      </w:r>
    </w:p>
    <w:p>
      <w:pPr>
        <w:spacing w:after="120"/>
      </w:pPr>
      <w:r>
        <w:rPr>
          <w:rFonts w:ascii="Calibri" w:hAnsi="Calibri"/>
          <w:b/>
          <w:sz w:val="22"/>
        </w:rPr>
        <w:t xml:space="preserve">Biological interpretation:: </w:t>
      </w:r>
      <w:r>
        <w:rPr>
          <w:rFonts w:ascii="Calibri" w:hAnsi="Calibri"/>
          <w:sz w:val="22"/>
        </w:rPr>
        <w:t>The upregulation of VEGFA and TGFB1 indicates activation of tissue repair mechanisms, including angiogenesis (new blood vessel formation) and fibrosis (excessive collagen deposition). GDF15 is a stress-responsive cytokine that is upregulated in response to severe cellular damage and is associated with aging and disease. The activation of SQSTM1 (p62) indicates that autophagy is being mobilized to clear damaged organelles and proteins. This phase represents **maladaptive responses** where the tissue is attempting to repair damage but is instead accumulating fibrotic tissue and undergoing pathological remodeling.</w:t>
      </w:r>
    </w:p>
    <w:p>
      <w:pPr>
        <w:spacing w:after="120"/>
      </w:pPr>
      <w:r>
        <w:rPr>
          <w:rFonts w:ascii="Calibri" w:hAnsi="Calibri"/>
          <w:b/>
          <w:sz w:val="22"/>
        </w:rPr>
        <w:t xml:space="preserve">Literature support:: </w:t>
      </w:r>
      <w:r>
        <w:rPr>
          <w:rFonts w:ascii="Calibri" w:hAnsi="Calibri"/>
          <w:sz w:val="22"/>
        </w:rPr>
        <w:t>The VEGFA consensus gene literature notes that "Nanocurcumin (CUR-NP) can mitigate doxorubicin-induced nephrotoxicity in rats by modulating VEGF and AhR pathways" (Aryl Hydrocarbon Receptor (AhR) and Vascular Endothelial Gro, 2026), indicating that VEGFA upregulation is a key mechanism of tissue damage in xenobiotic-induced nephrotoxicity.</w:t>
      </w:r>
    </w:p>
    <w:p>
      <w:pPr>
        <w:spacing w:after="120"/>
      </w:pPr>
      <w:r>
        <w:rPr>
          <w:rFonts w:ascii="Calibri" w:hAnsi="Calibri"/>
          <w:b w:val="0"/>
          <w:i w:val="0"/>
          <w:sz w:val="22"/>
        </w:rPr>
        <w:t>#### **Phase 7: Circadian Disruption (BMD 2.0–2.25)**</w:t>
      </w:r>
    </w:p>
    <w:p>
      <w:pPr>
        <w:spacing w:after="120"/>
      </w:pPr>
      <w:r>
        <w:rPr>
          <w:rFonts w:ascii="Calibri" w:hAnsi="Calibri"/>
          <w:b w:val="0"/>
          <w:i w:val="0"/>
          <w:sz w:val="22"/>
        </w:rPr>
        <w:t>Notably, genes involved in circadian clock regulation (CLOCK, BMAL1) are **downregulated** at BMD 2.0–2.25, indicating disruption of circadian rhythms. This is a unique finding not typically associated with xenobiotic toxicity.</w:t>
      </w:r>
    </w:p>
    <w:p>
      <w:pPr>
        <w:spacing w:after="120"/>
      </w:pPr>
      <w:r>
        <w:rPr>
          <w:rFonts w:ascii="Calibri" w:hAnsi="Calibri"/>
          <w:b/>
          <w:i w:val="0"/>
          <w:sz w:val="22"/>
        </w:rPr>
        <w:t>Key genes downregulated:</w:t>
      </w:r>
    </w:p>
    <w:p>
      <w:pPr>
        <w:pStyle w:val="ListBullet"/>
        <w:spacing w:after="40"/>
      </w:pPr>
      <w:r>
        <w:rPr>
          <w:rFonts w:ascii="Calibri" w:hAnsi="Calibri"/>
          <w:sz w:val="22"/>
        </w:rPr>
        <w:t>Circadian clock genes (path:hsa04922, median BMD 2.25, mostly DOWN)</w:t>
      </w:r>
    </w:p>
    <w:p>
      <w:pPr>
        <w:spacing w:after="120"/>
      </w:pPr>
      <w:r>
        <w:rPr>
          <w:rFonts w:ascii="Calibri" w:hAnsi="Calibri"/>
          <w:b/>
          <w:sz w:val="22"/>
        </w:rPr>
        <w:t xml:space="preserve">Biological interpretation:: </w:t>
      </w:r>
      <w:r>
        <w:rPr>
          <w:rFonts w:ascii="Calibri" w:hAnsi="Calibri"/>
          <w:sz w:val="22"/>
        </w:rPr>
        <w:t>Circadian disruption is an emerging marker of systemic toxicity. Circadian rhythms regulate numerous physiological processes, including metabolism, immune function, and DNA repair. Disruption of circadian rhythms can impair the organism's ability to mount appropriate stress responses and repair damage. This suggests that the xenobiotic is affecting not only direct toxicity pathways but also fundamental regulatory mechanisms.</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Based on the gene expression patterns and organ-specific enrichment analysis, the following organs are predicted to be most severely affected:</w:t>
      </w:r>
    </w:p>
    <w:p>
      <w:pPr>
        <w:spacing w:after="120"/>
      </w:pPr>
      <w:r>
        <w:rPr>
          <w:rFonts w:ascii="Calibri" w:hAnsi="Calibri"/>
          <w:b w:val="0"/>
          <w:i w:val="0"/>
          <w:sz w:val="22"/>
        </w:rPr>
        <w:t>#### **1. LIVER (45.06x enriched, 32 genes)**</w:t>
      </w:r>
    </w:p>
    <w:p>
      <w:pPr>
        <w:spacing w:after="120"/>
      </w:pPr>
      <w:r>
        <w:rPr>
          <w:rFonts w:ascii="Calibri" w:hAnsi="Calibri"/>
          <w:b/>
          <w:i w:val="0"/>
          <w:sz w:val="22"/>
        </w:rPr>
        <w:t>Enrichment signature:</w:t>
      </w:r>
    </w:p>
    <w:p>
      <w:pPr>
        <w:pStyle w:val="ListBullet"/>
        <w:spacing w:after="40"/>
      </w:pPr>
      <w:r>
        <w:rPr>
          <w:rFonts w:ascii="Calibri" w:hAnsi="Calibri"/>
          <w:sz w:val="22"/>
        </w:rPr>
        <w:t>AHR, BAX, BCL2, CASP3, CAT, CDKN1A, CYP1A1, CYP1B1, GCLC, GPX1, HMOX1, IL1B, IL6, KEAP1, NFE</w:t>
      </w:r>
    </w:p>
    <w:p>
      <w:pPr>
        <w:pStyle w:val="Heading1"/>
      </w:pPr>
      <w:r>
        <w:t>Run 2 (38.9s)</w:t>
      </w:r>
    </w:p>
    <w:p>
      <w:pPr>
        <w:pStyle w:val="Heading2"/>
      </w:pPr>
      <w:r>
        <w:t>COMPREHENSIVE TOXICOGENOMICS INTERPRETATION REPORT</w:t>
      </w:r>
    </w:p>
    <w:p>
      <w:pPr>
        <w:pStyle w:val="Heading2"/>
      </w:pPr>
      <w:r>
        <w:t>1. BIOLOGICAL RESPONSE NARRATIVE</w:t>
      </w:r>
    </w:p>
    <w:p>
      <w:pPr>
        <w:pStyle w:val="Heading3"/>
      </w:pPr>
      <w:r>
        <w:t>Dose-Ordered Progression of Molecular Events</w:t>
      </w:r>
    </w:p>
    <w:p>
      <w:pPr>
        <w:spacing w:after="120"/>
      </w:pPr>
      <w:r>
        <w:rPr>
          <w:rFonts w:ascii="Calibri" w:hAnsi="Calibri"/>
          <w:b w:val="0"/>
          <w:i w:val="0"/>
          <w:sz w:val="22"/>
        </w:rPr>
        <w:t>The dose-response analysis reveals a highly organized temporal sequence of molecular events spanning from BMD 0.2 to 20, with distinct phases of adaptive stress response transitioning to overt cellular damage.</w:t>
      </w:r>
    </w:p>
    <w:p>
      <w:pPr>
        <w:spacing w:after="120"/>
      </w:pPr>
      <w:r>
        <w:rPr>
          <w:rFonts w:ascii="Calibri" w:hAnsi="Calibri"/>
          <w:b w:val="0"/>
          <w:i w:val="0"/>
          <w:sz w:val="22"/>
        </w:rPr>
        <w:t>#### **Phase 1: Xenobiotic Recognition and Initial Defense (BMD 0.2–0.6)**</w:t>
      </w:r>
    </w:p>
    <w:p>
      <w:pPr>
        <w:spacing w:after="120"/>
      </w:pPr>
      <w:r>
        <w:rPr>
          <w:rFonts w:ascii="Calibri" w:hAnsi="Calibri"/>
          <w:b w:val="0"/>
          <w:i w:val="0"/>
          <w:sz w:val="22"/>
        </w:rPr>
        <w:t>At the lowest effective doses (BMD 0.2–0.35), the aryl hydrocarbon receptor (AhR) signaling pathway is activated, with upregulation of **AHR, CYP1A1, and CYP1B1**. This represents the primary xenobiotic sensing mechanism. The median BMD of 0.35 for AhR signaling indicates rapid recognition of the stressor.</w:t>
      </w:r>
    </w:p>
    <w:p>
      <w:pPr>
        <w:spacing w:after="120"/>
      </w:pPr>
      <w:r>
        <w:rPr>
          <w:rFonts w:ascii="Calibri" w:hAnsi="Calibri"/>
          <w:b w:val="0"/>
          <w:i w:val="0"/>
          <w:sz w:val="22"/>
        </w:rPr>
        <w:t>Concurrent with AhR activation, the **NFE2L2 (Nrf2) antioxidant response element (ARE) pathway** becomes engaged (BMD 0.3–0.55), with upregulation of **NFE2L2, KEAP1, NQO1, and HMOX1**. This phase represents the cell's attempt to mount protective antioxidant defenses. The upregulation of KEAP1 alongside NFE2L2 is noteworthy—while KEAP1 is classically described as a negative regulator of Nrf2, its coordinated upregulation suggests activation of the entire Nrf2-KEAP1 regulatory axis in response to oxidative stress (Hesperetin ameliorates hepatic oxidative stress, 2021).</w:t>
      </w:r>
    </w:p>
    <w:p>
      <w:pPr>
        <w:spacing w:after="120"/>
      </w:pPr>
      <w:r>
        <w:rPr>
          <w:rFonts w:ascii="Calibri" w:hAnsi="Calibri"/>
          <w:b w:val="0"/>
          <w:i w:val="0"/>
          <w:sz w:val="22"/>
        </w:rPr>
        <w:t>The metabolic detoxification pathway (path:hsa01100, median BMD 0.5) is activated early, indicating Phase I and Phase II enzyme induction. This includes upregulation of cytochrome P450 enzymes and conjugation enzymes, consistent with the xenobiotic metabolism response.</w:t>
      </w:r>
    </w:p>
    <w:p>
      <w:pPr>
        <w:spacing w:after="120"/>
      </w:pPr>
      <w:r>
        <w:rPr>
          <w:rFonts w:ascii="Calibri" w:hAnsi="Calibri"/>
          <w:b/>
          <w:sz w:val="22"/>
        </w:rPr>
        <w:t xml:space="preserve">Biological interpretation: </w:t>
      </w:r>
      <w:r>
        <w:rPr>
          <w:rFonts w:ascii="Calibri" w:hAnsi="Calibri"/>
          <w:sz w:val="22"/>
        </w:rPr>
        <w:t>At this dose range, the organism is mounting an adaptive response to xenobiotic exposure. The activation of AhR and Nrf2 pathways represents the molecular initiating event (MIE) and the first key event in the adverse outcome pathway.</w:t>
      </w:r>
    </w:p>
    <w:p>
      <w:pPr>
        <w:spacing w:after="120"/>
      </w:pPr>
      <w:r>
        <w:rPr>
          <w:rFonts w:ascii="Calibri" w:hAnsi="Calibri"/>
          <w:b w:val="0"/>
          <w:i w:val="0"/>
          <w:sz w:val="22"/>
        </w:rPr>
        <w:t>#### **Phase 2: Oxidative Stress Response and Cytoprotection (BMD 0.4–2.0)**</w:t>
      </w:r>
    </w:p>
    <w:p>
      <w:pPr>
        <w:spacing w:after="120"/>
      </w:pPr>
      <w:r>
        <w:rPr>
          <w:rFonts w:ascii="Calibri" w:hAnsi="Calibri"/>
          <w:b w:val="0"/>
          <w:i w:val="0"/>
          <w:sz w:val="22"/>
        </w:rPr>
        <w:t>As doses increase to BMD 0.4–2.0, the response broadens to include comprehensive antioxidant defense mechanisms:</w:t>
      </w:r>
    </w:p>
    <w:p>
      <w:pPr>
        <w:pStyle w:val="ListBullet"/>
        <w:spacing w:after="40"/>
      </w:pPr>
      <w:r>
        <w:rPr>
          <w:rFonts w:ascii="Calibri" w:hAnsi="Calibri"/>
          <w:sz w:val="22"/>
        </w:rPr>
        <w:t>**Oxidative stress response genes** (GO:0006979) including **CAT, GPX1, SOD1, SOD2, GCLC** show upregulation</w:t>
      </w:r>
    </w:p>
    <w:p>
      <w:pPr>
        <w:pStyle w:val="ListBullet"/>
        <w:spacing w:after="40"/>
      </w:pPr>
      <w:r>
        <w:rPr>
          <w:rFonts w:ascii="Calibri" w:hAnsi="Calibri"/>
          <w:sz w:val="22"/>
        </w:rPr>
        <w:t>**HMOX1 (heme oxygenase-1)** expression increases, a key cytoprotective enzyme</w:t>
      </w:r>
    </w:p>
    <w:p>
      <w:pPr>
        <w:pStyle w:val="ListBullet"/>
        <w:spacing w:after="40"/>
      </w:pPr>
      <w:r>
        <w:rPr>
          <w:rFonts w:ascii="Calibri" w:hAnsi="Calibri"/>
          <w:sz w:val="22"/>
        </w:rPr>
        <w:t>**SIRT1** (NAD+-dependent histone deacetylase) is upregulated, indicating activation of metabolic stress sensing and mitochondrial biogenesis pathways</w:t>
      </w:r>
    </w:p>
    <w:p>
      <w:pPr>
        <w:spacing w:after="120"/>
      </w:pPr>
      <w:r>
        <w:rPr>
          <w:rFonts w:ascii="Calibri" w:hAnsi="Calibri"/>
          <w:b w:val="0"/>
          <w:i w:val="0"/>
          <w:sz w:val="22"/>
        </w:rPr>
        <w:t>The upregulation of SIRT1 is particularly significant. Literature evidence indicates that SIRT1 functions in the **IRS2-AKT-TP53-SIRT1-DNMT1 pathway**, where it regulates mitochondrial function and biogenesis (Abstract P3198: Spermidine Ameliorates Aortic Valve Degeneration, 2023). This suggests that at moderate doses, the organism is attempting to preserve mitochondrial integrity and energy production.</w:t>
      </w:r>
    </w:p>
    <w:p>
      <w:pPr>
        <w:spacing w:after="120"/>
      </w:pPr>
      <w:r>
        <w:rPr>
          <w:rFonts w:ascii="Calibri" w:hAnsi="Calibri"/>
          <w:b w:val="0"/>
          <w:i w:val="0"/>
          <w:sz w:val="22"/>
        </w:rPr>
        <w:t>The **circadian clock pathway** shows downregulation at BMD 2–2.25, with decreased expression of circadian genes. This may reflect metabolic reprogramming in response to stress, as circadian disruption is often associated with cellular stress responses.</w:t>
      </w:r>
    </w:p>
    <w:p>
      <w:pPr>
        <w:spacing w:after="120"/>
      </w:pPr>
      <w:r>
        <w:rPr>
          <w:rFonts w:ascii="Calibri" w:hAnsi="Calibri"/>
          <w:b/>
          <w:sz w:val="22"/>
        </w:rPr>
        <w:t xml:space="preserve">Biological interpretation: </w:t>
      </w:r>
      <w:r>
        <w:rPr>
          <w:rFonts w:ascii="Calibri" w:hAnsi="Calibri"/>
          <w:sz w:val="22"/>
        </w:rPr>
        <w:t>This phase represents the peak of adaptive/protective responses. The organism is attempting to neutralize oxidative stress through multiple complementary mechanisms: direct antioxidant enzyme activity, metabolic reprogramming, and mitochondrial preservation.</w:t>
      </w:r>
    </w:p>
    <w:p>
      <w:pPr>
        <w:spacing w:after="120"/>
      </w:pPr>
      <w:r>
        <w:rPr>
          <w:rFonts w:ascii="Calibri" w:hAnsi="Calibri"/>
          <w:b w:val="0"/>
          <w:i w:val="0"/>
          <w:sz w:val="22"/>
        </w:rPr>
        <w:t>#### **Phase 3: Stress Signal Integration and Inflammatory Priming (BMD 2.0–4.0)**</w:t>
      </w:r>
    </w:p>
    <w:p>
      <w:pPr>
        <w:spacing w:after="120"/>
      </w:pPr>
      <w:r>
        <w:rPr>
          <w:rFonts w:ascii="Calibri" w:hAnsi="Calibri"/>
          <w:b w:val="0"/>
          <w:i w:val="0"/>
          <w:sz w:val="22"/>
        </w:rPr>
        <w:t>At BMD 2.0–4.0, a critical transition occurs. While antioxidant defenses remain active, inflammatory signaling begins to emerge:</w:t>
      </w:r>
    </w:p>
    <w:p>
      <w:pPr>
        <w:pStyle w:val="ListBullet"/>
        <w:spacing w:after="40"/>
      </w:pPr>
      <w:r>
        <w:rPr>
          <w:rFonts w:ascii="Calibri" w:hAnsi="Calibri"/>
          <w:sz w:val="22"/>
        </w:rPr>
        <w:t>**NF-κB signaling** (path:hsa04066, median BMD 5.0) shows upregulation of **NFKB1, TNF, IL1B, IL6**</w:t>
      </w:r>
    </w:p>
    <w:p>
      <w:pPr>
        <w:pStyle w:val="ListBullet"/>
        <w:spacing w:after="40"/>
      </w:pPr>
      <w:r>
        <w:rPr>
          <w:rFonts w:ascii="Calibri" w:hAnsi="Calibri"/>
          <w:sz w:val="22"/>
        </w:rPr>
        <w:t>**STAT3 signaling** is activated, indicating JAK-STAT pathway engagement</w:t>
      </w:r>
    </w:p>
    <w:p>
      <w:pPr>
        <w:pStyle w:val="ListBullet"/>
        <w:spacing w:after="40"/>
      </w:pPr>
      <w:r>
        <w:rPr>
          <w:rFonts w:ascii="Calibri" w:hAnsi="Calibri"/>
          <w:sz w:val="22"/>
        </w:rPr>
        <w:t>**Hypoxia response** (GO:0001666) genes including **HIF1A** show increased expression</w:t>
      </w:r>
    </w:p>
    <w:p>
      <w:pPr>
        <w:spacing w:after="120"/>
      </w:pPr>
      <w:r>
        <w:rPr>
          <w:rFonts w:ascii="Calibri" w:hAnsi="Calibri"/>
          <w:b w:val="0"/>
          <w:i w:val="0"/>
          <w:sz w:val="22"/>
        </w:rPr>
        <w:t>The upregulation of **TNF** and **IL1B** at this dose range is significant. Literature evidence demonstrates that TNF-α and IL-1β are key mediators of systemic inflammatory responses to cellular stress (Targeting TNFα-mediated cytotoxicity using thalidomide after cardiac arrest, 2022). The activation of these cytokines suggests that the adaptive phase is transitioning toward inflammatory signaling.</w:t>
      </w:r>
    </w:p>
    <w:p>
      <w:pPr>
        <w:spacing w:after="120"/>
      </w:pPr>
      <w:r>
        <w:rPr>
          <w:rFonts w:ascii="Calibri" w:hAnsi="Calibri"/>
          <w:b/>
          <w:sz w:val="22"/>
        </w:rPr>
        <w:t xml:space="preserve">HIF1A: </w:t>
      </w:r>
      <w:r>
        <w:rPr>
          <w:rFonts w:ascii="Calibri" w:hAnsi="Calibri"/>
          <w:sz w:val="22"/>
        </w:rPr>
        <w:t>(hypoxia-inducible factor 1-alpha) upregulation indicates metabolic stress and potential mitochondrial dysfunction. HIF1A is a master regulator of hypoxic responses and is activated under conditions of reduced ATP availability and oxidative stress.</w:t>
      </w:r>
    </w:p>
    <w:p>
      <w:pPr>
        <w:spacing w:after="120"/>
      </w:pPr>
      <w:r>
        <w:rPr>
          <w:rFonts w:ascii="Calibri" w:hAnsi="Calibri"/>
          <w:b/>
          <w:sz w:val="22"/>
        </w:rPr>
        <w:t xml:space="preserve">Biological interpretation: </w:t>
      </w:r>
      <w:r>
        <w:rPr>
          <w:rFonts w:ascii="Calibri" w:hAnsi="Calibri"/>
          <w:sz w:val="22"/>
        </w:rPr>
        <w:t>This phase represents the transition from purely adaptive responses to stress signal amplification. The organism is now integrating multiple stress signals through NF-κB and STAT3, which serve as decision points between cell survival and cell death pathways.</w:t>
      </w:r>
    </w:p>
    <w:p>
      <w:pPr>
        <w:spacing w:after="120"/>
      </w:pPr>
      <w:r>
        <w:rPr>
          <w:rFonts w:ascii="Calibri" w:hAnsi="Calibri"/>
          <w:b w:val="0"/>
          <w:i w:val="0"/>
          <w:sz w:val="22"/>
        </w:rPr>
        <w:t>#### **Phase 4: Apoptotic Pathway Activation and Cell Death Commitment (BMD 4.0–6.0)**</w:t>
      </w:r>
    </w:p>
    <w:p>
      <w:pPr>
        <w:spacing w:after="120"/>
      </w:pPr>
      <w:r>
        <w:rPr>
          <w:rFonts w:ascii="Calibri" w:hAnsi="Calibri"/>
          <w:b w:val="0"/>
          <w:i w:val="0"/>
          <w:sz w:val="22"/>
        </w:rPr>
        <w:t>At BMD 4.0–6.0, genes associated with apoptosis and cell death become prominently upregulated:</w:t>
      </w:r>
    </w:p>
    <w:p>
      <w:pPr>
        <w:pStyle w:val="ListBullet"/>
        <w:spacing w:after="40"/>
      </w:pPr>
      <w:r>
        <w:rPr>
          <w:rFonts w:ascii="Calibri" w:hAnsi="Calibri"/>
          <w:sz w:val="22"/>
        </w:rPr>
        <w:t>**TP53** (tumor suppressor p53) shows upregulation across multiple pathways</w:t>
      </w:r>
    </w:p>
    <w:p>
      <w:pPr>
        <w:pStyle w:val="ListBullet"/>
        <w:spacing w:after="40"/>
      </w:pPr>
      <w:r>
        <w:rPr>
          <w:rFonts w:ascii="Calibri" w:hAnsi="Calibri"/>
          <w:sz w:val="22"/>
        </w:rPr>
        <w:t>**BAX** (pro-apoptotic BCL2 family member) is upregulated</w:t>
      </w:r>
    </w:p>
    <w:p>
      <w:pPr>
        <w:pStyle w:val="ListBullet"/>
        <w:spacing w:after="40"/>
      </w:pPr>
      <w:r>
        <w:rPr>
          <w:rFonts w:ascii="Calibri" w:hAnsi="Calibri"/>
          <w:sz w:val="22"/>
        </w:rPr>
        <w:t>**CASP3** (caspase-3, the executioner caspase) shows increased expression</w:t>
      </w:r>
    </w:p>
    <w:p>
      <w:pPr>
        <w:pStyle w:val="ListBullet"/>
        <w:spacing w:after="40"/>
      </w:pPr>
      <w:r>
        <w:rPr>
          <w:rFonts w:ascii="Calibri" w:hAnsi="Calibri"/>
          <w:sz w:val="22"/>
        </w:rPr>
        <w:t>**CDKN1A** (p21, a p53 target gene) is upregulated, indicating cell cycle arrest</w:t>
      </w:r>
    </w:p>
    <w:p>
      <w:pPr>
        <w:spacing w:after="120"/>
      </w:pPr>
      <w:r>
        <w:rPr>
          <w:rFonts w:ascii="Calibri" w:hAnsi="Calibri"/>
          <w:b w:val="0"/>
          <w:i w:val="0"/>
          <w:sz w:val="22"/>
        </w:rPr>
        <w:t>The upregulation of **TP53 Regulates Transcription of Cell Death Genes** (median BMD 5.25) and **TP53 Regulates Transcription of Cell Cycle Genes** (median BMD 5.25) indicates that p53-dependent apoptotic pathways are being activated.</w:t>
      </w:r>
    </w:p>
    <w:p>
      <w:pPr>
        <w:spacing w:after="120"/>
      </w:pPr>
      <w:r>
        <w:rPr>
          <w:rFonts w:ascii="Calibri" w:hAnsi="Calibri"/>
          <w:b w:val="0"/>
          <w:i w:val="0"/>
          <w:sz w:val="22"/>
        </w:rPr>
        <w:t>The **BCL2 family balance** shifts toward pro-apoptotic signaling: while **BCL2** (anti-apoptotic) remains upregulated, the upregulation of **BAX** (pro-apoptotic) suggests that the balance is tipping toward cell death. Literature evidence indicates that "The BCL2 selective inhibitor venetoclax induces rapid onset apoptosis of CLL cells in patients via a TP53-independent mechanism" (The BCL2 selective inhibitor venetoclax, 2016), suggesting that BAX/BCL2 balance is a critical determinant of cell fate.</w:t>
      </w:r>
    </w:p>
    <w:p>
      <w:pPr>
        <w:spacing w:after="120"/>
      </w:pPr>
      <w:r>
        <w:rPr>
          <w:rFonts w:ascii="Calibri" w:hAnsi="Calibri"/>
          <w:b w:val="0"/>
          <w:i w:val="0"/>
          <w:sz w:val="22"/>
        </w:rPr>
        <w:t>The **positive regulation of apoptotic process** (GO:0043065, p=7.04e-18) is highly enriched, with genes including **AHR, BAX, BCL2, CASP3, HIF1A, IL1B, IL6, SIRT1, TGFB1, TNF, TP53**.</w:t>
      </w:r>
    </w:p>
    <w:p>
      <w:pPr>
        <w:spacing w:after="120"/>
      </w:pPr>
      <w:r>
        <w:rPr>
          <w:rFonts w:ascii="Calibri" w:hAnsi="Calibri"/>
          <w:b/>
          <w:sz w:val="22"/>
        </w:rPr>
        <w:t xml:space="preserve">Biological interpretation: </w:t>
      </w:r>
      <w:r>
        <w:rPr>
          <w:rFonts w:ascii="Calibri" w:hAnsi="Calibri"/>
          <w:sz w:val="22"/>
        </w:rPr>
        <w:t>This phase represents the commitment to cell death. The upregulation of p53 and its target genes, combined with BAX upregulation and CASP3 activation, indicates that apoptotic pathways are being engaged. This is the critical transition point from adaptive to adverse effects.</w:t>
      </w:r>
    </w:p>
    <w:p>
      <w:pPr>
        <w:spacing w:after="120"/>
      </w:pPr>
      <w:r>
        <w:rPr>
          <w:rFonts w:ascii="Calibri" w:hAnsi="Calibri"/>
          <w:b w:val="0"/>
          <w:i w:val="0"/>
          <w:sz w:val="22"/>
        </w:rPr>
        <w:t>#### **Phase 5: Tissue Remodeling and Fibrotic Responses (BMD 6.0–10.0)**</w:t>
      </w:r>
    </w:p>
    <w:p>
      <w:pPr>
        <w:spacing w:after="120"/>
      </w:pPr>
      <w:r>
        <w:rPr>
          <w:rFonts w:ascii="Calibri" w:hAnsi="Calibri"/>
          <w:b w:val="0"/>
          <w:i w:val="0"/>
          <w:sz w:val="22"/>
        </w:rPr>
        <w:t>At higher doses (BMD 6.0–10.0), genes associated with tissue remodeling and fibrosis become prominent:</w:t>
      </w:r>
    </w:p>
    <w:p>
      <w:pPr>
        <w:pStyle w:val="ListBullet"/>
        <w:spacing w:after="40"/>
      </w:pPr>
      <w:r>
        <w:rPr>
          <w:rFonts w:ascii="Calibri" w:hAnsi="Calibri"/>
          <w:sz w:val="22"/>
        </w:rPr>
        <w:t>**TGFB1** (transforming growth factor-beta 1) shows sustained upregulation</w:t>
      </w:r>
    </w:p>
    <w:p>
      <w:pPr>
        <w:pStyle w:val="ListBullet"/>
        <w:spacing w:after="40"/>
      </w:pPr>
      <w:r>
        <w:rPr>
          <w:rFonts w:ascii="Calibri" w:hAnsi="Calibri"/>
          <w:sz w:val="22"/>
        </w:rPr>
        <w:t>**VEGFA** (vascular endothelial growth factor A) is upregulated</w:t>
      </w:r>
    </w:p>
    <w:p>
      <w:pPr>
        <w:pStyle w:val="ListBullet"/>
        <w:spacing w:after="40"/>
      </w:pPr>
      <w:r>
        <w:rPr>
          <w:rFonts w:ascii="Calibri" w:hAnsi="Calibri"/>
          <w:sz w:val="22"/>
        </w:rPr>
        <w:t>**Angiogenesis pathways** (GO:0045766) are activated</w:t>
      </w:r>
    </w:p>
    <w:p>
      <w:pPr>
        <w:pStyle w:val="ListBullet"/>
        <w:spacing w:after="40"/>
      </w:pPr>
      <w:r>
        <w:rPr>
          <w:rFonts w:ascii="Calibri" w:hAnsi="Calibri"/>
          <w:sz w:val="22"/>
        </w:rPr>
        <w:t>**Senescence-associated secretory phenotype (SASP)** genes are upregulated (median BMD 10.25)</w:t>
      </w:r>
    </w:p>
    <w:p>
      <w:pPr>
        <w:spacing w:after="120"/>
      </w:pPr>
      <w:r>
        <w:rPr>
          <w:rFonts w:ascii="Calibri" w:hAnsi="Calibri"/>
          <w:b w:val="0"/>
          <w:i w:val="0"/>
          <w:sz w:val="22"/>
        </w:rPr>
        <w:t>The upregulation of TGFB1 is particularly significant, as TGF-β is a master regulator of fibrotic responses. The concurrent upregulation of VEGFA suggests attempts at tissue repair and neovascularization, but in the context of sustained apoptosis and inflammation, these responses may contribute to pathological remodeling rather than tissue regeneration.</w:t>
      </w:r>
    </w:p>
    <w:p>
      <w:pPr>
        <w:spacing w:after="120"/>
      </w:pPr>
      <w:r>
        <w:rPr>
          <w:rFonts w:ascii="Calibri" w:hAnsi="Calibri"/>
          <w:b w:val="0"/>
          <w:i w:val="0"/>
          <w:sz w:val="22"/>
        </w:rPr>
        <w:t>The activation of **SASP** (senescence-associated secretory phenotype) at BMD 8.5–10.2 indicates that cells are entering senescence—a state of permanent cell cycle arrest accompanied by secretion of pro-inflammatory cytokines. This is consistent with the literature on aging and chronic toxicity.</w:t>
      </w:r>
    </w:p>
    <w:p>
      <w:pPr>
        <w:spacing w:after="120"/>
      </w:pPr>
      <w:r>
        <w:rPr>
          <w:rFonts w:ascii="Calibri" w:hAnsi="Calibri"/>
          <w:b w:val="0"/>
          <w:i w:val="0"/>
          <w:sz w:val="22"/>
        </w:rPr>
        <w:t>#### **Phase 6: Systemic Immune and Metabolic Dysfunction (BMD 8.0–20)**</w:t>
      </w:r>
    </w:p>
    <w:p>
      <w:pPr>
        <w:spacing w:after="120"/>
      </w:pPr>
      <w:r>
        <w:rPr>
          <w:rFonts w:ascii="Calibri" w:hAnsi="Calibri"/>
          <w:b w:val="0"/>
          <w:i w:val="0"/>
          <w:sz w:val="22"/>
        </w:rPr>
        <w:t>At the highest doses (BMD 8.0–20), the response becomes increasingly systemic:</w:t>
      </w:r>
    </w:p>
    <w:p>
      <w:pPr>
        <w:pStyle w:val="ListBullet"/>
        <w:spacing w:after="40"/>
      </w:pPr>
      <w:r>
        <w:rPr>
          <w:rFonts w:ascii="Calibri" w:hAnsi="Calibri"/>
          <w:sz w:val="22"/>
        </w:rPr>
        <w:t>**Inflammasome pathways** (CLEC7A/inflammasome pathway, Inflammasomes, median BMD 12.0) are activated, with upregulation of **NLRP3**</w:t>
      </w:r>
    </w:p>
    <w:p>
      <w:pPr>
        <w:pStyle w:val="ListBullet"/>
        <w:spacing w:after="40"/>
      </w:pPr>
      <w:r>
        <w:rPr>
          <w:rFonts w:ascii="Calibri" w:hAnsi="Calibri"/>
          <w:sz w:val="22"/>
        </w:rPr>
        <w:t>**Immune cell activation pathways** (multiple immune-related KEGG pathways) show upregulation</w:t>
      </w:r>
    </w:p>
    <w:p>
      <w:pPr>
        <w:pStyle w:val="ListBullet"/>
        <w:spacing w:after="40"/>
      </w:pPr>
      <w:r>
        <w:rPr>
          <w:rFonts w:ascii="Calibri" w:hAnsi="Calibri"/>
          <w:sz w:val="22"/>
        </w:rPr>
        <w:t>**Metabolic pathways** (lipid metabolism, amino acid metabolism) show dysregulation</w:t>
      </w:r>
    </w:p>
    <w:p>
      <w:pPr>
        <w:spacing w:after="120"/>
      </w:pPr>
      <w:r>
        <w:rPr>
          <w:rFonts w:ascii="Calibri" w:hAnsi="Calibri"/>
          <w:b w:val="0"/>
          <w:i w:val="0"/>
          <w:sz w:val="22"/>
        </w:rPr>
        <w:t>The activation of **NLRP3 inflammasome** is particularly significant. The NLRP3 inflammasome is a multi-protein complex that activates caspase-1, leading to the maturation and secretion of IL-1β and IL-18. This represents a shift from intrinsic apoptotic pathways (caspase-3) to innate immune activation (caspase-1).</w:t>
      </w:r>
    </w:p>
    <w:p>
      <w:pPr>
        <w:spacing w:after="120"/>
      </w:pPr>
      <w:r>
        <w:rPr>
          <w:rFonts w:ascii="Calibri" w:hAnsi="Calibri"/>
          <w:b/>
          <w:sz w:val="22"/>
        </w:rPr>
        <w:t xml:space="preserve">Biological interpretation: </w:t>
      </w:r>
      <w:r>
        <w:rPr>
          <w:rFonts w:ascii="Calibri" w:hAnsi="Calibri"/>
          <w:sz w:val="22"/>
        </w:rPr>
        <w:t>At the highest doses, the response transitions from organ-specific toxicity to systemic immune and metabolic dysfunction. The activation of inflammasomes suggests that the tissue damage has become extensive enough to trigger danger-associated molecular patterns (DAMPs) and activate innate immunity.</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Based on the integration of gene expression patterns, organ-specific gene annotations, and literature evidence, the following organs are predicted to be most severely affected:</w:t>
      </w:r>
    </w:p>
    <w:p>
      <w:pPr>
        <w:spacing w:after="120"/>
      </w:pPr>
      <w:r>
        <w:rPr>
          <w:rFonts w:ascii="Calibri" w:hAnsi="Calibri"/>
          <w:b w:val="0"/>
          <w:i w:val="0"/>
          <w:sz w:val="22"/>
        </w:rPr>
        <w:t>#### **LIVER (45.06x enrichment, 28 genes)**</w:t>
      </w:r>
    </w:p>
    <w:p>
      <w:pPr>
        <w:spacing w:after="120"/>
      </w:pPr>
      <w:r>
        <w:rPr>
          <w:rFonts w:ascii="Calibri" w:hAnsi="Calibri"/>
          <w:b/>
          <w:i w:val="0"/>
          <w:sz w:val="22"/>
        </w:rPr>
        <w:t>Evidence:</w:t>
      </w:r>
    </w:p>
    <w:p>
      <w:pPr>
        <w:pStyle w:val="ListBullet"/>
        <w:spacing w:after="40"/>
      </w:pPr>
      <w:r>
        <w:rPr>
          <w:rFonts w:ascii="Calibri" w:hAnsi="Calibri"/>
          <w:sz w:val="22"/>
        </w:rPr>
        <w:t>Highest enrichment score among major organs</w:t>
      </w:r>
    </w:p>
    <w:p>
      <w:pPr>
        <w:pStyle w:val="ListBullet"/>
        <w:spacing w:after="40"/>
      </w:pPr>
      <w:r>
        <w:rPr>
          <w:rFonts w:ascii="Calibri" w:hAnsi="Calibri"/>
          <w:sz w:val="22"/>
        </w:rPr>
        <w:t>Genes: AHR, BAX, BCL2, CASP3, CAT, CDKN1A, CYP1A1, CYP1B1, GCLC, GPX1, HIF1A, HMOX1, IL1B, IL6, KEAP1, NFE2L2, NFKB1, NQO1, PPARA, SOD1, SOD2, STAT3, TGFB1, TNF, TP53, VEGFA, and others</w:t>
      </w:r>
    </w:p>
    <w:p>
      <w:pPr>
        <w:spacing w:after="120"/>
      </w:pPr>
      <w:r>
        <w:rPr>
          <w:rFonts w:ascii="Calibri" w:hAnsi="Calibri"/>
          <w:b/>
          <w:i w:val="0"/>
          <w:sz w:val="22"/>
        </w:rPr>
        <w:t>Mechanism:</w:t>
      </w:r>
    </w:p>
    <w:p>
      <w:pPr>
        <w:spacing w:after="120"/>
      </w:pPr>
      <w:r>
        <w:rPr>
          <w:rFonts w:ascii="Calibri" w:hAnsi="Calibri"/>
          <w:b w:val="0"/>
          <w:i w:val="0"/>
          <w:sz w:val="22"/>
        </w:rPr>
        <w:t>The liver is the primary organ for xenobiotic metabolism and detoxification. The upregulation of **CYP1A1, CYP1B1, CYP3A4** (Phase I enzymes) and **GCLC, NQO1** (Phase II enzymes) indicates robust metabolic activation. However, the concurrent upregulation of oxidative stress response genes (**CAT, GPX1, SOD1, SOD2, HMOX1**) and apoptotic genes (**BAX, CASP3, TP53**) suggests that the liver is experiencing significant oxidative stress and hepatocellular injury.</w:t>
      </w:r>
    </w:p>
    <w:p>
      <w:pPr>
        <w:spacing w:after="120"/>
      </w:pPr>
      <w:r>
        <w:rPr>
          <w:rFonts w:ascii="Calibri" w:hAnsi="Calibri"/>
          <w:b w:val="0"/>
          <w:i w:val="0"/>
          <w:sz w:val="22"/>
        </w:rPr>
        <w:t>The upregulation of **PPARA** (peroxisome proliferator-activated receptor alpha) is particularly relevant to liver toxicity. Literature evidence indicates that "Fenofibrate differentially activates PPARα-mediated lipid metabolism in rat liver and kidney, leading to organ-specific toxicity mechanisms" (Fenofibrate differentially activates PPARα-mediated lipid metabolism, 2025). This suggests that the xenobiotic may be activating lipid metabolism pathways in the liver, potentially leading to hepatic steatosis or lipotoxicity.</w:t>
      </w:r>
    </w:p>
    <w:p>
      <w:pPr>
        <w:spacing w:after="120"/>
      </w:pPr>
      <w:r>
        <w:rPr>
          <w:rFonts w:ascii="Calibri" w:hAnsi="Calibri"/>
          <w:b w:val="0"/>
          <w:i w:val="0"/>
          <w:sz w:val="22"/>
        </w:rPr>
        <w:t>The upregulation of **TGFB1** and **VEGFA** at higher doses suggests potential progression toward hepatic fibrosis, a chronic consequence of repeated hepatocellular injury.</w:t>
      </w:r>
    </w:p>
    <w:p>
      <w:pPr>
        <w:spacing w:after="120"/>
      </w:pPr>
      <w:r>
        <w:rPr>
          <w:rFonts w:ascii="Calibri" w:hAnsi="Calibri"/>
          <w:b/>
          <w:i w:val="0"/>
          <w:sz w:val="22"/>
        </w:rPr>
        <w:t>Literature Support:</w:t>
      </w:r>
    </w:p>
    <w:p>
      <w:pPr>
        <w:pStyle w:val="ListBullet"/>
        <w:spacing w:after="40"/>
      </w:pPr>
      <w:r>
        <w:rPr>
          <w:rFonts w:ascii="Calibri" w:hAnsi="Calibri"/>
          <w:sz w:val="22"/>
        </w:rPr>
        <w:t>"New molecular and biochemical insights of doxorubicin-induced hepatotoxicity" (2020, cited 215x) identifies HMOX1, SOD1, CAT, and GPX1 as key markers of hepatic oxidative stress</w:t>
      </w:r>
    </w:p>
    <w:p>
      <w:pPr>
        <w:pStyle w:val="ListBullet"/>
        <w:spacing w:after="40"/>
      </w:pPr>
      <w:r>
        <w:rPr>
          <w:rFonts w:ascii="Calibri" w:hAnsi="Calibri"/>
          <w:sz w:val="22"/>
        </w:rPr>
        <w:t>"Quantitative Transcriptional Biomarkers of Xenobiotic Receptor Activation in Rat Liver" (2020) demonstrates that AHR and PPARA activation can predict drug-induced liver injury (DILI) with high sensitivity and specificity</w:t>
      </w:r>
    </w:p>
    <w:p>
      <w:pPr>
        <w:pStyle w:val="ListBullet"/>
        <w:spacing w:after="40"/>
      </w:pPr>
      <w:r>
        <w:rPr>
          <w:rFonts w:ascii="Calibri" w:hAnsi="Calibri"/>
          <w:sz w:val="22"/>
        </w:rPr>
        <w:t>"Hesperetin ameliorates hepatic oxidative stress and inflammation via the PI3K/AKT-Nrf2-ARE pathway" (2021, cited 331x) identifies the NFE2L2-KEAP1-NQO1-HMOX1 axis as central to hepatic antioxidant defense</w:t>
      </w:r>
    </w:p>
    <w:p>
      <w:pPr>
        <w:spacing w:after="120"/>
      </w:pPr>
      <w:r>
        <w:rPr>
          <w:rFonts w:ascii="Calibri" w:hAnsi="Calibri"/>
          <w:b/>
          <w:sz w:val="22"/>
        </w:rPr>
        <w:t xml:space="preserve">Confidence:: </w:t>
      </w:r>
      <w:r>
        <w:rPr>
          <w:rFonts w:ascii="Calibri" w:hAnsi="Calibri"/>
          <w:sz w:val="22"/>
        </w:rPr>
        <w:t>**HIGH** – The liver is a consensus target organ for xenobiotic toxicity, with strong literature support and comprehensive gene expression evidence.</w:t>
      </w:r>
    </w:p>
    <w:p>
      <w:pPr>
        <w:spacing w:after="120"/>
      </w:pPr>
      <w:r>
        <w:rPr>
          <w:rFonts w:ascii="Calibri" w:hAnsi="Calibri"/>
          <w:b w:val="0"/>
          <w:i w:val="0"/>
          <w:sz w:val="22"/>
        </w:rPr>
        <w:t>---</w:t>
      </w:r>
    </w:p>
    <w:p>
      <w:pPr>
        <w:spacing w:after="120"/>
      </w:pPr>
      <w:r>
        <w:rPr>
          <w:rFonts w:ascii="Calibri" w:hAnsi="Calibri"/>
          <w:b w:val="0"/>
          <w:i w:val="0"/>
          <w:sz w:val="22"/>
        </w:rPr>
        <w:t>#### **KIDNEY (75.59x enrichment, 28 genes)**</w:t>
      </w:r>
    </w:p>
    <w:p>
      <w:pPr>
        <w:spacing w:after="120"/>
      </w:pPr>
      <w:r>
        <w:rPr>
          <w:rFonts w:ascii="Calibri" w:hAnsi="Calibri"/>
          <w:b/>
          <w:i w:val="0"/>
          <w:sz w:val="22"/>
        </w:rPr>
        <w:t>Evidence:</w:t>
      </w:r>
    </w:p>
    <w:p>
      <w:pPr>
        <w:pStyle w:val="ListBullet"/>
        <w:spacing w:after="40"/>
      </w:pPr>
      <w:r>
        <w:rPr>
          <w:rFonts w:ascii="Calibri" w:hAnsi="Calibri"/>
          <w:sz w:val="22"/>
        </w:rPr>
        <w:t>Second-highest enrichment score</w:t>
      </w:r>
    </w:p>
    <w:p>
      <w:pPr>
        <w:pStyle w:val="ListBullet"/>
        <w:spacing w:after="40"/>
      </w:pPr>
      <w:r>
        <w:rPr>
          <w:rFonts w:ascii="Calibri" w:hAnsi="Calibri"/>
          <w:sz w:val="22"/>
        </w:rPr>
        <w:t>Genes: AHR, BAX, BCL2, CASP3, CDKN1A, CYP1A1, CYP1B1, GCLC, GPX1, HIF1A, HMOX1, IL1B, IL6, KEAP1, NFE2L2, NFKB1, NQO1, SOD1, SOD2, STAT3, TGFB1, TNF, TP53, VEGFA, and others</w:t>
      </w:r>
    </w:p>
    <w:p>
      <w:pPr>
        <w:spacing w:after="120"/>
      </w:pPr>
      <w:r>
        <w:rPr>
          <w:rFonts w:ascii="Calibri" w:hAnsi="Calibri"/>
          <w:b/>
          <w:i w:val="0"/>
          <w:sz w:val="22"/>
        </w:rPr>
        <w:t>Mechanism:</w:t>
      </w:r>
    </w:p>
    <w:p>
      <w:pPr>
        <w:spacing w:after="120"/>
      </w:pPr>
      <w:r>
        <w:rPr>
          <w:rFonts w:ascii="Calibri" w:hAnsi="Calibri"/>
          <w:b w:val="0"/>
          <w:i w:val="0"/>
          <w:sz w:val="22"/>
        </w:rPr>
        <w:t>The kidney is a major site of xenobiotic filtration and reabsorption, making it vulnerable to both the parent compound and reactive metabolites. The upregulation of **CYP1A1, CYP1B1** in kidney tissue suggests local metabolic activation of the xenobiotic.</w:t>
      </w:r>
    </w:p>
    <w:p>
      <w:pPr>
        <w:spacing w:after="120"/>
      </w:pPr>
      <w:r>
        <w:rPr>
          <w:rFonts w:ascii="Calibri" w:hAnsi="Calibri"/>
          <w:b w:val="0"/>
          <w:i w:val="0"/>
          <w:sz w:val="22"/>
        </w:rPr>
        <w:t>The strong upregulation of **HMOX1** in kidney is particularly significant. Heme oxygenase-1 is a key cytoprotective enzyme in renal tubular epithelium (organ signature: 671.56x enriched for HMOX1). Literature evidence indicates that "Cadmium exposure in human neuronal cells (SH-SY5Y) leads to early deregulation of genes and processes, including activation of p53 signaling pathway, heat shock proteins, metallothioneins" (Neuronal specific and non-specific responses to cadmium, 2019), and similar mechanisms are likely operative in renal tissue.</w:t>
      </w:r>
    </w:p>
    <w:p>
      <w:pPr>
        <w:spacing w:after="120"/>
      </w:pPr>
      <w:r>
        <w:rPr>
          <w:rFonts w:ascii="Calibri" w:hAnsi="Calibri"/>
          <w:b w:val="0"/>
          <w:i w:val="0"/>
          <w:sz w:val="22"/>
        </w:rPr>
        <w:t>The upregulation of **VEGFA** in kidney is noteworthy, as it may reflect attempts at glomerular repair or, conversely, pathological angiogenesis in response to glomerular injury.</w:t>
      </w:r>
    </w:p>
    <w:p>
      <w:pPr>
        <w:spacing w:after="120"/>
      </w:pPr>
      <w:r>
        <w:rPr>
          <w:rFonts w:ascii="Calibri" w:hAnsi="Calibri"/>
          <w:b w:val="0"/>
          <w:i w:val="0"/>
          <w:sz w:val="22"/>
        </w:rPr>
        <w:t>Recent literature indicates that "Nanocurcumin (CUR-NP) can mitigate doxorubicin-induced nephrotoxicity in rats by modulating VEGF and AhR pathways" (Aryl Hydrocarbon Receptor (AhR) and Vascular Endothelial Growth Factor, 2026), suggesting that AhR and VEGF signaling are central to renal toxicity mechanisms.</w:t>
      </w:r>
    </w:p>
    <w:p>
      <w:pPr>
        <w:spacing w:after="120"/>
      </w:pPr>
      <w:r>
        <w:rPr>
          <w:rFonts w:ascii="Calibri" w:hAnsi="Calibri"/>
          <w:b/>
          <w:sz w:val="22"/>
        </w:rPr>
        <w:t xml:space="preserve">Confidence:: </w:t>
      </w:r>
      <w:r>
        <w:rPr>
          <w:rFonts w:ascii="Calibri" w:hAnsi="Calibri"/>
          <w:sz w:val="22"/>
        </w:rPr>
        <w:t>**HIGH** – The kidney is a well-established target organ for xenobiotic toxicity, with strong evidence from both the gene expression data and literature.</w:t>
      </w:r>
    </w:p>
    <w:p>
      <w:pPr>
        <w:spacing w:after="120"/>
      </w:pPr>
      <w:r>
        <w:rPr>
          <w:rFonts w:ascii="Calibri" w:hAnsi="Calibri"/>
          <w:b w:val="0"/>
          <w:i w:val="0"/>
          <w:sz w:val="22"/>
        </w:rPr>
        <w:t>---</w:t>
      </w:r>
    </w:p>
    <w:p>
      <w:pPr>
        <w:spacing w:after="120"/>
      </w:pPr>
      <w:r>
        <w:rPr>
          <w:rFonts w:ascii="Calibri" w:hAnsi="Calibri"/>
          <w:b w:val="0"/>
          <w:i w:val="0"/>
          <w:sz w:val="22"/>
        </w:rPr>
        <w:t>#### **LUNG (44.62x enrichment, 25 genes)**</w:t>
      </w:r>
    </w:p>
    <w:p>
      <w:pPr>
        <w:spacing w:after="120"/>
      </w:pPr>
      <w:r>
        <w:rPr>
          <w:rFonts w:ascii="Calibri" w:hAnsi="Calibri"/>
          <w:b/>
          <w:i w:val="0"/>
          <w:sz w:val="22"/>
        </w:rPr>
        <w:t>Evidence:</w:t>
      </w:r>
    </w:p>
    <w:p>
      <w:pPr>
        <w:pStyle w:val="ListBullet"/>
        <w:spacing w:after="40"/>
      </w:pPr>
      <w:r>
        <w:rPr>
          <w:rFonts w:ascii="Calibri" w:hAnsi="Calibri"/>
          <w:sz w:val="22"/>
        </w:rPr>
        <w:t>Genes: BAX, BCL2, CASP3, CAT, CDKN1A, CYP1A1, CYP3A4, GCLC, GPX1, HIF1A, HMOX1, IL1B, IL6, KEAP1, NFE2L2, NFKB1, NQO1, SOD1, SOD2, STAT3, TGFB1, TNF, TP53, VEGFA, and others</w:t>
      </w:r>
    </w:p>
    <w:p>
      <w:pPr>
        <w:spacing w:after="120"/>
      </w:pPr>
      <w:r>
        <w:rPr>
          <w:rFonts w:ascii="Calibri" w:hAnsi="Calibri"/>
          <w:b/>
          <w:i w:val="0"/>
          <w:sz w:val="22"/>
        </w:rPr>
        <w:t>Mechanism:</w:t>
      </w:r>
    </w:p>
    <w:p>
      <w:pPr>
        <w:spacing w:after="120"/>
      </w:pPr>
      <w:r>
        <w:rPr>
          <w:rFonts w:ascii="Calibri" w:hAnsi="Calibri"/>
          <w:b w:val="0"/>
          <w:i w:val="0"/>
          <w:sz w:val="22"/>
        </w:rPr>
        <w:t>The lung is a major site of xenobiotic exposure (if the exposure is via inhalation) and a critical organ for gas exchange. The upregulation of **CYP1A1** in lung epithelium (organ signature: 335.78x enriched) indicates local metabolic activation.</w:t>
      </w:r>
    </w:p>
    <w:p>
      <w:pPr>
        <w:spacing w:after="120"/>
      </w:pPr>
      <w:r>
        <w:rPr>
          <w:rFonts w:ascii="Calibri" w:hAnsi="Calibri"/>
          <w:b w:val="0"/>
          <w:i w:val="0"/>
          <w:sz w:val="22"/>
        </w:rPr>
        <w:t>The strong upregulation of **HMOX1, IL6, NFE2L2** in lung tissue (287.81x enriched) suggests significant oxidative stress and inflammatory responses. The concurrent upregulation of **TGFB1** and **VEGFA** at higher doses suggests potential progression toward pulmonary fibrosis.</w:t>
      </w:r>
    </w:p>
    <w:p>
      <w:pPr>
        <w:spacing w:after="120"/>
      </w:pPr>
      <w:r>
        <w:rPr>
          <w:rFonts w:ascii="Calibri" w:hAnsi="Calibri"/>
          <w:b w:val="0"/>
          <w:i w:val="0"/>
          <w:sz w:val="22"/>
        </w:rPr>
        <w:t>Literature evidence indicates that "Curcumin protects against oxidative stress and lung damage caused by cadmium (Cd) + arsenic (As)" (Curcu</w:t>
      </w:r>
    </w:p>
    <w:p>
      <w:pPr>
        <w:pStyle w:val="Heading1"/>
      </w:pPr>
      <w:r>
        <w:t>Run 3 (35.2s)</w:t>
      </w:r>
    </w:p>
    <w:p>
      <w:pPr>
        <w:pStyle w:val="Heading2"/>
      </w:pPr>
      <w:r>
        <w:t>COMPREHENSIVE TOXICOGENOMICS INTERPRETATION REPORT</w:t>
      </w:r>
    </w:p>
    <w:p>
      <w:pPr>
        <w:pStyle w:val="Heading2"/>
      </w:pPr>
      <w:r>
        <w:t>1. BIOLOGICAL RESPONSE NARRATIVE</w:t>
      </w:r>
    </w:p>
    <w:p>
      <w:pPr>
        <w:pStyle w:val="Heading3"/>
      </w:pPr>
      <w:r>
        <w:t>Dose-Ordered Progression of Molecular Events</w:t>
      </w:r>
    </w:p>
    <w:p>
      <w:pPr>
        <w:spacing w:after="120"/>
      </w:pPr>
      <w:r>
        <w:rPr>
          <w:rFonts w:ascii="Calibri" w:hAnsi="Calibri"/>
          <w:b w:val="0"/>
          <w:i w:val="0"/>
          <w:sz w:val="22"/>
        </w:rPr>
        <w:t>The dose-response analysis reveals a highly organized temporal progression of biological responses, spanning from early xenobiotic sensing at BMD 0.2–0.5 through adaptive stress responses (BMD 0.5–4.0) to late-stage apoptotic and inflammatory signaling (BMD 4.0–20). This pattern is consistent with a classical toxicological cascade where initial molecular recognition triggers increasingly severe cellular dysfunction.</w:t>
      </w:r>
    </w:p>
    <w:p>
      <w:pPr>
        <w:spacing w:after="120"/>
      </w:pPr>
      <w:r>
        <w:rPr>
          <w:rFonts w:ascii="Calibri" w:hAnsi="Calibri"/>
          <w:b w:val="0"/>
          <w:i w:val="0"/>
          <w:sz w:val="22"/>
        </w:rPr>
        <w:t>#### **Phase 1: Xenobiotic Recognition and Aryl Hydrocarbon Signaling (BMD 0.2–0.35)**</w:t>
      </w:r>
    </w:p>
    <w:p>
      <w:pPr>
        <w:spacing w:after="120"/>
      </w:pPr>
      <w:r>
        <w:rPr>
          <w:rFonts w:ascii="Calibri" w:hAnsi="Calibri"/>
          <w:b w:val="0"/>
          <w:i w:val="0"/>
          <w:sz w:val="22"/>
        </w:rPr>
        <w:t>The earliest responsive genes (median BMD 0.35) cluster in aryl hydrocarbon receptor (AhR) signaling, with upregulation of **CYP1A1**, **CYP1B1**, and **AHR** itself. This represents the molecular initiating event (MIE) for xenobiotic exposure. The AhR is a ligand-activated transcription factor that responds to both exogenous chemicals (polycyclic aromatic hydrocarbons, dioxins, halogenated compounds) and endogenous metabolites.</w:t>
      </w:r>
    </w:p>
    <w:p>
      <w:pPr>
        <w:spacing w:after="120"/>
      </w:pPr>
      <w:r>
        <w:rPr>
          <w:rFonts w:ascii="Calibri" w:hAnsi="Calibri"/>
          <w:b w:val="0"/>
          <w:i w:val="0"/>
          <w:sz w:val="22"/>
        </w:rPr>
        <w:t>The literature strongly supports AhR activation as an early biomarker of xenobiotic exposure. Specifically, Quantitative Transcriptional Biomarkers of Xenobiotic Receptor Activation (2020) demonstrates that "gene expression panels associated with key xenobiotic nuclear receptors, stress response mediators, and innate immune responses are proposed as quantitative mechanistic biomarkers for DILI assessment." The rapid induction of CYP1A1 (a prototypical AhR target) at BMD 0.2 indicates the organism is actively metabolizing the xenobiotic, likely generating reactive metabolites.</w:t>
      </w:r>
    </w:p>
    <w:p>
      <w:pPr>
        <w:spacing w:after="120"/>
      </w:pPr>
      <w:r>
        <w:rPr>
          <w:rFonts w:ascii="Calibri" w:hAnsi="Calibri"/>
          <w:b w:val="0"/>
          <w:i w:val="0"/>
          <w:sz w:val="22"/>
        </w:rPr>
        <w:t>#### **Phase 2: Oxidative Stress Sensing and NFE2L2 Activation (BMD 0.3–0.55)**</w:t>
      </w:r>
    </w:p>
    <w:p>
      <w:pPr>
        <w:spacing w:after="120"/>
      </w:pPr>
      <w:r>
        <w:rPr>
          <w:rFonts w:ascii="Calibri" w:hAnsi="Calibri"/>
          <w:b w:val="0"/>
          <w:i w:val="0"/>
          <w:sz w:val="22"/>
        </w:rPr>
        <w:t>Immediately following xenobiotic recognition, **NFE2L2** (Nrf2) and its regulatory partner **KEAP1** show dose-dependent upregulation (median BMD 0.55). This represents activation of the canonical antioxidant response element (ARE) pathway. Under basal conditions, KEAP1 sequesters Nrf2 in the cytoplasm; however, electrophilic xenobiotics and reactive oxygen species (ROS) cause KEAP1 to release Nrf2, allowing nuclear translocation and binding to ARE sequences in promoters of cytoprotective genes.</w:t>
      </w:r>
    </w:p>
    <w:p>
      <w:pPr>
        <w:spacing w:after="120"/>
      </w:pPr>
      <w:r>
        <w:rPr>
          <w:rFonts w:ascii="Calibri" w:hAnsi="Calibri"/>
          <w:b w:val="0"/>
          <w:i w:val="0"/>
          <w:sz w:val="22"/>
        </w:rPr>
        <w:t>Downstream Nrf2 targets appear at slightly higher doses:</w:t>
      </w:r>
    </w:p>
    <w:p>
      <w:pPr>
        <w:pStyle w:val="ListBullet"/>
        <w:spacing w:after="40"/>
      </w:pPr>
      <w:r>
        <w:rPr>
          <w:rFonts w:ascii="Calibri" w:hAnsi="Calibri"/>
          <w:sz w:val="22"/>
        </w:rPr>
        <w:t>**NQO1** (NAD(P)H quinone oxidoreductase 1, BMD ~0.5): catalyzes two-electron reduction of quinones, preventing one-electron reduction that generates ROS</w:t>
      </w:r>
    </w:p>
    <w:p>
      <w:pPr>
        <w:pStyle w:val="ListBullet"/>
        <w:spacing w:after="40"/>
      </w:pPr>
      <w:r>
        <w:rPr>
          <w:rFonts w:ascii="Calibri" w:hAnsi="Calibri"/>
          <w:sz w:val="22"/>
        </w:rPr>
        <w:t>**HMOX1** (heme oxygenase-1, BMD ~0.4–0.6): catalyzes heme degradation to biliverdin, carbon monoxide, and free iron; biliverdin is a potent antioxidant</w:t>
      </w:r>
    </w:p>
    <w:p>
      <w:pPr>
        <w:pStyle w:val="ListBullet"/>
        <w:spacing w:after="40"/>
      </w:pPr>
      <w:r>
        <w:rPr>
          <w:rFonts w:ascii="Calibri" w:hAnsi="Calibri"/>
          <w:sz w:val="22"/>
        </w:rPr>
        <w:t>**GCLC** (glutamate-cysteine ligase catalytic subunit, BMD ~0.5): rate-limiting enzyme in glutathione synthesis</w:t>
      </w:r>
    </w:p>
    <w:p>
      <w:pPr>
        <w:spacing w:after="120"/>
      </w:pPr>
      <w:r>
        <w:rPr>
          <w:rFonts w:ascii="Calibri" w:hAnsi="Calibri"/>
          <w:b w:val="0"/>
          <w:i w:val="0"/>
          <w:sz w:val="22"/>
        </w:rPr>
        <w:t>The literature on Nrf2 is extensive. Heavy metals: toxicity and human health effects (2024) notes that "Arsenic binds directly to thiols, affecting Nrf2 activity in response to oxidative stress," and LKB1 and KEAP1/NRF2 pathways cooperatively promote metabolic reprogramming (2019) demonstrates that KEAP1-Nrf2 interactions are central to metabolic adaptation under stress. The KEAP1‐NRF2 protein–protein interaction inhibitors review (2022) emphasizes the therapeutic potential of this pathway, suggesting that its activation at low doses represents a protective response.</w:t>
      </w:r>
    </w:p>
    <w:p>
      <w:pPr>
        <w:spacing w:after="120"/>
      </w:pPr>
      <w:r>
        <w:rPr>
          <w:rFonts w:ascii="Calibri" w:hAnsi="Calibri"/>
          <w:b w:val="0"/>
          <w:i w:val="0"/>
          <w:sz w:val="22"/>
        </w:rPr>
        <w:t>#### **Phase 3: Metabolic and Mitochondrial Adaptation (BMD 0.5–2.0)**</w:t>
      </w:r>
    </w:p>
    <w:p>
      <w:pPr>
        <w:spacing w:after="120"/>
      </w:pPr>
      <w:r>
        <w:rPr>
          <w:rFonts w:ascii="Calibri" w:hAnsi="Calibri"/>
          <w:b w:val="0"/>
          <w:i w:val="0"/>
          <w:sz w:val="22"/>
        </w:rPr>
        <w:t>At BMD 0.5–2.0, genes involved in metabolic reprogramming and mitochondrial function show coordinated upregulation:</w:t>
      </w:r>
    </w:p>
    <w:p>
      <w:pPr>
        <w:pStyle w:val="ListBullet"/>
        <w:spacing w:after="40"/>
      </w:pPr>
      <w:r>
        <w:rPr>
          <w:rFonts w:ascii="Calibri" w:hAnsi="Calibri"/>
          <w:sz w:val="22"/>
        </w:rPr>
        <w:t>**SIRT1** (sirtuin 1, BMD ~0.5–1.0): NAD+-dependent histone deacetylase and metabolic sensor</w:t>
      </w:r>
    </w:p>
    <w:p>
      <w:pPr>
        <w:pStyle w:val="ListBullet"/>
        <w:spacing w:after="40"/>
      </w:pPr>
      <w:r>
        <w:rPr>
          <w:rFonts w:ascii="Calibri" w:hAnsi="Calibri"/>
          <w:sz w:val="22"/>
        </w:rPr>
        <w:t>**PPARA** (peroxisome proliferator-activated receptor alpha, BMD ~1.0–2.0): nuclear receptor controlling lipid metabolism and mitochondrial biogenesis</w:t>
      </w:r>
    </w:p>
    <w:p>
      <w:pPr>
        <w:pStyle w:val="ListBullet"/>
        <w:spacing w:after="40"/>
      </w:pPr>
      <w:r>
        <w:rPr>
          <w:rFonts w:ascii="Calibri" w:hAnsi="Calibri"/>
          <w:sz w:val="22"/>
        </w:rPr>
        <w:t>**SOD1**, **SOD2**, **CAT**, **GPX1**: antioxidant enzymes</w:t>
      </w:r>
    </w:p>
    <w:p>
      <w:pPr>
        <w:spacing w:after="120"/>
      </w:pPr>
      <w:r>
        <w:rPr>
          <w:rFonts w:ascii="Calibri" w:hAnsi="Calibri"/>
          <w:b w:val="0"/>
          <w:i w:val="0"/>
          <w:sz w:val="22"/>
        </w:rPr>
        <w:t>This phase reflects metabolic reprogramming to support increased detoxification capacity. The Nucleocytoplasmic Shuttling of SIRT1 paper (2007, cited 760×) demonstrates that SIRT1 acts as a metabolic sensor, regulating both histone deacetylation and protein deacetylation in response to cellular stress. The upregulation of PPARA at BMD ~1.0–2.0 is consistent with activation of the peroxisomal and mitochondrial biogenesis program, which increases fatty acid oxidation and energy production—metabolic changes necessary to fuel the detoxification response.</w:t>
      </w:r>
    </w:p>
    <w:p>
      <w:pPr>
        <w:spacing w:after="120"/>
      </w:pPr>
      <w:r>
        <w:rPr>
          <w:rFonts w:ascii="Calibri" w:hAnsi="Calibri"/>
          <w:b w:val="0"/>
          <w:i w:val="0"/>
          <w:sz w:val="22"/>
        </w:rPr>
        <w:t>Notably, **circadian clock genes** (BMD 2.0–2.25) show **downregulation** at this dose range. This is a critical observation: disruption of circadian rhythmicity is an early sign of systemic stress and may impair the organism's ability to maintain homeostasis through time-dependent metabolic regulation.</w:t>
      </w:r>
    </w:p>
    <w:p>
      <w:pPr>
        <w:spacing w:after="120"/>
      </w:pPr>
      <w:r>
        <w:rPr>
          <w:rFonts w:ascii="Calibri" w:hAnsi="Calibri"/>
          <w:b w:val="0"/>
          <w:i w:val="0"/>
          <w:sz w:val="22"/>
        </w:rPr>
        <w:t>#### **Phase 4: p53-Mediated Stress Response and Cell Cycle Arrest (BMD 2.5–4.0)**</w:t>
      </w:r>
    </w:p>
    <w:p>
      <w:pPr>
        <w:spacing w:after="120"/>
      </w:pPr>
      <w:r>
        <w:rPr>
          <w:rFonts w:ascii="Calibri" w:hAnsi="Calibri"/>
          <w:b w:val="0"/>
          <w:i w:val="0"/>
          <w:sz w:val="22"/>
        </w:rPr>
        <w:t>At BMD 2.5–4.0, **TP53** and its transcriptional targets show robust upregulation:</w:t>
      </w:r>
    </w:p>
    <w:p>
      <w:pPr>
        <w:pStyle w:val="ListBullet"/>
        <w:spacing w:after="40"/>
      </w:pPr>
      <w:r>
        <w:rPr>
          <w:rFonts w:ascii="Calibri" w:hAnsi="Calibri"/>
          <w:sz w:val="22"/>
        </w:rPr>
        <w:t>**TP53** itself (BMD ~3.0–4.0)</w:t>
      </w:r>
    </w:p>
    <w:p>
      <w:pPr>
        <w:pStyle w:val="ListBullet"/>
        <w:spacing w:after="40"/>
      </w:pPr>
      <w:r>
        <w:rPr>
          <w:rFonts w:ascii="Calibri" w:hAnsi="Calibri"/>
          <w:sz w:val="22"/>
        </w:rPr>
        <w:t>**CDKN1A** (p21, cyclin-dependent kinase inhibitor 1A, BMD ~2.0–4.0): p53-induced cell cycle checkpoint inhibitor</w:t>
      </w:r>
    </w:p>
    <w:p>
      <w:pPr>
        <w:pStyle w:val="ListBullet"/>
        <w:spacing w:after="40"/>
      </w:pPr>
      <w:r>
        <w:rPr>
          <w:rFonts w:ascii="Calibri" w:hAnsi="Calibri"/>
          <w:sz w:val="22"/>
        </w:rPr>
        <w:t>**GDF15** (growth differentiation factor 15, BMD ~2.0–3.0): p53-induced stress cytokine</w:t>
      </w:r>
    </w:p>
    <w:p>
      <w:pPr>
        <w:spacing w:after="120"/>
      </w:pPr>
      <w:r>
        <w:rPr>
          <w:rFonts w:ascii="Calibri" w:hAnsi="Calibri"/>
          <w:b w:val="0"/>
          <w:i w:val="0"/>
          <w:sz w:val="22"/>
        </w:rPr>
        <w:t>This phase represents a transition from adaptive to potentially adverse responses. p53 is the "guardian of the genome," activated by DNA damage, oxidative stress, and other cellular insults. The Selective cytotoxicity of intracellular amyloid β peptide1–42 through p53 and Bax paper (2002, cited 452×) demonstrates that p53 activation can trigger apoptosis through BAX upregulation. The TP53 Regulates Transcription of Cell Cycle Genes pathway (median BMD 5.25) shows that p53 induces cell cycle arrest via CDKN1A, allowing time for DNA repair or triggering apoptosis if damage is irreparable.</w:t>
      </w:r>
    </w:p>
    <w:p>
      <w:pPr>
        <w:spacing w:after="120"/>
      </w:pPr>
      <w:r>
        <w:rPr>
          <w:rFonts w:ascii="Calibri" w:hAnsi="Calibri"/>
          <w:b w:val="0"/>
          <w:i w:val="0"/>
          <w:sz w:val="22"/>
        </w:rPr>
        <w:t>The upregulation of **GDF15** at BMD 2.0–3.0 is particularly significant. GDF15 is a stress-induced cytokine that signals systemic metabolic dysfunction and is associated with aging, inflammation, and tissue damage. Its early induction suggests that the organism is experiencing metabolic stress beyond what can be compensated by antioxidant defenses.</w:t>
      </w:r>
    </w:p>
    <w:p>
      <w:pPr>
        <w:spacing w:after="120"/>
      </w:pPr>
      <w:r>
        <w:rPr>
          <w:rFonts w:ascii="Calibri" w:hAnsi="Calibri"/>
          <w:b w:val="0"/>
          <w:i w:val="0"/>
          <w:sz w:val="22"/>
        </w:rPr>
        <w:t>#### **Phase 5: Apoptotic Signaling and Mitochondrial Dysfunction (BMD 4.0–6.0)**</w:t>
      </w:r>
    </w:p>
    <w:p>
      <w:pPr>
        <w:spacing w:after="120"/>
      </w:pPr>
      <w:r>
        <w:rPr>
          <w:rFonts w:ascii="Calibri" w:hAnsi="Calibri"/>
          <w:b w:val="0"/>
          <w:i w:val="0"/>
          <w:sz w:val="22"/>
        </w:rPr>
        <w:t>At BMD 4.0–6.0, pro-apoptotic genes show strong upregulation:</w:t>
      </w:r>
    </w:p>
    <w:p>
      <w:pPr>
        <w:pStyle w:val="ListBullet"/>
        <w:spacing w:after="40"/>
      </w:pPr>
      <w:r>
        <w:rPr>
          <w:rFonts w:ascii="Calibri" w:hAnsi="Calibri"/>
          <w:sz w:val="22"/>
        </w:rPr>
        <w:t>**BAX** (BCL2-associated X protein, BMD ~3.5–6.0): pro-apoptotic member of the BCL2 family</w:t>
      </w:r>
    </w:p>
    <w:p>
      <w:pPr>
        <w:pStyle w:val="ListBullet"/>
        <w:spacing w:after="40"/>
      </w:pPr>
      <w:r>
        <w:rPr>
          <w:rFonts w:ascii="Calibri" w:hAnsi="Calibri"/>
          <w:sz w:val="22"/>
        </w:rPr>
        <w:t>**CASP3** (caspase-3, BMD ~4.0–6.0): executioner caspase</w:t>
      </w:r>
    </w:p>
    <w:p>
      <w:pPr>
        <w:pStyle w:val="ListBullet"/>
        <w:spacing w:after="40"/>
      </w:pPr>
      <w:r>
        <w:rPr>
          <w:rFonts w:ascii="Calibri" w:hAnsi="Calibri"/>
          <w:sz w:val="22"/>
        </w:rPr>
        <w:t>**BCL2** (B-cell lymphoma 2, BMD ~3.5–6.0): anti-apoptotic protein (paradoxically upregulated, likely as a failed compensatory response)</w:t>
      </w:r>
    </w:p>
    <w:p>
      <w:pPr>
        <w:spacing w:after="120"/>
      </w:pPr>
      <w:r>
        <w:rPr>
          <w:rFonts w:ascii="Calibri" w:hAnsi="Calibri"/>
          <w:b w:val="0"/>
          <w:i w:val="0"/>
          <w:sz w:val="22"/>
        </w:rPr>
        <w:t>The Activation of BH3-only proteins pathway (median BMD 5.75) and TP53 Regulates Transcription of Cell Death Genes pathway (median BMD 5.75) indicate that p53 is now driving apoptotic gene expression. The upregulation of both BAX and BCL2 suggests a cellular conflict: the cell is attempting to survive (BCL2 upregulation) while simultaneously being driven toward apoptosis (BAX/CASP3 upregulation). This is consistent with a dose range where cellular damage exceeds repair capacity.</w:t>
      </w:r>
    </w:p>
    <w:p>
      <w:pPr>
        <w:spacing w:after="120"/>
      </w:pPr>
      <w:r>
        <w:rPr>
          <w:rFonts w:ascii="Calibri" w:hAnsi="Calibri"/>
          <w:b w:val="0"/>
          <w:i w:val="0"/>
          <w:sz w:val="22"/>
        </w:rPr>
        <w:t>The BCL2 selective inhibitor venetoclax paper (2016, cited 276×) demonstrates that BCL2 and BAX are in dynamic equilibrium; when BAX predominates, apoptosis proceeds. The ratio of BAX:BCL2 at these doses likely favors apoptosis.</w:t>
      </w:r>
    </w:p>
    <w:p>
      <w:pPr>
        <w:spacing w:after="120"/>
      </w:pPr>
      <w:r>
        <w:rPr>
          <w:rFonts w:ascii="Calibri" w:hAnsi="Calibri"/>
          <w:b w:val="0"/>
          <w:i w:val="0"/>
          <w:sz w:val="22"/>
        </w:rPr>
        <w:t>#### **Phase 6: Inflammatory and Innate Immune Activation (BMD 4.0–8.0)**</w:t>
      </w:r>
    </w:p>
    <w:p>
      <w:pPr>
        <w:spacing w:after="120"/>
      </w:pPr>
      <w:r>
        <w:rPr>
          <w:rFonts w:ascii="Calibri" w:hAnsi="Calibri"/>
          <w:b w:val="0"/>
          <w:i w:val="0"/>
          <w:sz w:val="22"/>
        </w:rPr>
        <w:t>Concurrent with apoptotic signaling, inflammatory cytokines and innate immune mediators show robust upregulation:</w:t>
      </w:r>
    </w:p>
    <w:p>
      <w:pPr>
        <w:pStyle w:val="ListBullet"/>
        <w:spacing w:after="40"/>
      </w:pPr>
      <w:r>
        <w:rPr>
          <w:rFonts w:ascii="Calibri" w:hAnsi="Calibri"/>
          <w:sz w:val="22"/>
        </w:rPr>
        <w:t>**IL1B**, **IL6**, **TNF** (tumor necrosis factor, BMD ~4.0–8.0): pro-inflammatory cytokines</w:t>
      </w:r>
    </w:p>
    <w:p>
      <w:pPr>
        <w:pStyle w:val="ListBullet"/>
        <w:spacing w:after="40"/>
      </w:pPr>
      <w:r>
        <w:rPr>
          <w:rFonts w:ascii="Calibri" w:hAnsi="Calibri"/>
          <w:sz w:val="22"/>
        </w:rPr>
        <w:t>**NLRP3** (NOD-like receptor family pyrin domain containing 3, BMD ~4.0–6.0): inflammasome component</w:t>
      </w:r>
    </w:p>
    <w:p>
      <w:pPr>
        <w:pStyle w:val="ListBullet"/>
        <w:spacing w:after="40"/>
      </w:pPr>
      <w:r>
        <w:rPr>
          <w:rFonts w:ascii="Calibri" w:hAnsi="Calibri"/>
          <w:sz w:val="22"/>
        </w:rPr>
        <w:t>**NFKB1** (nuclear factor kappa B subunit 1, BMD ~4.0–8.0): master inflammatory transcription factor</w:t>
      </w:r>
    </w:p>
    <w:p>
      <w:pPr>
        <w:spacing w:after="120"/>
      </w:pPr>
      <w:r>
        <w:rPr>
          <w:rFonts w:ascii="Calibri" w:hAnsi="Calibri"/>
          <w:b w:val="0"/>
          <w:i w:val="0"/>
          <w:sz w:val="22"/>
        </w:rPr>
        <w:t>The CLEC7A/inflammasome pathway and Inflammasomes pathways (median BMD 12.0) indicate activation of pattern recognition receptors and inflammasome assembly. This is consistent with damage-associated molecular patterns (DAMPs) being released from apoptotic cells, triggering innate immune responses.</w:t>
      </w:r>
    </w:p>
    <w:p>
      <w:pPr>
        <w:spacing w:after="120"/>
      </w:pPr>
      <w:r>
        <w:rPr>
          <w:rFonts w:ascii="Calibri" w:hAnsi="Calibri"/>
          <w:b w:val="0"/>
          <w:i w:val="0"/>
          <w:sz w:val="22"/>
        </w:rPr>
        <w:t>The literature strongly supports this cascade. IL6 Derived from Macrophages under Intermittent Hypoxia Exacerbates NAFLD (2024) demonstrates that "Intermittent hypoxia exacerbates NAFLD by promoting ferroptosis via IL6-induced MARCH3-mediated GPX4 ubiquitination," showing that IL6 can drive ferroptotic cell death. Cadmium-Induced Toxicity in Hepatic Macrophages (2026) notes that "Cadmium-induced toxicity in hepatic macrophages leads to oxidative stress, disruption of calcium homeostasis, and activation of transcription factors such as NF-κB and Nrf2," indicating that inflammatory activation is a hallmark of heavy metal toxicity.</w:t>
      </w:r>
    </w:p>
    <w:p>
      <w:pPr>
        <w:spacing w:after="120"/>
      </w:pPr>
      <w:r>
        <w:rPr>
          <w:rFonts w:ascii="Calibri" w:hAnsi="Calibri"/>
          <w:b w:val="0"/>
          <w:i w:val="0"/>
          <w:sz w:val="22"/>
        </w:rPr>
        <w:t>#### **Phase 7: Tissue Remodeling and Fibrotic Signaling (BMD 6.0–10.0)**</w:t>
      </w:r>
    </w:p>
    <w:p>
      <w:pPr>
        <w:spacing w:after="120"/>
      </w:pPr>
      <w:r>
        <w:rPr>
          <w:rFonts w:ascii="Calibri" w:hAnsi="Calibri"/>
          <w:b w:val="0"/>
          <w:i w:val="0"/>
          <w:sz w:val="22"/>
        </w:rPr>
        <w:t>At higher doses (BMD 6.0–10.0), genes involved in tissue remodeling and fibrosis show upregulation:</w:t>
      </w:r>
    </w:p>
    <w:p>
      <w:pPr>
        <w:pStyle w:val="ListBullet"/>
        <w:spacing w:after="40"/>
      </w:pPr>
      <w:r>
        <w:rPr>
          <w:rFonts w:ascii="Calibri" w:hAnsi="Calibri"/>
          <w:sz w:val="22"/>
        </w:rPr>
        <w:t>**TGFB1** (transforming growth factor beta 1, BMD ~4.0–8.0): master regulator of fibrosis</w:t>
      </w:r>
    </w:p>
    <w:p>
      <w:pPr>
        <w:pStyle w:val="ListBullet"/>
        <w:spacing w:after="40"/>
      </w:pPr>
      <w:r>
        <w:rPr>
          <w:rFonts w:ascii="Calibri" w:hAnsi="Calibri"/>
          <w:sz w:val="22"/>
        </w:rPr>
        <w:t>**VEGFA** (vascular endothelial growth factor A, BMD ~4.0–8.0): angiogenic factor (also involved in vascular permeability and inflammation)</w:t>
      </w:r>
    </w:p>
    <w:p>
      <w:pPr>
        <w:pStyle w:val="ListBullet"/>
        <w:spacing w:after="40"/>
      </w:pPr>
      <w:r>
        <w:rPr>
          <w:rFonts w:ascii="Calibri" w:hAnsi="Calibri"/>
          <w:sz w:val="22"/>
        </w:rPr>
        <w:t>**STAT3** (signal transducer and activator of transcription 3, BMD ~4.0–8.0): transcription factor driving IL6 signaling and fibrotic responses</w:t>
      </w:r>
    </w:p>
    <w:p>
      <w:pPr>
        <w:spacing w:after="120"/>
      </w:pPr>
      <w:r>
        <w:rPr>
          <w:rFonts w:ascii="Calibri" w:hAnsi="Calibri"/>
          <w:b w:val="0"/>
          <w:i w:val="0"/>
          <w:sz w:val="22"/>
        </w:rPr>
        <w:t>The positive regulation of angiogenesis pathway (GO:0045766, FDR=1.83e-09) includes VEGFA, HIF1A, and HMOX1, suggesting that the tissue is attempting to increase blood flow to damaged areas. However, VEGFA also increases vascular permeability, potentially exacerbating inflammation and edema.</w:t>
      </w:r>
    </w:p>
    <w:p>
      <w:pPr>
        <w:spacing w:after="120"/>
      </w:pPr>
      <w:r>
        <w:rPr>
          <w:rFonts w:ascii="Calibri" w:hAnsi="Calibri"/>
          <w:b w:val="0"/>
          <w:i w:val="0"/>
          <w:sz w:val="22"/>
        </w:rPr>
        <w:t>TGFB1 is a central mediator of fibrotic responses. Chronic upregulation of TGFB1 drives epithelial-to-mesenchymal transition (EMT) and accumulation of extracellular matrix, leading to organ fibrosis. The Cardiomyocyte gene programs encoding morphological and functional signatures paper (2018, cited 226×) demonstrates that TGFB1 upregulation is associated with cardiac hypertrophy and dysfunction.</w:t>
      </w:r>
    </w:p>
    <w:p>
      <w:pPr>
        <w:spacing w:after="120"/>
      </w:pPr>
      <w:r>
        <w:rPr>
          <w:rFonts w:ascii="Calibri" w:hAnsi="Calibri"/>
          <w:b w:val="0"/>
          <w:i w:val="0"/>
          <w:sz w:val="22"/>
        </w:rPr>
        <w:t>#### **Phase 8: Late-Stage Adaptive Failure and Senescence (BMD 8.0–20)**</w:t>
      </w:r>
    </w:p>
    <w:p>
      <w:pPr>
        <w:spacing w:after="120"/>
      </w:pPr>
      <w:r>
        <w:rPr>
          <w:rFonts w:ascii="Calibri" w:hAnsi="Calibri"/>
          <w:b w:val="0"/>
          <w:i w:val="0"/>
          <w:sz w:val="22"/>
        </w:rPr>
        <w:t>At the highest doses (BMD 8.0–20), genes associated with senescence and cellular aging show upregulation:</w:t>
      </w:r>
    </w:p>
    <w:p>
      <w:pPr>
        <w:pStyle w:val="ListBullet"/>
        <w:spacing w:after="40"/>
      </w:pPr>
      <w:r>
        <w:rPr>
          <w:rFonts w:ascii="Calibri" w:hAnsi="Calibri"/>
          <w:sz w:val="22"/>
        </w:rPr>
        <w:t>Senescence-Associated Secretory Phenotype (SASP) pathway (median BMD 10.25): includes IL6, TNF, and other pro-inflammatory mediators</w:t>
      </w:r>
    </w:p>
    <w:p>
      <w:pPr>
        <w:pStyle w:val="ListBullet"/>
        <w:spacing w:after="40"/>
      </w:pPr>
      <w:r>
        <w:rPr>
          <w:rFonts w:ascii="Calibri" w:hAnsi="Calibri"/>
          <w:sz w:val="22"/>
        </w:rPr>
        <w:t>Multiple cancer-related pathways (BMD 8.0–20): suggesting genomic instability and malignant transformation risk</w:t>
      </w:r>
    </w:p>
    <w:p>
      <w:pPr>
        <w:spacing w:after="120"/>
      </w:pPr>
      <w:r>
        <w:rPr>
          <w:rFonts w:ascii="Calibri" w:hAnsi="Calibri"/>
          <w:b w:val="0"/>
          <w:i w:val="0"/>
          <w:sz w:val="22"/>
        </w:rPr>
        <w:t>The Senescence-Associated Secretory Phenotype pathway indicates that cells are entering a state of permanent cell cycle arrest (senescence) while secreting pro-inflammatory factors. This is a terminal state where the cell can no longer divide but continues to drive inflammation and tissue damage.</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Based on the organ signature enrichment analysis and gene expression patterns, the following organs are predicted to be most severely affected:</w:t>
      </w:r>
    </w:p>
    <w:p>
      <w:pPr>
        <w:spacing w:after="120"/>
      </w:pPr>
      <w:r>
        <w:rPr>
          <w:rFonts w:ascii="Calibri" w:hAnsi="Calibri"/>
          <w:b w:val="0"/>
          <w:i w:val="0"/>
          <w:sz w:val="22"/>
        </w:rPr>
        <w:t>#### **Liver (45.06× enrichment, 26 genes)**</w:t>
      </w:r>
    </w:p>
    <w:p>
      <w:pPr>
        <w:spacing w:after="120"/>
      </w:pPr>
      <w:r>
        <w:rPr>
          <w:rFonts w:ascii="Calibri" w:hAnsi="Calibri"/>
          <w:b/>
          <w:sz w:val="22"/>
        </w:rPr>
        <w:t xml:space="preserve">Predicted Effects:: </w:t>
      </w:r>
      <w:r>
        <w:rPr>
          <w:rFonts w:ascii="Calibri" w:hAnsi="Calibri"/>
          <w:sz w:val="22"/>
        </w:rPr>
        <w:t>Hepatotoxicity with multi-phase progression from metabolic dysfunction to fibrosis and potential carcinogenesis.</w:t>
      </w:r>
    </w:p>
    <w:p>
      <w:pPr>
        <w:spacing w:after="120"/>
      </w:pPr>
      <w:r>
        <w:rPr>
          <w:rFonts w:ascii="Calibri" w:hAnsi="Calibri"/>
          <w:b/>
          <w:i w:val="0"/>
          <w:sz w:val="22"/>
        </w:rPr>
        <w:t>Supporting Evidence:</w:t>
      </w:r>
    </w:p>
    <w:p>
      <w:pPr>
        <w:pStyle w:val="ListBullet"/>
        <w:spacing w:after="40"/>
      </w:pPr>
      <w:r>
        <w:rPr>
          <w:rFonts w:ascii="Calibri" w:hAnsi="Calibri"/>
          <w:sz w:val="22"/>
        </w:rPr>
        <w:t>The liver is the primary organ of xenobiotic metabolism, and the early upregulation of CYP1A1, CYP1B1, and AHR (all enriched in liver) indicates active Phase I metabolism.</w:t>
      </w:r>
    </w:p>
    <w:p>
      <w:pPr>
        <w:pStyle w:val="ListBullet"/>
        <w:spacing w:after="40"/>
      </w:pPr>
      <w:r>
        <w:rPr>
          <w:rFonts w:ascii="Calibri" w:hAnsi="Calibri"/>
          <w:sz w:val="22"/>
        </w:rPr>
        <w:t>Liver-specific genes showing dose-dependent upregulation include: AHR, BAX, BCL2, CASP3, CAT, CDKN1A, CYP1A1, CYP1B1, GCLC, GPX1, HMOX1, IL1B, IL6, KEAP1, NFE2L2, NFKB1, NQO1, PPARA, SIRT1, SOD1, SOD2, STAT3, TGFB1, TNF, TP53, VEGFA.</w:t>
      </w:r>
    </w:p>
    <w:p>
      <w:pPr>
        <w:pStyle w:val="ListBullet"/>
        <w:spacing w:after="40"/>
      </w:pPr>
      <w:r>
        <w:rPr>
          <w:rFonts w:ascii="Calibri" w:hAnsi="Calibri"/>
          <w:sz w:val="22"/>
        </w:rPr>
        <w:t>The New molecular and biochemical insights of doxorubicin-induced hepatotoxicity paper (2020, cited 215×) demonstrates that hepatotoxins activate the same cascade: CYP-mediated metabolic activation → ROS generation → Nrf2 activation → p53-mediated apoptosis → hepatocellular necrosis and fibrosis.</w:t>
      </w:r>
    </w:p>
    <w:p>
      <w:pPr>
        <w:pStyle w:val="ListBullet"/>
        <w:spacing w:after="40"/>
      </w:pPr>
      <w:r>
        <w:rPr>
          <w:rFonts w:ascii="Calibri" w:hAnsi="Calibri"/>
          <w:sz w:val="22"/>
        </w:rPr>
        <w:t>The Hesperetin ameliorates hepatic oxidative stress paper (2021, cited 331×) shows that hepatotoxins activate the PI3K/AKT-Nrf2-ARE pathway, consistent with the observed NFE2L2 upregulation at BMD 0.3–0.55.</w:t>
      </w:r>
    </w:p>
    <w:p>
      <w:pPr>
        <w:pStyle w:val="ListBullet"/>
        <w:spacing w:after="40"/>
      </w:pPr>
      <w:r>
        <w:rPr>
          <w:rFonts w:ascii="Calibri" w:hAnsi="Calibri"/>
          <w:sz w:val="22"/>
        </w:rPr>
        <w:t>The p53 attenuates acetaminophen-induced hepatotoxicity paper (2018) demonstrates that p53 activation can be protective (via CDKN1A-mediated cell cycle arrest) or harmful (via BAX-mediated apoptosis), depending on the dose and timing.</w:t>
      </w:r>
    </w:p>
    <w:p>
      <w:pPr>
        <w:spacing w:after="120"/>
      </w:pPr>
      <w:r>
        <w:rPr>
          <w:rFonts w:ascii="Calibri" w:hAnsi="Calibri"/>
          <w:b/>
          <w:i w:val="0"/>
          <w:sz w:val="22"/>
        </w:rPr>
        <w:t>Predicted Progression:</w:t>
      </w:r>
    </w:p>
    <w:p>
      <w:pPr>
        <w:pStyle w:val="ListBullet"/>
        <w:spacing w:after="40"/>
      </w:pPr>
      <w:r>
        <w:rPr>
          <w:rFonts w:ascii="Calibri" w:hAnsi="Calibri"/>
          <w:sz w:val="22"/>
        </w:rPr>
        <w:t>**BMD 0.2–0.5:** Metabolic activation via CYP1A1/1B1; mild oxidative stress</w:t>
      </w:r>
    </w:p>
    <w:p>
      <w:pPr>
        <w:pStyle w:val="ListBullet"/>
        <w:spacing w:after="40"/>
      </w:pPr>
      <w:r>
        <w:rPr>
          <w:rFonts w:ascii="Calibri" w:hAnsi="Calibri"/>
          <w:sz w:val="22"/>
        </w:rPr>
        <w:t>**BMD 0.5–2.0:** Nrf2-mediated antioxidant defense; metabolic adaptation via PPARA</w:t>
      </w:r>
    </w:p>
    <w:p>
      <w:pPr>
        <w:pStyle w:val="ListBullet"/>
        <w:spacing w:after="40"/>
      </w:pPr>
      <w:r>
        <w:rPr>
          <w:rFonts w:ascii="Calibri" w:hAnsi="Calibri"/>
          <w:sz w:val="22"/>
        </w:rPr>
        <w:t>**BMD 2.0–4.0:** p53 activation; hepatocyte apoptosis begins</w:t>
      </w:r>
    </w:p>
    <w:p>
      <w:pPr>
        <w:pStyle w:val="ListBullet"/>
        <w:spacing w:after="40"/>
      </w:pPr>
      <w:r>
        <w:rPr>
          <w:rFonts w:ascii="Calibri" w:hAnsi="Calibri"/>
          <w:sz w:val="22"/>
        </w:rPr>
        <w:t>**BMD 4.0–8.0:** Hepatocellular necrosis; inflammatory infiltration; stellate cell activation</w:t>
      </w:r>
    </w:p>
    <w:p>
      <w:pPr>
        <w:pStyle w:val="ListBullet"/>
        <w:spacing w:after="40"/>
      </w:pPr>
      <w:r>
        <w:rPr>
          <w:rFonts w:ascii="Calibri" w:hAnsi="Calibri"/>
          <w:sz w:val="22"/>
        </w:rPr>
        <w:t>**BMD 8.0–20:** Hepatic fibrosis via TGFB1; potential cirrhosis; hepatocellular carcinoma risk</w:t>
      </w:r>
    </w:p>
    <w:p>
      <w:pPr>
        <w:spacing w:after="120"/>
      </w:pPr>
      <w:r>
        <w:rPr>
          <w:rFonts w:ascii="Calibri" w:hAnsi="Calibri"/>
          <w:b w:val="0"/>
          <w:i w:val="0"/>
          <w:sz w:val="22"/>
        </w:rPr>
        <w:t>#### **Kidney (75.59× enrichment, 26 genes)**</w:t>
      </w:r>
    </w:p>
    <w:p>
      <w:pPr>
        <w:spacing w:after="120"/>
      </w:pPr>
      <w:r>
        <w:rPr>
          <w:rFonts w:ascii="Calibri" w:hAnsi="Calibri"/>
          <w:b/>
          <w:sz w:val="22"/>
        </w:rPr>
        <w:t xml:space="preserve">Predicted Effects:: </w:t>
      </w:r>
      <w:r>
        <w:rPr>
          <w:rFonts w:ascii="Calibri" w:hAnsi="Calibri"/>
          <w:sz w:val="22"/>
        </w:rPr>
        <w:t>Nephrotoxicity with glomerular and tubular damage, progressing to chronic kidney disease.</w:t>
      </w:r>
    </w:p>
    <w:p>
      <w:pPr>
        <w:spacing w:after="120"/>
      </w:pPr>
      <w:r>
        <w:rPr>
          <w:rFonts w:ascii="Calibri" w:hAnsi="Calibri"/>
          <w:b/>
          <w:i w:val="0"/>
          <w:sz w:val="22"/>
        </w:rPr>
        <w:t>Supporting Evidence:</w:t>
      </w:r>
    </w:p>
    <w:p>
      <w:pPr>
        <w:pStyle w:val="ListBullet"/>
        <w:spacing w:after="40"/>
      </w:pPr>
      <w:r>
        <w:rPr>
          <w:rFonts w:ascii="Calibri" w:hAnsi="Calibri"/>
          <w:sz w:val="22"/>
        </w:rPr>
        <w:t>The kidney is the second major organ of xenobiotic elimination and is highly susceptible to both direct toxicity (from reactive metabolites) and indirect toxicity (from inflammatory mediators).</w:t>
      </w:r>
    </w:p>
    <w:p>
      <w:pPr>
        <w:pStyle w:val="ListBullet"/>
        <w:spacing w:after="40"/>
      </w:pPr>
      <w:r>
        <w:rPr>
          <w:rFonts w:ascii="Calibri" w:hAnsi="Calibri"/>
          <w:sz w:val="22"/>
        </w:rPr>
        <w:t>Kidney-specific genes include: AHR, BAX, BCL2, CASP3, CDKN1A, CYP1A1, CYP1B1, GCLC, GPX1, HMOX1, IL1B, IL6, KEAP1, NFE2L2, NFKB1, NQO1, PPARA, SIRT1, SOD1, SOD2, STAT3, TGFB1, TNF, TP53, VEGFA.</w:t>
      </w:r>
    </w:p>
    <w:p>
      <w:pPr>
        <w:pStyle w:val="ListBullet"/>
        <w:spacing w:after="40"/>
      </w:pPr>
      <w:r>
        <w:rPr>
          <w:rFonts w:ascii="Calibri" w:hAnsi="Calibri"/>
          <w:sz w:val="22"/>
        </w:rPr>
        <w:t>The Aryl Hydrocarbon Receptor (AhR) and Vascular Endothelial Growth Factor (VEGF) paper (2026) demonstrates that "Nanocurcumin (CUR-NP) can mitigate doxorubicin-induced nephrotoxicity in rats by modulating VEGF and AhR pathways," showing that AhR and VEGFA are central to neph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