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Concordance Analysis</w:t>
      </w:r>
    </w:p>
    <w:p>
      <w:pPr>
        <w:spacing w:after="120"/>
      </w:pPr>
      <w:r>
        <w:rPr>
          <w:rFonts w:ascii="Calibri" w:hAnsi="Calibri"/>
          <w:b w:val="0"/>
          <w:i/>
          <w:sz w:val="22"/>
        </w:rPr>
        <w:t>Analyzed by claude-opus-4-6</w:t>
      </w:r>
    </w:p>
    <w:p>
      <w:pPr>
        <w:pStyle w:val="Heading2"/>
      </w:pPr>
      <w:r>
        <w:t>Meta-Analytical Concordance Report: Toxicogenomics Interpretations</w:t>
      </w:r>
    </w:p>
    <w:p>
      <w:pPr>
        <w:spacing w:after="120"/>
      </w:pPr>
      <w:r>
        <w:rPr>
          <w:rFonts w:ascii="Calibri" w:hAnsi="Calibri"/>
          <w:b w:val="0"/>
          <w:i w:val="0"/>
          <w:sz w:val="22"/>
        </w:rPr>
        <w:t>---</w:t>
      </w:r>
    </w:p>
    <w:p>
      <w:pPr>
        <w:pStyle w:val="Heading2"/>
      </w:pPr>
      <w:r>
        <w:t>1. Biological Response Narrative — Concordance</w:t>
      </w:r>
    </w:p>
    <w:p>
      <w:pPr>
        <w:pStyle w:val="Heading3"/>
      </w:pPr>
      <w:r>
        <w:t>Agreement</w:t>
      </w:r>
    </w:p>
    <w:p>
      <w:pPr>
        <w:spacing w:after="120"/>
      </w:pPr>
      <w:r>
        <w:rPr>
          <w:rFonts w:ascii="Calibri" w:hAnsi="Calibri"/>
          <w:b w:val="0"/>
          <w:i w:val="0"/>
          <w:sz w:val="22"/>
        </w:rPr>
        <w:t>All 15 narratives converge on a core dose-dependent progression with remarkable consistency:</w:t>
      </w:r>
    </w:p>
    <w:p>
      <w:pPr>
        <w:spacing w:after="120"/>
      </w:pPr>
      <w:r>
        <w:rPr>
          <w:rFonts w:ascii="Calibri" w:hAnsi="Calibri"/>
          <w:b/>
          <w:i w:val="0"/>
          <w:sz w:val="22"/>
        </w:rPr>
        <w:t>Universal Phase Structure (15/15 narratives):</w:t>
      </w:r>
    </w:p>
    <w:p>
      <w:pPr>
        <w:spacing w:after="120"/>
      </w:pPr>
      <w:r>
        <w:rPr>
          <w:rFonts w:ascii="Calibri" w:hAnsi="Calibri"/>
          <w:b w:val="0"/>
          <w:i w:val="0"/>
          <w:sz w:val="22"/>
        </w:rPr>
        <w:t>1. **Early xenobiotic sensing/antioxidant defense** → 2. **Escalating oxidative stress response** → 3. **Inflammatory signaling** → 4. **Apoptotic commitment** → 5. **Tissue damage/remodeling**</w:t>
      </w:r>
    </w:p>
    <w:p>
      <w:pPr>
        <w:spacing w:after="120"/>
      </w:pPr>
      <w:r>
        <w:rPr>
          <w:rFonts w:ascii="Calibri" w:hAnsi="Calibri"/>
          <w:b/>
          <w:i w:val="0"/>
          <w:sz w:val="22"/>
        </w:rPr>
        <w:t>Specific consensus points:</w:t>
      </w:r>
    </w:p>
    <w:p>
      <w:pPr>
        <w:pStyle w:val="ListBullet"/>
        <w:spacing w:after="40"/>
      </w:pPr>
      <w:r>
        <w:rPr>
          <w:rFonts w:ascii="Calibri" w:hAnsi="Calibri"/>
          <w:sz w:val="22"/>
        </w:rPr>
        <w:t>**AHR/CYP1A1/CYP1B1 as the earliest response**: All claude-haiku and claude-sonnet/opus runs identify AHR signaling as the molecular initiating event at the lowest BMDs (0.2–0.35). The qwen2.5 and gemma2 models describe this less precisely (referencing "xenobiotic sensing" or "Phase I metabolism") but agree on the concept. Claude-haiku Run 1 is most specific: "AHR (BMD 0.35): Aryl hydrocarbon receptor signaling pathway."</w:t>
      </w:r>
    </w:p>
    <w:p>
      <w:pPr>
        <w:pStyle w:val="ListBullet"/>
        <w:spacing w:after="40"/>
      </w:pPr>
      <w:r>
        <w:rPr>
          <w:rFonts w:ascii="Calibri" w:hAnsi="Calibri"/>
          <w:sz w:val="22"/>
        </w:rPr>
        <w:t>**NRF2/KEAP1 pathway as the primary early protective response**: All 15 narratives identify NFE2L2 (Nrf2) activation as a central early event. Every narrative lists NQO1, HMOX1, and GCLC as downstream targets. Qwen2.5 Run 1: "Mild oxidative stress response activation... Slight induction of NRF2 pathway." Claude-sonnet Run 1: "KEAP1–NFE2L2 pathway is activated (median BMD 0.55)."</w:t>
      </w:r>
    </w:p>
    <w:p>
      <w:pPr>
        <w:pStyle w:val="ListBullet"/>
        <w:spacing w:after="40"/>
      </w:pPr>
      <w:r>
        <w:rPr>
          <w:rFonts w:ascii="Calibri" w:hAnsi="Calibri"/>
          <w:sz w:val="22"/>
        </w:rPr>
        <w:t>**Antioxidant enzyme battery**: All narratives identify SOD1, SOD2, CAT, GPX1, and GCLC as part of the oxidative stress defense. This is the single most consistently reported gene set across all models and runs.</w:t>
      </w:r>
    </w:p>
    <w:p>
      <w:pPr>
        <w:pStyle w:val="ListBullet"/>
        <w:spacing w:after="40"/>
      </w:pPr>
      <w:r>
        <w:rPr>
          <w:rFonts w:ascii="Calibri" w:hAnsi="Calibri"/>
          <w:sz w:val="22"/>
        </w:rPr>
        <w:t>**TP53-mediated cell cycle arrest preceding apoptosis**: All 15 narratives describe TP53 activation leading to CDKN1A (p21) induction and cell cycle arrest, followed by BAX/CASP3-mediated apoptosis at higher doses. Claude-opus Run 3: "The concurrent upregulation of CDKN1A (a direct p53 transcriptional target) confirms functional p53 pathway engagement."</w:t>
      </w:r>
    </w:p>
    <w:p>
      <w:pPr>
        <w:pStyle w:val="ListBullet"/>
        <w:spacing w:after="40"/>
      </w:pPr>
      <w:r>
        <w:rPr>
          <w:rFonts w:ascii="Calibri" w:hAnsi="Calibri"/>
          <w:sz w:val="22"/>
        </w:rPr>
        <w:t>**NF-κB-driven inflammatory signaling with IL6, IL1B, TNF**: Universal agreement that inflammatory cytokines are upregulated at moderate-to-high doses, driven by NFKB1 activation.</w:t>
      </w:r>
    </w:p>
    <w:p>
      <w:pPr>
        <w:pStyle w:val="ListBullet"/>
        <w:spacing w:after="40"/>
      </w:pPr>
      <w:r>
        <w:rPr>
          <w:rFonts w:ascii="Calibri" w:hAnsi="Calibri"/>
          <w:sz w:val="22"/>
        </w:rPr>
        <w:t>**BAX/BCL2/CASP3 apoptotic cascade**: All narratives describe the intrinsic mitochondrial apoptotic pathway, with BAX as pro-apoptotic, BCL2 as anti-apoptotic, and CASP3 as the executioner caspase.</w:t>
      </w:r>
    </w:p>
    <w:p>
      <w:pPr>
        <w:pStyle w:val="Heading3"/>
      </w:pPr>
      <w:r>
        <w:t>Divergence</w:t>
      </w:r>
    </w:p>
    <w:p>
      <w:pPr>
        <w:spacing w:after="120"/>
      </w:pPr>
      <w:r>
        <w:rPr>
          <w:rFonts w:ascii="Calibri" w:hAnsi="Calibri"/>
          <w:b/>
          <w:i w:val="0"/>
          <w:sz w:val="22"/>
        </w:rPr>
        <w:t>Granularity and phase resolution:</w:t>
      </w:r>
    </w:p>
    <w:p>
      <w:pPr>
        <w:pStyle w:val="ListBullet"/>
        <w:spacing w:after="40"/>
      </w:pPr>
      <w:r>
        <w:rPr>
          <w:rFonts w:ascii="Calibri" w:hAnsi="Calibri"/>
          <w:sz w:val="22"/>
        </w:rPr>
        <w:t>The **claude-haiku** and **claude-sonnet/opus** models provide 6–8 distinct phases with specific BMD ranges (e.g., Phase 1: BMD 0.2–0.55; Phase 2: BMD 0.4–2.0), while **qwen2.5** and **gemma2** models use 3–4 broader dose categories (Low/Moderate/High). This is a structural difference in analytical depth rather than a substantive disagreement.</w:t>
      </w:r>
    </w:p>
    <w:p>
      <w:pPr>
        <w:spacing w:after="120"/>
      </w:pPr>
      <w:r>
        <w:rPr>
          <w:rFonts w:ascii="Calibri" w:hAnsi="Calibri"/>
          <w:b/>
          <w:i w:val="0"/>
          <w:sz w:val="22"/>
        </w:rPr>
        <w:t>Ferroptosis pathway:</w:t>
      </w:r>
    </w:p>
    <w:p>
      <w:pPr>
        <w:pStyle w:val="ListBullet"/>
        <w:spacing w:after="40"/>
      </w:pPr>
      <w:r>
        <w:rPr>
          <w:rFonts w:ascii="Calibri" w:hAnsi="Calibri"/>
          <w:sz w:val="22"/>
        </w:rPr>
        <w:t>**Claude-sonnet** Runs 1–3 and **claude-opus** Runs 1–3 all identify ferroptosis signaling (path:hsa04216) as an early event (BMD 0.6), interpreting GPX1 and GCLC upregulation as protective against iron-dependent lipid peroxidation. Claude-opus Run 3: "The ferroptosis pathway activation at BMD 0.6 is significant: the upregulation of GPX1 and GCLC at this stage likely represents a protective response against iron-dependent lipid peroxidation rather than active ferroptotic cell death."</w:t>
      </w:r>
    </w:p>
    <w:p>
      <w:pPr>
        <w:pStyle w:val="ListBullet"/>
        <w:spacing w:after="40"/>
      </w:pPr>
      <w:r>
        <w:rPr>
          <w:rFonts w:ascii="Calibri" w:hAnsi="Calibri"/>
          <w:sz w:val="22"/>
        </w:rPr>
        <w:t>**Qwen2.5** and **gemma2** models do not mention ferroptosis at all. This is a notable omission, likely reflecting the absence of BMD-level pathway data in their analyses.</w:t>
      </w:r>
    </w:p>
    <w:p>
      <w:pPr>
        <w:spacing w:after="120"/>
      </w:pPr>
      <w:r>
        <w:rPr>
          <w:rFonts w:ascii="Calibri" w:hAnsi="Calibri"/>
          <w:b/>
          <w:i w:val="0"/>
          <w:sz w:val="22"/>
        </w:rPr>
        <w:t>Circadian clock disruption:</w:t>
      </w:r>
    </w:p>
    <w:p>
      <w:pPr>
        <w:pStyle w:val="ListBullet"/>
        <w:spacing w:after="40"/>
      </w:pPr>
      <w:r>
        <w:rPr>
          <w:rFonts w:ascii="Calibri" w:hAnsi="Calibri"/>
          <w:sz w:val="22"/>
        </w:rPr>
        <w:t>**Claude-haiku** Runs 1–3, **claude-sonnet** Runs 1–3, and **claude-opus** Runs 1–3 (9/15 narratives) identify circadian clock gene downregulation at BMD 2.0–2.25 as a distinct biological event. Claude-haiku Run 1 calls this "a unique finding not typically associated with xenobiotic toxicity." Claude-sonnet Run 1 links it to "AHR directly competes with the ARNT/HIF1β complex for dimerization partners."</w:t>
      </w:r>
    </w:p>
    <w:p>
      <w:pPr>
        <w:pStyle w:val="ListBullet"/>
        <w:spacing w:after="40"/>
      </w:pPr>
      <w:r>
        <w:rPr>
          <w:rFonts w:ascii="Calibri" w:hAnsi="Calibri"/>
          <w:sz w:val="22"/>
        </w:rPr>
        <w:t>**Qwen2.5** (0/3) and **gemma2** (0/3) do not mention circadian disruption. This represents a clear model-class divergence.</w:t>
      </w:r>
    </w:p>
    <w:p>
      <w:pPr>
        <w:spacing w:after="120"/>
      </w:pPr>
      <w:r>
        <w:rPr>
          <w:rFonts w:ascii="Calibri" w:hAnsi="Calibri"/>
          <w:b/>
          <w:i w:val="0"/>
          <w:sz w:val="22"/>
        </w:rPr>
        <w:t>Senescence-Associated Secretory Phenotype (SASP):</w:t>
      </w:r>
    </w:p>
    <w:p>
      <w:pPr>
        <w:pStyle w:val="ListBullet"/>
        <w:spacing w:after="40"/>
      </w:pPr>
      <w:r>
        <w:rPr>
          <w:rFonts w:ascii="Calibri" w:hAnsi="Calibri"/>
          <w:sz w:val="22"/>
        </w:rPr>
        <w:t>All **claude** models (9/9 runs) identify SASP as a late-stage event (BMD 8.5–10.25). Claude-haiku Run 3: "The SASP pathway indicates that cells are entering a state of permanent cell cycle arrest (senescence) while secreting pro-inflammatory factors."</w:t>
      </w:r>
    </w:p>
    <w:p>
      <w:pPr>
        <w:pStyle w:val="ListBullet"/>
        <w:spacing w:after="40"/>
      </w:pPr>
      <w:r>
        <w:rPr>
          <w:rFonts w:ascii="Calibri" w:hAnsi="Calibri"/>
          <w:sz w:val="22"/>
        </w:rPr>
        <w:t>**Qwen2.5** and **gemma2** (0/6 runs) do not mention SASP or cellular senescence.</w:t>
      </w:r>
    </w:p>
    <w:p>
      <w:pPr>
        <w:spacing w:after="120"/>
      </w:pPr>
      <w:r>
        <w:rPr>
          <w:rFonts w:ascii="Calibri" w:hAnsi="Calibri"/>
          <w:b/>
          <w:i w:val="0"/>
          <w:sz w:val="22"/>
        </w:rPr>
        <w:t>Fibrosis signaling:</w:t>
      </w:r>
    </w:p>
    <w:p>
      <w:pPr>
        <w:pStyle w:val="ListBullet"/>
        <w:spacing w:after="40"/>
      </w:pPr>
      <w:r>
        <w:rPr>
          <w:rFonts w:ascii="Calibri" w:hAnsi="Calibri"/>
          <w:sz w:val="22"/>
        </w:rPr>
        <w:t>**Qwen2.5 Run 2** uniquely identifies COL1A1 (collagen) upregulation as evidence of fibrosis: "Increased expression of collagen-related genes (e.g., COL1A1) suggests tissue remodeling and scarring." No other narrative mentions COL1A1 specifically.</w:t>
      </w:r>
    </w:p>
    <w:p>
      <w:pPr>
        <w:pStyle w:val="ListBullet"/>
        <w:spacing w:after="40"/>
      </w:pPr>
      <w:r>
        <w:rPr>
          <w:rFonts w:ascii="Calibri" w:hAnsi="Calibri"/>
          <w:sz w:val="22"/>
        </w:rPr>
        <w:t>All claude models reference TGFB1-driven fibrotic signaling but at higher doses (BMD 6–12.5).</w:t>
      </w:r>
    </w:p>
    <w:p>
      <w:pPr>
        <w:spacing w:after="120"/>
      </w:pPr>
      <w:r>
        <w:rPr>
          <w:rFonts w:ascii="Calibri" w:hAnsi="Calibri"/>
          <w:b/>
          <w:i w:val="0"/>
          <w:sz w:val="22"/>
        </w:rPr>
        <w:t>Unfolded Protein Response (UPR):</w:t>
      </w:r>
    </w:p>
    <w:p>
      <w:pPr>
        <w:pStyle w:val="ListBullet"/>
        <w:spacing w:after="40"/>
      </w:pPr>
      <w:r>
        <w:rPr>
          <w:rFonts w:ascii="Calibri" w:hAnsi="Calibri"/>
          <w:sz w:val="22"/>
        </w:rPr>
        <w:t>**Qwen2.5 Run 3** mentions "UPR and DNA repair mechanisms" at low and medium doses, referencing SIRT1 as part of UPR. This is mechanistically imprecise—SIRT1 is not a canonical UPR gene.</w:t>
      </w:r>
    </w:p>
    <w:p>
      <w:pPr>
        <w:pStyle w:val="ListBullet"/>
        <w:spacing w:after="40"/>
      </w:pPr>
      <w:r>
        <w:rPr>
          <w:rFonts w:ascii="Calibri" w:hAnsi="Calibri"/>
          <w:sz w:val="22"/>
        </w:rPr>
        <w:t>**Claude-sonnet** Runs 1 and 3 identify ER stress/UPR (path:hsa04141) at BMD 5.5, which is more consistent with the pathway data.</w:t>
      </w:r>
    </w:p>
    <w:p>
      <w:pPr>
        <w:spacing w:after="120"/>
      </w:pPr>
      <w:r>
        <w:rPr>
          <w:rFonts w:ascii="Calibri" w:hAnsi="Calibri"/>
          <w:b/>
          <w:i w:val="0"/>
          <w:sz w:val="22"/>
        </w:rPr>
        <w:t>Inflammasome activation:</w:t>
      </w:r>
    </w:p>
    <w:p>
      <w:pPr>
        <w:pStyle w:val="ListBullet"/>
        <w:spacing w:after="40"/>
      </w:pPr>
      <w:r>
        <w:rPr>
          <w:rFonts w:ascii="Calibri" w:hAnsi="Calibri"/>
          <w:sz w:val="22"/>
        </w:rPr>
        <w:t>All **claude** models identify NLRP3 inflammasome activation as a distinct late event (BMD 3.5–12.0). Claude-haiku Run 2: "The activation of NLRP3 inflammasome is particularly significant. The NLRP3 inflammasome is a multi-protein complex that activates caspase-1."</w:t>
      </w:r>
    </w:p>
    <w:p>
      <w:pPr>
        <w:pStyle w:val="ListBullet"/>
        <w:spacing w:after="40"/>
      </w:pPr>
      <w:r>
        <w:rPr>
          <w:rFonts w:ascii="Calibri" w:hAnsi="Calibri"/>
          <w:sz w:val="22"/>
        </w:rPr>
        <w:t>**Gemma2** models mention NLRP3 only in passing or not at all. **Qwen2.5** does not mention NLRP3.</w:t>
      </w:r>
    </w:p>
    <w:p>
      <w:pPr>
        <w:pStyle w:val="Heading3"/>
      </w:pPr>
      <w:r>
        <w:t>Concordance Rating: **Strong agreement** on core pathway progression; **Moderate divergence** on secondary pathways (ferroptosis, circadian disruption, SASP, inflammasome) driven primarily by analytical depth differences between model classes.</w:t>
      </w:r>
    </w:p>
    <w:p>
      <w:pPr>
        <w:spacing w:after="120"/>
      </w:pPr>
      <w:r>
        <w:rPr>
          <w:rFonts w:ascii="Calibri" w:hAnsi="Calibri"/>
          <w:b w:val="0"/>
          <w:i w:val="0"/>
          <w:sz w:val="22"/>
        </w:rPr>
        <w:t>---</w:t>
      </w:r>
    </w:p>
    <w:p>
      <w:pPr>
        <w:pStyle w:val="Heading2"/>
      </w:pPr>
      <w:r>
        <w:t>2. Organ-Level Prediction — Concordance</w:t>
      </w:r>
    </w:p>
    <w:p>
      <w:pPr>
        <w:pStyle w:val="Heading3"/>
      </w:pPr>
      <w:r>
        <w:t>Agreement</w:t>
      </w:r>
    </w:p>
    <w:p>
      <w:pPr>
        <w:spacing w:after="120"/>
      </w:pPr>
      <w:r>
        <w:rPr>
          <w:rFonts w:ascii="Calibri" w:hAnsi="Calibri"/>
          <w:b w:val="0"/>
          <w:i w:val="0"/>
          <w:sz w:val="22"/>
        </w:rPr>
        <w:t>| Organ | Models Identifying | Confidence Consensus |</w:t>
      </w:r>
    </w:p>
    <w:p>
      <w:pPr>
        <w:spacing w:after="120"/>
      </w:pPr>
      <w:r>
        <w:rPr>
          <w:rFonts w:ascii="Calibri" w:hAnsi="Calibri"/>
          <w:b w:val="0"/>
          <w:i w:val="0"/>
          <w:sz w:val="22"/>
        </w:rPr>
        <w:t>|-------|-------------------|---------------------|</w:t>
      </w:r>
    </w:p>
    <w:p>
      <w:pPr>
        <w:spacing w:after="120"/>
      </w:pPr>
      <w:r>
        <w:rPr>
          <w:rFonts w:ascii="Calibri" w:hAnsi="Calibri"/>
          <w:b w:val="0"/>
          <w:i w:val="0"/>
          <w:sz w:val="22"/>
        </w:rPr>
        <w:t>| **Liver** | 15/15 (all narratives) | High across all models |</w:t>
      </w:r>
    </w:p>
    <w:p>
      <w:pPr>
        <w:spacing w:after="120"/>
      </w:pPr>
      <w:r>
        <w:rPr>
          <w:rFonts w:ascii="Calibri" w:hAnsi="Calibri"/>
          <w:b w:val="0"/>
          <w:i w:val="0"/>
          <w:sz w:val="22"/>
        </w:rPr>
        <w:t>| **Kidney** | 15/15 (all narratives) | High across all models |</w:t>
      </w:r>
    </w:p>
    <w:p>
      <w:pPr>
        <w:spacing w:after="120"/>
      </w:pPr>
      <w:r>
        <w:rPr>
          <w:rFonts w:ascii="Calibri" w:hAnsi="Calibri"/>
          <w:b w:val="0"/>
          <w:i w:val="0"/>
          <w:sz w:val="22"/>
        </w:rPr>
        <w:t>| **Heart** | 10/15 narratives | Moderate-High |</w:t>
      </w:r>
    </w:p>
    <w:p>
      <w:pPr>
        <w:spacing w:after="120"/>
      </w:pPr>
      <w:r>
        <w:rPr>
          <w:rFonts w:ascii="Calibri" w:hAnsi="Calibri"/>
          <w:b w:val="0"/>
          <w:i w:val="0"/>
          <w:sz w:val="22"/>
        </w:rPr>
        <w:t>| **Brain/CNS** | 8/15 narratives | Moderate |</w:t>
      </w:r>
    </w:p>
    <w:p>
      <w:pPr>
        <w:spacing w:after="120"/>
      </w:pPr>
      <w:r>
        <w:rPr>
          <w:rFonts w:ascii="Calibri" w:hAnsi="Calibri"/>
          <w:b w:val="0"/>
          <w:i w:val="0"/>
          <w:sz w:val="22"/>
        </w:rPr>
        <w:t>| **Lung** | 7/15 narratives | Moderate |</w:t>
      </w:r>
    </w:p>
    <w:p>
      <w:pPr>
        <w:spacing w:after="120"/>
      </w:pPr>
      <w:r>
        <w:rPr>
          <w:rFonts w:ascii="Calibri" w:hAnsi="Calibri"/>
          <w:b/>
          <w:sz w:val="22"/>
        </w:rPr>
        <w:t xml:space="preserve">Liver as primary target: </w:t>
      </w:r>
      <w:r>
        <w:rPr>
          <w:rFonts w:ascii="Calibri" w:hAnsi="Calibri"/>
          <w:sz w:val="22"/>
        </w:rPr>
        <w:t>Universal agreement. Every narrative identifies the liver as the most likely or most comprehensively affected organ. Reasoning is consistent: CYP1A1/CYP1B1 metabolism, NRF2-mediated antioxidant defense, NF-κB inflammation, and TGFB1 fibrosis. Qwen2.5 Run 1: "The liver is a primary site for drug metabolism and detoxification." Claude-opus Run 2: "The liver emerges as the most probable primary target organ based on multiple converging lines of evidence."</w:t>
      </w:r>
    </w:p>
    <w:p>
      <w:pPr>
        <w:spacing w:after="120"/>
      </w:pPr>
      <w:r>
        <w:rPr>
          <w:rFonts w:ascii="Calibri" w:hAnsi="Calibri"/>
          <w:b/>
          <w:sz w:val="22"/>
        </w:rPr>
        <w:t xml:space="preserve">Kidney as secondary target: </w:t>
      </w:r>
      <w:r>
        <w:rPr>
          <w:rFonts w:ascii="Calibri" w:hAnsi="Calibri"/>
          <w:sz w:val="22"/>
        </w:rPr>
        <w:t>Universal agreement. All narratives cite HMOX1 enrichment in renal tubular epithelium, VEGFA/AHR pathway involvement, and oxidative stress markers. Claude-haiku Run 2 provides the most specific enrichment data: "75.59× enrichment, 28 genes."</w:t>
      </w:r>
    </w:p>
    <w:p>
      <w:pPr>
        <w:spacing w:after="120"/>
      </w:pPr>
      <w:r>
        <w:rPr>
          <w:rFonts w:ascii="Calibri" w:hAnsi="Calibri"/>
          <w:b/>
          <w:sz w:val="22"/>
        </w:rPr>
        <w:t xml:space="preserve">Heart: </w:t>
      </w:r>
      <w:r>
        <w:rPr>
          <w:rFonts w:ascii="Calibri" w:hAnsi="Calibri"/>
          <w:sz w:val="22"/>
        </w:rPr>
        <w:t>Identified by all qwen2.5 runs (3/3), all claude-opus runs (3/3), gemma2 Runs 1 and 3 (2/3), and claude-haiku Runs 1–3 (3/3 mention cardiac tissue). Claude-sonnet models mention heart less prominently, focusing on liver, kidney, and lung.</w:t>
      </w:r>
    </w:p>
    <w:p>
      <w:pPr>
        <w:pStyle w:val="Heading3"/>
      </w:pPr>
      <w:r>
        <w:t>Divergence</w:t>
      </w:r>
    </w:p>
    <w:p>
      <w:pPr>
        <w:spacing w:after="120"/>
      </w:pPr>
      <w:r>
        <w:rPr>
          <w:rFonts w:ascii="Calibri" w:hAnsi="Calibri"/>
          <w:b/>
          <w:i w:val="0"/>
          <w:sz w:val="22"/>
        </w:rPr>
        <w:t>Brain/CNS prediction:</w:t>
      </w:r>
    </w:p>
    <w:p>
      <w:pPr>
        <w:pStyle w:val="ListBullet"/>
        <w:spacing w:after="40"/>
      </w:pPr>
      <w:r>
        <w:rPr>
          <w:rFonts w:ascii="Calibri" w:hAnsi="Calibri"/>
          <w:sz w:val="22"/>
        </w:rPr>
        <w:t>**Qwen2.5 Run 3** identifies brain as a target organ: "Genes like BAX, TP53 indicate neuronal apoptosis and neurodegeneration." Cites amyloid β peptide literature.</w:t>
      </w:r>
    </w:p>
    <w:p>
      <w:pPr>
        <w:pStyle w:val="ListBullet"/>
        <w:spacing w:after="40"/>
      </w:pPr>
      <w:r>
        <w:rPr>
          <w:rFonts w:ascii="Calibri" w:hAnsi="Calibri"/>
          <w:sz w:val="22"/>
        </w:rPr>
        <w:t>**Gemma2 Run 2** identifies brain: "Potentially affected, with upregulation of TP53 and BAX suggesting neuronal apoptosis. However, the expression levels are lower compared to liver and kidney."</w:t>
      </w:r>
    </w:p>
    <w:p>
      <w:pPr>
        <w:pStyle w:val="ListBullet"/>
        <w:spacing w:after="40"/>
      </w:pPr>
      <w:r>
        <w:rPr>
          <w:rFonts w:ascii="Calibri" w:hAnsi="Calibri"/>
          <w:sz w:val="22"/>
        </w:rPr>
        <w:t>All **claude-opus** runs (3/3) identify brain/CNS with detailed sub-regional analysis (substantia nigra, hippocampal CA1, cingulate cortex). Claude-opus Run 2: "Cingulate Cortex (671.56× for NFE2L2), Substantia Nigra (268.62× for BAX, TP53)."</w:t>
      </w:r>
    </w:p>
    <w:p>
      <w:pPr>
        <w:pStyle w:val="ListBullet"/>
        <w:spacing w:after="40"/>
      </w:pPr>
      <w:r>
        <w:rPr>
          <w:rFonts w:ascii="Calibri" w:hAnsi="Calibri"/>
          <w:sz w:val="22"/>
        </w:rPr>
        <w:t>**Claude-sonnet** runs mention brain through neurodegenerative pathway enrichment but are less emphatic.</w:t>
      </w:r>
    </w:p>
    <w:p>
      <w:pPr>
        <w:pStyle w:val="ListBullet"/>
        <w:spacing w:after="40"/>
      </w:pPr>
      <w:r>
        <w:rPr>
          <w:rFonts w:ascii="Calibri" w:hAnsi="Calibri"/>
          <w:sz w:val="22"/>
        </w:rPr>
        <w:t>**Qwen2.5 Runs 1–2** and **gemma2 Runs 1, 3** do not identify brain as a target.</w:t>
      </w:r>
    </w:p>
    <w:p>
      <w:pPr>
        <w:spacing w:after="120"/>
      </w:pPr>
      <w:r>
        <w:rPr>
          <w:rFonts w:ascii="Calibri" w:hAnsi="Calibri"/>
          <w:b/>
          <w:i w:val="0"/>
          <w:sz w:val="22"/>
        </w:rPr>
        <w:t>Lung prediction:</w:t>
      </w:r>
    </w:p>
    <w:p>
      <w:pPr>
        <w:pStyle w:val="ListBullet"/>
        <w:spacing w:after="40"/>
      </w:pPr>
      <w:r>
        <w:rPr>
          <w:rFonts w:ascii="Calibri" w:hAnsi="Calibri"/>
          <w:sz w:val="22"/>
        </w:rPr>
        <w:t>**Claude-sonnet** Runs 1–3 and **claude-haiku** Run 2 identify lung (44.62× enrichment, 25 genes). Claude-haiku Run 2: "Curcumin protects against oxidative stress and lung damage caused by cadmium."</w:t>
      </w:r>
    </w:p>
    <w:p>
      <w:pPr>
        <w:pStyle w:val="ListBullet"/>
        <w:spacing w:after="40"/>
      </w:pPr>
      <w:r>
        <w:rPr>
          <w:rFonts w:ascii="Calibri" w:hAnsi="Calibri"/>
          <w:sz w:val="22"/>
        </w:rPr>
        <w:t>**Gemma2 Run 1** mentions lung: "Possible inflammation and fibrosis based on the upregulation of inflammatory markers."</w:t>
      </w:r>
    </w:p>
    <w:p>
      <w:pPr>
        <w:pStyle w:val="ListBullet"/>
        <w:spacing w:after="40"/>
      </w:pPr>
      <w:r>
        <w:rPr>
          <w:rFonts w:ascii="Calibri" w:hAnsi="Calibri"/>
          <w:sz w:val="22"/>
        </w:rPr>
        <w:t>**Qwen2.5** models do not identify lung. **Claude-opus** models mention lung as a secondary target.</w:t>
      </w:r>
    </w:p>
    <w:p>
      <w:pPr>
        <w:spacing w:after="120"/>
      </w:pPr>
      <w:r>
        <w:rPr>
          <w:rFonts w:ascii="Calibri" w:hAnsi="Calibri"/>
          <w:b/>
          <w:i w:val="0"/>
          <w:sz w:val="22"/>
        </w:rPr>
        <w:t>Intestine prediction:</w:t>
      </w:r>
    </w:p>
    <w:p>
      <w:pPr>
        <w:pStyle w:val="ListBullet"/>
        <w:spacing w:after="40"/>
      </w:pPr>
      <w:r>
        <w:rPr>
          <w:rFonts w:ascii="Calibri" w:hAnsi="Calibri"/>
          <w:sz w:val="22"/>
        </w:rPr>
        <w:t>Only **claude-opus** Runs 1–3 and **claude-sonnet** Runs 1–3 identify intestine/GI tract (enrichment 172.69–503.67×). Claude-opus Run 3: "The intestinal Nrf2-Keap1 axis activation is consistent with the oyster peptide intestinal protection literature."</w:t>
      </w:r>
    </w:p>
    <w:p>
      <w:pPr>
        <w:pStyle w:val="ListBullet"/>
        <w:spacing w:after="40"/>
      </w:pPr>
      <w:r>
        <w:rPr>
          <w:rFonts w:ascii="Calibri" w:hAnsi="Calibri"/>
          <w:sz w:val="22"/>
        </w:rPr>
        <w:t>No qwen2.5 or gemma2 model identifies intestine.</w:t>
      </w:r>
    </w:p>
    <w:p>
      <w:pPr>
        <w:spacing w:after="120"/>
      </w:pPr>
      <w:r>
        <w:rPr>
          <w:rFonts w:ascii="Calibri" w:hAnsi="Calibri"/>
          <w:b/>
          <w:i w:val="0"/>
          <w:sz w:val="22"/>
        </w:rPr>
        <w:t>Testis/Reproductive organs:</w:t>
      </w:r>
    </w:p>
    <w:p>
      <w:pPr>
        <w:pStyle w:val="ListBullet"/>
        <w:spacing w:after="40"/>
      </w:pPr>
      <w:r>
        <w:rPr>
          <w:rFonts w:ascii="Calibri" w:hAnsi="Calibri"/>
          <w:sz w:val="22"/>
        </w:rPr>
        <w:t>Only **claude-opus** Runs 1–3 identify testis (enrichment 470.09×). Claude-opus Run 1: "The RuIII/Q complex studies demonstrating amelioration of reproductive toxicity through modulation of these same genes provide direct mechanistic support."</w:t>
      </w:r>
    </w:p>
    <w:p>
      <w:pPr>
        <w:pStyle w:val="ListBullet"/>
        <w:spacing w:after="40"/>
      </w:pPr>
      <w:r>
        <w:rPr>
          <w:rFonts w:ascii="Calibri" w:hAnsi="Calibri"/>
          <w:sz w:val="22"/>
        </w:rPr>
        <w:t>No other model class identifies reproductive organs.</w:t>
      </w:r>
    </w:p>
    <w:p>
      <w:pPr>
        <w:pStyle w:val="Heading3"/>
      </w:pPr>
      <w:r>
        <w:t>Concordance Rating: **Strong agreement** on liver and kidney; **Moderate agreement** on heart; **Weak-to-moderate agreement** on brain, lung, intestine, and reproductive organs, with claude-opus providing the broadest organ coverage.</w:t>
      </w:r>
    </w:p>
    <w:p>
      <w:pPr>
        <w:spacing w:after="120"/>
      </w:pPr>
      <w:r>
        <w:rPr>
          <w:rFonts w:ascii="Calibri" w:hAnsi="Calibri"/>
          <w:b w:val="0"/>
          <w:i w:val="0"/>
          <w:sz w:val="22"/>
        </w:rPr>
        <w:t>---</w:t>
      </w:r>
    </w:p>
    <w:p>
      <w:pPr>
        <w:pStyle w:val="Heading2"/>
      </w:pPr>
      <w:r>
        <w:t>3. Mechanism of Action — Concordance</w:t>
      </w:r>
    </w:p>
    <w:p>
      <w:pPr>
        <w:pStyle w:val="Heading3"/>
      </w:pPr>
      <w:r>
        <w:t>Agreement</w:t>
      </w:r>
    </w:p>
    <w:p>
      <w:pPr>
        <w:spacing w:after="120"/>
      </w:pPr>
      <w:r>
        <w:rPr>
          <w:rFonts w:ascii="Calibri" w:hAnsi="Calibri"/>
          <w:b/>
          <w:i w:val="0"/>
          <w:sz w:val="22"/>
        </w:rPr>
        <w:t>All 15 narratives agree on the following mechanistic framework:</w:t>
      </w:r>
    </w:p>
    <w:p>
      <w:pPr>
        <w:spacing w:after="120"/>
      </w:pPr>
      <w:r>
        <w:rPr>
          <w:rFonts w:ascii="Calibri" w:hAnsi="Calibri"/>
          <w:b w:val="0"/>
          <w:i w:val="0"/>
          <w:sz w:val="22"/>
        </w:rPr>
        <w:t>1. **Molecular Initiating Event (MIE)**: Xenobiotic exposure generates reactive oxygen species (ROS) and/or electrophilic stress, activating AHR and disrupting cellular redox balance. (15/15)</w:t>
      </w:r>
    </w:p>
    <w:p>
      <w:pPr>
        <w:spacing w:after="120"/>
      </w:pPr>
      <w:r>
        <w:rPr>
          <w:rFonts w:ascii="Calibri" w:hAnsi="Calibri"/>
          <w:b w:val="0"/>
          <w:i w:val="0"/>
          <w:sz w:val="22"/>
        </w:rPr>
        <w:t>2. **Key Event 1 — NRF2 antioxidant defense**: KEAP1-NFE2L2 pathway activation drives upregulation of antioxidant enzymes (NQO1, HMOX1, GCLC, GPX1, SOD1/2, CAT). (15/15)</w:t>
      </w:r>
    </w:p>
    <w:p>
      <w:pPr>
        <w:spacing w:after="120"/>
      </w:pPr>
      <w:r>
        <w:rPr>
          <w:rFonts w:ascii="Calibri" w:hAnsi="Calibri"/>
          <w:b w:val="0"/>
          <w:i w:val="0"/>
          <w:sz w:val="22"/>
        </w:rPr>
        <w:t>3. **Key Event 2 — DNA damage and TP53 activation**: Accumulated oxidative damage activates TP53, leading to CDKN1A-mediated cell cycle arrest. (15/15)</w:t>
      </w:r>
    </w:p>
    <w:p>
      <w:pPr>
        <w:spacing w:after="120"/>
      </w:pPr>
      <w:r>
        <w:rPr>
          <w:rFonts w:ascii="Calibri" w:hAnsi="Calibri"/>
          <w:b w:val="0"/>
          <w:i w:val="0"/>
          <w:sz w:val="22"/>
        </w:rPr>
        <w:t>4. **Key Event 3 — Inflammatory signaling**: NF-κB activation drives IL6, IL1B, TNF production. (15/15)</w:t>
      </w:r>
    </w:p>
    <w:p>
      <w:pPr>
        <w:spacing w:after="120"/>
      </w:pPr>
      <w:r>
        <w:rPr>
          <w:rFonts w:ascii="Calibri" w:hAnsi="Calibri"/>
          <w:b w:val="0"/>
          <w:i w:val="0"/>
          <w:sz w:val="22"/>
        </w:rPr>
        <w:t>5. **Key Event 4 — Apoptosis**: BAX/BCL2 ratio shifts toward pro-apoptotic signaling; CASP3 activation executes cell death. (15/15)</w:t>
      </w:r>
    </w:p>
    <w:p>
      <w:pPr>
        <w:spacing w:after="120"/>
      </w:pPr>
      <w:r>
        <w:rPr>
          <w:rFonts w:ascii="Calibri" w:hAnsi="Calibri"/>
          <w:b/>
          <w:i w:val="0"/>
          <w:sz w:val="22"/>
        </w:rPr>
        <w:t>The AOP structure (MIE → oxidative stress → DNA damage → inflammation → apoptosis) is the single most consistent finding across all 15 narratives.</w:t>
      </w:r>
    </w:p>
    <w:p>
      <w:pPr>
        <w:pStyle w:val="Heading3"/>
      </w:pPr>
      <w:r>
        <w:t>Divergence</w:t>
      </w:r>
    </w:p>
    <w:p>
      <w:pPr>
        <w:spacing w:after="120"/>
      </w:pPr>
      <w:r>
        <w:rPr>
          <w:rFonts w:ascii="Calibri" w:hAnsi="Calibri"/>
          <w:b/>
          <w:i w:val="0"/>
          <w:sz w:val="22"/>
        </w:rPr>
        <w:t>Specificity of the MIE:</w:t>
      </w:r>
    </w:p>
    <w:p>
      <w:pPr>
        <w:pStyle w:val="ListBullet"/>
        <w:spacing w:after="40"/>
      </w:pPr>
      <w:r>
        <w:rPr>
          <w:rFonts w:ascii="Calibri" w:hAnsi="Calibri"/>
          <w:sz w:val="22"/>
        </w:rPr>
        <w:t>**Claude-sonnet** and **claude-opus** models specify AHR ligand binding as the MIE, with Phase I metabolism generating reactive metabolites as the proximate cause of oxidative stress. Claude-sonnet Run 1: "The three genes initiating the AHR cluster (median BMD 0.35) include CYP1A1 and CYP1B1, canonical AHR target genes."</w:t>
      </w:r>
    </w:p>
    <w:p>
      <w:pPr>
        <w:pStyle w:val="ListBullet"/>
        <w:spacing w:after="40"/>
      </w:pPr>
      <w:r>
        <w:rPr>
          <w:rFonts w:ascii="Calibri" w:hAnsi="Calibri"/>
          <w:sz w:val="22"/>
        </w:rPr>
        <w:t>**Qwen2.5** models describe the MIE more generically as "exposure to a xenobiotic compound leads to increased production of reactive oxygen species." Qwen2.5 Run 1 does not distinguish between direct ROS generation and metabolism-mediated ROS.</w:t>
      </w:r>
    </w:p>
    <w:p>
      <w:pPr>
        <w:pStyle w:val="ListBullet"/>
        <w:spacing w:after="40"/>
      </w:pPr>
      <w:r>
        <w:rPr>
          <w:rFonts w:ascii="Calibri" w:hAnsi="Calibri"/>
          <w:sz w:val="22"/>
        </w:rPr>
        <w:t>**Gemma2** models are similarly generic: "The toxicant directly or indirectly interacts with cellular targets, disrupting normal metabolic pathways or inducing oxidative stress." (Gemma2 Run 1)</w:t>
      </w:r>
    </w:p>
    <w:p>
      <w:pPr>
        <w:spacing w:after="120"/>
      </w:pPr>
      <w:r>
        <w:rPr>
          <w:rFonts w:ascii="Calibri" w:hAnsi="Calibri"/>
          <w:b/>
          <w:i w:val="0"/>
          <w:sz w:val="22"/>
        </w:rPr>
        <w:t>Compound identity inference:</w:t>
      </w:r>
    </w:p>
    <w:p>
      <w:pPr>
        <w:pStyle w:val="ListBullet"/>
        <w:spacing w:after="40"/>
      </w:pPr>
      <w:r>
        <w:rPr>
          <w:rFonts w:ascii="Calibri" w:hAnsi="Calibri"/>
          <w:sz w:val="22"/>
        </w:rPr>
        <w:t>**Claude-sonnet Run 1** uniquely attempts to infer the compound class: "The data are consistent with exposure to a polycyclic aromatic hydrocarbon (PAH), halogenated aromatic compound, or heavy metal capable of simultaneously activating AHR and generating reactive oxygen species."</w:t>
      </w:r>
    </w:p>
    <w:p>
      <w:pPr>
        <w:pStyle w:val="ListBullet"/>
        <w:spacing w:after="40"/>
      </w:pPr>
      <w:r>
        <w:rPr>
          <w:rFonts w:ascii="Calibri" w:hAnsi="Calibri"/>
          <w:sz w:val="22"/>
        </w:rPr>
        <w:t>**Claude-sonnet Run 2** similarly states: "characteristics overlapping those of heavy metals, polycyclic aromatic hydrocarbons (PAHs), or other electrophilic xenobiotics."</w:t>
      </w:r>
    </w:p>
    <w:p>
      <w:pPr>
        <w:pStyle w:val="ListBullet"/>
        <w:spacing w:after="40"/>
      </w:pPr>
      <w:r>
        <w:rPr>
          <w:rFonts w:ascii="Calibri" w:hAnsi="Calibri"/>
          <w:sz w:val="22"/>
        </w:rPr>
        <w:t>No qwen2.5 or gemma2 model attempts compound class identification.</w:t>
      </w:r>
    </w:p>
    <w:p>
      <w:pPr>
        <w:spacing w:after="120"/>
      </w:pPr>
      <w:r>
        <w:rPr>
          <w:rFonts w:ascii="Calibri" w:hAnsi="Calibri"/>
          <w:b/>
          <w:i w:val="0"/>
          <w:sz w:val="22"/>
        </w:rPr>
        <w:t>Pseudo-hypoxia vs. true hypoxia:</w:t>
      </w:r>
    </w:p>
    <w:p>
      <w:pPr>
        <w:pStyle w:val="ListBullet"/>
        <w:spacing w:after="40"/>
      </w:pPr>
      <w:r>
        <w:rPr>
          <w:rFonts w:ascii="Calibri" w:hAnsi="Calibri"/>
          <w:sz w:val="22"/>
        </w:rPr>
        <w:t>**Claude-sonnet Run 2** provides a mechanistically nuanced interpretation of HIF1A activation: "consistent with pseudo-hypoxic signaling driven by ROS-mediated HIF1A stabilization rather than true oxygen deprivation." This distinction is not made by other model classes.</w:t>
      </w:r>
    </w:p>
    <w:p>
      <w:pPr>
        <w:spacing w:after="120"/>
      </w:pPr>
      <w:r>
        <w:rPr>
          <w:rFonts w:ascii="Calibri" w:hAnsi="Calibri"/>
          <w:b/>
          <w:i w:val="0"/>
          <w:sz w:val="22"/>
        </w:rPr>
        <w:t>KEAP1 directionality:</w:t>
      </w:r>
    </w:p>
    <w:p>
      <w:pPr>
        <w:pStyle w:val="ListBullet"/>
        <w:spacing w:after="40"/>
      </w:pPr>
      <w:r>
        <w:rPr>
          <w:rFonts w:ascii="Calibri" w:hAnsi="Calibri"/>
          <w:sz w:val="22"/>
        </w:rPr>
        <w:t>**Claude-sonnet Run 1** notes KEAP1 downregulation alongside NFE2L2 upregulation as mechanistically coherent. Claude-sonnet Run 3 and claude-opus runs also note the mixed directionality.</w:t>
      </w:r>
    </w:p>
    <w:p>
      <w:pPr>
        <w:pStyle w:val="ListBullet"/>
        <w:spacing w:after="40"/>
      </w:pPr>
      <w:r>
        <w:rPr>
          <w:rFonts w:ascii="Calibri" w:hAnsi="Calibri"/>
          <w:sz w:val="22"/>
        </w:rPr>
        <w:t>**Qwen2.5** and **gemma2** models do not address KEAP1 directionality, treating the NRF2 pathway as uniformly upregulated.</w:t>
      </w:r>
    </w:p>
    <w:p>
      <w:pPr>
        <w:spacing w:after="120"/>
      </w:pPr>
      <w:r>
        <w:rPr>
          <w:rFonts w:ascii="Calibri" w:hAnsi="Calibri"/>
          <w:b/>
          <w:i w:val="0"/>
          <w:sz w:val="22"/>
        </w:rPr>
        <w:t>Paradoxical BCL2 upregulation:</w:t>
      </w:r>
    </w:p>
    <w:p>
      <w:pPr>
        <w:pStyle w:val="ListBullet"/>
        <w:spacing w:after="40"/>
      </w:pPr>
      <w:r>
        <w:rPr>
          <w:rFonts w:ascii="Calibri" w:hAnsi="Calibri"/>
          <w:sz w:val="22"/>
        </w:rPr>
        <w:t>**Claude-haiku Run 3** provides the most detailed interpretation: "The upregulation of both BAX and BCL2 suggests a cellular conflict: the cell is attempting to survive (BCL2 upregulation) while simultaneously being driven toward apoptosis."</w:t>
      </w:r>
    </w:p>
    <w:p>
      <w:pPr>
        <w:pStyle w:val="ListBullet"/>
        <w:spacing w:after="40"/>
      </w:pPr>
      <w:r>
        <w:rPr>
          <w:rFonts w:ascii="Calibri" w:hAnsi="Calibri"/>
          <w:sz w:val="22"/>
        </w:rPr>
        <w:t>**Claude-opus Run 3** similarly notes: "The upregulation of BAX (pro-apoptotic) alongside BCL2 (anti-apoptotic) suggests a dynamic balance."</w:t>
      </w:r>
    </w:p>
    <w:p>
      <w:pPr>
        <w:pStyle w:val="ListBullet"/>
        <w:spacing w:after="40"/>
      </w:pPr>
      <w:r>
        <w:rPr>
          <w:rFonts w:ascii="Calibri" w:hAnsi="Calibri"/>
          <w:sz w:val="22"/>
        </w:rPr>
        <w:t>**Qwen2.5** and **gemma2** models do not address this paradox.</w:t>
      </w:r>
    </w:p>
    <w:p>
      <w:pPr>
        <w:pStyle w:val="Heading3"/>
      </w:pPr>
      <w:r>
        <w:t>Concordance Rating: **Strong agreement** on the overall AOP framework; **Moderate divergence** on mechanistic specificity, with claude models providing substantially more detailed mechanistic reasoning.</w:t>
      </w:r>
    </w:p>
    <w:p>
      <w:pPr>
        <w:spacing w:after="120"/>
      </w:pPr>
      <w:r>
        <w:rPr>
          <w:rFonts w:ascii="Calibri" w:hAnsi="Calibri"/>
          <w:b w:val="0"/>
          <w:i w:val="0"/>
          <w:sz w:val="22"/>
        </w:rPr>
        <w:t>---</w:t>
      </w:r>
    </w:p>
    <w:p>
      <w:pPr>
        <w:pStyle w:val="Heading2"/>
      </w:pPr>
      <w:r>
        <w:t>4. Protective vs. Adverse Responses — Concordance</w:t>
      </w:r>
    </w:p>
    <w:p>
      <w:pPr>
        <w:pStyle w:val="Heading3"/>
      </w:pPr>
      <w:r>
        <w:t>Agreement</w:t>
      </w:r>
    </w:p>
    <w:p>
      <w:pPr>
        <w:spacing w:after="120"/>
      </w:pPr>
      <w:r>
        <w:rPr>
          <w:rFonts w:ascii="Calibri" w:hAnsi="Calibri"/>
          <w:b/>
          <w:i w:val="0"/>
          <w:sz w:val="22"/>
        </w:rPr>
        <w:t>All 15 narratives agree on the following classification:</w:t>
      </w:r>
    </w:p>
    <w:p>
      <w:pPr>
        <w:spacing w:after="120"/>
      </w:pPr>
      <w:r>
        <w:rPr>
          <w:rFonts w:ascii="Calibri" w:hAnsi="Calibri"/>
          <w:b w:val="0"/>
          <w:i w:val="0"/>
          <w:sz w:val="22"/>
        </w:rPr>
        <w:t>| Response Type | Classification | Agreement |</w:t>
      </w:r>
    </w:p>
    <w:p>
      <w:pPr>
        <w:spacing w:after="120"/>
      </w:pPr>
      <w:r>
        <w:rPr>
          <w:rFonts w:ascii="Calibri" w:hAnsi="Calibri"/>
          <w:b w:val="0"/>
          <w:i w:val="0"/>
          <w:sz w:val="22"/>
        </w:rPr>
        <w:t>|--------------|---------------|-----------|</w:t>
      </w:r>
    </w:p>
    <w:p>
      <w:pPr>
        <w:spacing w:after="120"/>
      </w:pPr>
      <w:r>
        <w:rPr>
          <w:rFonts w:ascii="Calibri" w:hAnsi="Calibri"/>
          <w:b w:val="0"/>
          <w:i w:val="0"/>
          <w:sz w:val="22"/>
        </w:rPr>
        <w:t>| NRF2/antioxidant defense | Protective/Adaptive | 15/15 |</w:t>
      </w:r>
    </w:p>
    <w:p>
      <w:pPr>
        <w:spacing w:after="120"/>
      </w:pPr>
      <w:r>
        <w:rPr>
          <w:rFonts w:ascii="Calibri" w:hAnsi="Calibri"/>
          <w:b w:val="0"/>
          <w:i w:val="0"/>
          <w:sz w:val="22"/>
        </w:rPr>
        <w:t>| AHR/CYP-mediated metabolism | Protective/Adaptive | 15/15 |</w:t>
      </w:r>
    </w:p>
    <w:p>
      <w:pPr>
        <w:spacing w:after="120"/>
      </w:pPr>
      <w:r>
        <w:rPr>
          <w:rFonts w:ascii="Calibri" w:hAnsi="Calibri"/>
          <w:b w:val="0"/>
          <w:i w:val="0"/>
          <w:sz w:val="22"/>
        </w:rPr>
        <w:t>| TP53/CDKN1A cell cycle arrest | Protective (transitional) | 15/15 |</w:t>
      </w:r>
    </w:p>
    <w:p>
      <w:pPr>
        <w:spacing w:after="120"/>
      </w:pPr>
      <w:r>
        <w:rPr>
          <w:rFonts w:ascii="Calibri" w:hAnsi="Calibri"/>
          <w:b w:val="0"/>
          <w:i w:val="0"/>
          <w:sz w:val="22"/>
        </w:rPr>
        <w:t>| BAX/CASP3 apoptosis | Adverse/Damage | 15/15 |</w:t>
      </w:r>
    </w:p>
    <w:p>
      <w:pPr>
        <w:spacing w:after="120"/>
      </w:pPr>
      <w:r>
        <w:rPr>
          <w:rFonts w:ascii="Calibri" w:hAnsi="Calibri"/>
          <w:b w:val="0"/>
          <w:i w:val="0"/>
          <w:sz w:val="22"/>
        </w:rPr>
        <w:t>| IL6/TNF/IL1B inflammation | Adverse (at high doses) | 15/15 |</w:t>
      </w:r>
    </w:p>
    <w:p>
      <w:pPr>
        <w:spacing w:after="120"/>
      </w:pPr>
      <w:r>
        <w:rPr>
          <w:rFonts w:ascii="Calibri" w:hAnsi="Calibri"/>
          <w:b w:val="0"/>
          <w:i w:val="0"/>
          <w:sz w:val="22"/>
        </w:rPr>
        <w:t>| TGFB1 fibrosis | Adverse | 13/15 |</w:t>
      </w:r>
    </w:p>
    <w:p>
      <w:pPr>
        <w:spacing w:after="120"/>
      </w:pPr>
      <w:r>
        <w:rPr>
          <w:rFonts w:ascii="Calibri" w:hAnsi="Calibri"/>
          <w:b/>
          <w:sz w:val="22"/>
        </w:rPr>
        <w:t xml:space="preserve">Transition point consensus: </w:t>
      </w:r>
      <w:r>
        <w:rPr>
          <w:rFonts w:ascii="Calibri" w:hAnsi="Calibri"/>
          <w:sz w:val="22"/>
        </w:rPr>
        <w:t>All 15 narratives place the adaptive-to-adverse transition at approximately the **moderate dose level**. However, the precision of this estimate varies dramatically:</w:t>
      </w:r>
    </w:p>
    <w:p>
      <w:pPr>
        <w:pStyle w:val="ListBullet"/>
        <w:spacing w:after="40"/>
      </w:pPr>
      <w:r>
        <w:rPr>
          <w:rFonts w:ascii="Calibri" w:hAnsi="Calibri"/>
          <w:sz w:val="22"/>
        </w:rPr>
        <w:t>**Claude-haiku/sonnet/opus** models specify BMD ranges: "BMD 2.5–5.5" (claude-sonnet Run 3), "BMD 4.0–6.0" (claude-haiku Run 2), "BMD 2.5–4.0" (claude-haiku Run 3).</w:t>
      </w:r>
    </w:p>
    <w:p>
      <w:pPr>
        <w:pStyle w:val="ListBullet"/>
        <w:spacing w:after="40"/>
      </w:pPr>
      <w:r>
        <w:rPr>
          <w:rFonts w:ascii="Calibri" w:hAnsi="Calibri"/>
          <w:sz w:val="22"/>
        </w:rPr>
        <w:t>**Qwen2.5** models state "moderate dose" without BMD specification. Qwen2.5 Run 1: "The transition from adaptive/protective responses to adverse outcomes likely occurs at the moderate dose level."</w:t>
      </w:r>
    </w:p>
    <w:p>
      <w:pPr>
        <w:pStyle w:val="ListBullet"/>
        <w:spacing w:after="40"/>
      </w:pPr>
      <w:r>
        <w:rPr>
          <w:rFonts w:ascii="Calibri" w:hAnsi="Calibri"/>
          <w:sz w:val="22"/>
        </w:rPr>
        <w:t>**Gemma2** models similarly state "moderate dose." Gemma2 Run 2: "The transition from adaptive to adverse likely occurs at the moderate dose level."</w:t>
      </w:r>
    </w:p>
    <w:p>
      <w:pPr>
        <w:pStyle w:val="Heading3"/>
      </w:pPr>
      <w:r>
        <w:t>Divergence</w:t>
      </w:r>
    </w:p>
    <w:p>
      <w:pPr>
        <w:spacing w:after="120"/>
      </w:pPr>
      <w:r>
        <w:rPr>
          <w:rFonts w:ascii="Calibri" w:hAnsi="Calibri"/>
          <w:b/>
          <w:i w:val="0"/>
          <w:sz w:val="22"/>
        </w:rPr>
        <w:t>Classification of inflammation:</w:t>
      </w:r>
    </w:p>
    <w:p>
      <w:pPr>
        <w:pStyle w:val="ListBullet"/>
        <w:spacing w:after="40"/>
      </w:pPr>
      <w:r>
        <w:rPr>
          <w:rFonts w:ascii="Calibri" w:hAnsi="Calibri"/>
          <w:sz w:val="22"/>
        </w:rPr>
        <w:t>**Qwen2.5 Run 2** classifies low-level inflammation as protective: "Low-level inflammation is observed with increased expression of IL6 and TNF. However, this is likely a protective response rather than an adverse effect."</w:t>
      </w:r>
    </w:p>
    <w:p>
      <w:pPr>
        <w:pStyle w:val="ListBullet"/>
        <w:spacing w:after="40"/>
      </w:pPr>
      <w:r>
        <w:rPr>
          <w:rFonts w:ascii="Calibri" w:hAnsi="Calibri"/>
          <w:sz w:val="22"/>
        </w:rPr>
        <w:t>**Claude-haiku Run 2** provides a more nuanced view: "inflammation is necessary for clearing damaged cells and pathogens, but excessive inflammation contributes to tissue damage."</w:t>
      </w:r>
    </w:p>
    <w:p>
      <w:pPr>
        <w:pStyle w:val="ListBullet"/>
        <w:spacing w:after="40"/>
      </w:pPr>
      <w:r>
        <w:rPr>
          <w:rFonts w:ascii="Calibri" w:hAnsi="Calibri"/>
          <w:sz w:val="22"/>
        </w:rPr>
        <w:t>**Gemma2 Run 3** treats inflammation as uniformly adverse once it appears: "pro-inflammatory cytokines start to significantly outweigh the antioxidant response."</w:t>
      </w:r>
    </w:p>
    <w:p>
      <w:pPr>
        <w:spacing w:after="120"/>
      </w:pPr>
      <w:r>
        <w:rPr>
          <w:rFonts w:ascii="Calibri" w:hAnsi="Calibri"/>
          <w:b/>
          <w:i w:val="0"/>
          <w:sz w:val="22"/>
        </w:rPr>
        <w:t>Classification of autophagy:</w:t>
      </w:r>
    </w:p>
    <w:p>
      <w:pPr>
        <w:pStyle w:val="ListBullet"/>
        <w:spacing w:after="40"/>
      </w:pPr>
      <w:r>
        <w:rPr>
          <w:rFonts w:ascii="Calibri" w:hAnsi="Calibri"/>
          <w:sz w:val="22"/>
        </w:rPr>
        <w:t>**Claude-opus** Runs 1–3 explicitly classify autophagy (SQSTM1/p62, mitophagy) as an intermediate adaptive response: "cells are attempting to clear damaged organelles and protein aggregates" (Run 1).</w:t>
      </w:r>
    </w:p>
    <w:p>
      <w:pPr>
        <w:pStyle w:val="ListBullet"/>
        <w:spacing w:after="40"/>
      </w:pPr>
      <w:r>
        <w:rPr>
          <w:rFonts w:ascii="Calibri" w:hAnsi="Calibri"/>
          <w:sz w:val="22"/>
        </w:rPr>
        <w:t>**Claude-sonnet Run 3** similarly identifies autophagy as a "secondary protective mechanism."</w:t>
      </w:r>
    </w:p>
    <w:p>
      <w:pPr>
        <w:pStyle w:val="ListBullet"/>
        <w:spacing w:after="40"/>
      </w:pPr>
      <w:r>
        <w:rPr>
          <w:rFonts w:ascii="Calibri" w:hAnsi="Calibri"/>
          <w:sz w:val="22"/>
        </w:rPr>
        <w:t>**Qwen2.5** and **gemma2** models do not discuss autophagy as a distinct protective mechanism.</w:t>
      </w:r>
    </w:p>
    <w:p>
      <w:pPr>
        <w:spacing w:after="120"/>
      </w:pPr>
      <w:r>
        <w:rPr>
          <w:rFonts w:ascii="Calibri" w:hAnsi="Calibri"/>
          <w:b/>
          <w:i w:val="0"/>
          <w:sz w:val="22"/>
        </w:rPr>
        <w:t>Classification of SIRT1:</w:t>
      </w:r>
    </w:p>
    <w:p>
      <w:pPr>
        <w:pStyle w:val="ListBullet"/>
        <w:spacing w:after="40"/>
      </w:pPr>
      <w:r>
        <w:rPr>
          <w:rFonts w:ascii="Calibri" w:hAnsi="Calibri"/>
          <w:sz w:val="22"/>
        </w:rPr>
        <w:t>**Claude-haiku Run 1** classifies SIRT1 as part of the adaptive response: "SIRT1 activation suggests metabolic reprogramming to support energy-intensive detoxification processes."</w:t>
      </w:r>
    </w:p>
    <w:p>
      <w:pPr>
        <w:pStyle w:val="ListBullet"/>
        <w:spacing w:after="40"/>
      </w:pPr>
      <w:r>
        <w:rPr>
          <w:rFonts w:ascii="Calibri" w:hAnsi="Calibri"/>
          <w:sz w:val="22"/>
        </w:rPr>
        <w:t>**Claude-haiku Run 3** provides more detail: "SIRT1 acts as a metabolic sensor, regulating both histone deacetylation and protein deacetylation in response to cellular stress."</w:t>
      </w:r>
    </w:p>
    <w:p>
      <w:pPr>
        <w:pStyle w:val="ListBullet"/>
        <w:spacing w:after="40"/>
      </w:pPr>
      <w:r>
        <w:rPr>
          <w:rFonts w:ascii="Calibri" w:hAnsi="Calibri"/>
          <w:sz w:val="22"/>
        </w:rPr>
        <w:t>**Qwen2.5 Run 3** mentions SIRT1 as part of UPR/DNA repair, which is mechanistically imprecise.</w:t>
      </w:r>
    </w:p>
    <w:p>
      <w:pPr>
        <w:spacing w:after="120"/>
      </w:pPr>
      <w:r>
        <w:rPr>
          <w:rFonts w:ascii="Calibri" w:hAnsi="Calibri"/>
          <w:b/>
          <w:i w:val="0"/>
          <w:sz w:val="22"/>
        </w:rPr>
        <w:t>Transition sharpness:</w:t>
      </w:r>
    </w:p>
    <w:p>
      <w:pPr>
        <w:pStyle w:val="ListBullet"/>
        <w:spacing w:after="40"/>
      </w:pPr>
      <w:r>
        <w:rPr>
          <w:rFonts w:ascii="Calibri" w:hAnsi="Calibri"/>
          <w:sz w:val="22"/>
        </w:rPr>
        <w:t>**Claude-sonnet Run 3** describes the transition as a gradual process spanning multiple BMD ranges (Phases 2–4), with no single "tipping point."</w:t>
      </w:r>
    </w:p>
    <w:p>
      <w:pPr>
        <w:pStyle w:val="ListBullet"/>
        <w:spacing w:after="40"/>
      </w:pPr>
      <w:r>
        <w:rPr>
          <w:rFonts w:ascii="Calibri" w:hAnsi="Calibri"/>
          <w:sz w:val="22"/>
        </w:rPr>
        <w:t>**Qwen2.5 Run 1** implies a sharper transition: "the moderate dose level where DNA repair mechanisms become overwhelmed."</w:t>
      </w:r>
    </w:p>
    <w:p>
      <w:pPr>
        <w:pStyle w:val="Heading3"/>
      </w:pPr>
      <w:r>
        <w:t>Concordance Rating: **Strong agreement** on the general adaptive-to-adverse framework; **Moderate divergence** on the precise transition point and classification of intermediate responses (inflammation, autophagy).</w:t>
      </w:r>
    </w:p>
    <w:p>
      <w:pPr>
        <w:spacing w:after="120"/>
      </w:pPr>
      <w:r>
        <w:rPr>
          <w:rFonts w:ascii="Calibri" w:hAnsi="Calibri"/>
          <w:b w:val="0"/>
          <w:i w:val="0"/>
          <w:sz w:val="22"/>
        </w:rPr>
        <w:t>---</w:t>
      </w:r>
    </w:p>
    <w:p>
      <w:pPr>
        <w:pStyle w:val="Heading2"/>
      </w:pPr>
      <w:r>
        <w:t>5. Literature Support — Concordance</w:t>
      </w:r>
    </w:p>
    <w:p>
      <w:pPr>
        <w:pStyle w:val="Heading3"/>
      </w:pPr>
      <w:r>
        <w:t>Agreement</w:t>
      </w:r>
    </w:p>
    <w:p>
      <w:pPr>
        <w:spacing w:after="120"/>
      </w:pPr>
      <w:r>
        <w:rPr>
          <w:rFonts w:ascii="Calibri" w:hAnsi="Calibri"/>
          <w:b/>
          <w:i w:val="0"/>
          <w:sz w:val="22"/>
        </w:rPr>
        <w:t>Consistently cited papers/findings across models:</w:t>
      </w:r>
    </w:p>
    <w:p>
      <w:pPr>
        <w:spacing w:after="120"/>
      </w:pPr>
      <w:r>
        <w:rPr>
          <w:rFonts w:ascii="Calibri" w:hAnsi="Calibri"/>
          <w:b w:val="0"/>
          <w:i w:val="0"/>
          <w:sz w:val="22"/>
        </w:rPr>
        <w:t>| Paper/Finding | Models Citing | Runs Citing |</w:t>
      </w:r>
    </w:p>
    <w:p>
      <w:pPr>
        <w:spacing w:after="120"/>
      </w:pPr>
      <w:r>
        <w:rPr>
          <w:rFonts w:ascii="Calibri" w:hAnsi="Calibri"/>
          <w:b w:val="0"/>
          <w:i w:val="0"/>
          <w:sz w:val="22"/>
        </w:rPr>
        <w:t>|--------------|--------------|-------------|</w:t>
      </w:r>
    </w:p>
    <w:p>
      <w:pPr>
        <w:spacing w:after="120"/>
      </w:pPr>
      <w:r>
        <w:rPr>
          <w:rFonts w:ascii="Calibri" w:hAnsi="Calibri"/>
          <w:b w:val="0"/>
          <w:i w:val="0"/>
          <w:sz w:val="22"/>
        </w:rPr>
        <w:t>| Hesperetin/PI3K-AKT-Nrf2-ARE pathway (2021, 331 citations) | All 5 models | 12/15 runs |</w:t>
      </w:r>
    </w:p>
    <w:p>
      <w:pPr>
        <w:spacing w:after="120"/>
      </w:pPr>
      <w:r>
        <w:rPr>
          <w:rFonts w:ascii="Calibri" w:hAnsi="Calibri"/>
          <w:b w:val="0"/>
          <w:i w:val="0"/>
          <w:sz w:val="22"/>
        </w:rPr>
        <w:t>| BCL2 selective inhibitor venetoclax/apoptosis (2016, 276 citations) | 4/5 models | 8/15 runs |</w:t>
      </w:r>
    </w:p>
    <w:p>
      <w:pPr>
        <w:spacing w:after="120"/>
      </w:pPr>
      <w:r>
        <w:rPr>
          <w:rFonts w:ascii="Calibri" w:hAnsi="Calibri"/>
          <w:b w:val="0"/>
          <w:i w:val="0"/>
          <w:sz w:val="22"/>
        </w:rPr>
        <w:t>| Heavy metals: toxicity and human health effects (2024) | 3/5 models | 7/15 runs |</w:t>
      </w:r>
    </w:p>
    <w:p>
      <w:pPr>
        <w:spacing w:after="120"/>
      </w:pPr>
      <w:r>
        <w:rPr>
          <w:rFonts w:ascii="Calibri" w:hAnsi="Calibri"/>
          <w:b w:val="0"/>
          <w:i w:val="0"/>
          <w:sz w:val="22"/>
        </w:rPr>
        <w:t>| p53 attenuation of hepatotoxicity (2018) | 3/5 models | 5/15 runs |</w:t>
      </w:r>
    </w:p>
    <w:p>
      <w:pPr>
        <w:spacing w:after="120"/>
      </w:pPr>
      <w:r>
        <w:rPr>
          <w:rFonts w:ascii="Calibri" w:hAnsi="Calibri"/>
          <w:b w:val="0"/>
          <w:i w:val="0"/>
          <w:sz w:val="22"/>
        </w:rPr>
        <w:t>| Quantitative Transcriptional Biomarkers of Xenobiotic Receptors (2020) | 3/5 models | 7/15 runs |</w:t>
      </w:r>
    </w:p>
    <w:p>
      <w:pPr>
        <w:spacing w:after="120"/>
      </w:pPr>
      <w:r>
        <w:rPr>
          <w:rFonts w:ascii="Calibri" w:hAnsi="Calibri"/>
          <w:b w:val="0"/>
          <w:i w:val="0"/>
          <w:sz w:val="22"/>
        </w:rPr>
        <w:t>| Doxorubicin-induced hepatotoxicity (2020, 215 citations) | 3/5 models | 6/15 runs |</w:t>
      </w:r>
    </w:p>
    <w:p>
      <w:pPr>
        <w:spacing w:after="120"/>
      </w:pPr>
      <w:r>
        <w:rPr>
          <w:rFonts w:ascii="Calibri" w:hAnsi="Calibri"/>
          <w:b w:val="0"/>
          <w:i w:val="0"/>
          <w:sz w:val="22"/>
        </w:rPr>
        <w:t>| KEAP1-NRF2 protein-protein interaction inhibitors (2022) | 3/5 models | 5/15 runs |</w:t>
      </w:r>
    </w:p>
    <w:p>
      <w:pPr>
        <w:spacing w:after="120"/>
      </w:pPr>
      <w:r>
        <w:rPr>
          <w:rFonts w:ascii="Calibri" w:hAnsi="Calibri"/>
          <w:b w:val="0"/>
          <w:i w:val="0"/>
          <w:sz w:val="22"/>
        </w:rPr>
        <w:t>| Cadmium-induced toxicity in hepatic macrophages (2026) | 3/5 models | 6/15 runs |</w:t>
      </w:r>
    </w:p>
    <w:p>
      <w:pPr>
        <w:spacing w:after="120"/>
      </w:pPr>
      <w:r>
        <w:rPr>
          <w:rFonts w:ascii="Calibri" w:hAnsi="Calibri"/>
          <w:b w:val="0"/>
          <w:i w:val="0"/>
          <w:sz w:val="22"/>
        </w:rPr>
        <w:t>| Selective cytotoxicity of amyloid β through p53 and Bax (2002, 452 citations) | 2/5 models | 4/15 runs |</w:t>
      </w:r>
    </w:p>
    <w:p>
      <w:pPr>
        <w:spacing w:after="120"/>
      </w:pPr>
      <w:r>
        <w:rPr>
          <w:rFonts w:ascii="Calibri" w:hAnsi="Calibri"/>
          <w:b w:val="0"/>
          <w:i w:val="0"/>
          <w:sz w:val="22"/>
        </w:rPr>
        <w:t>| Nucleocytoplasmic Shuttling of SIRT1 (2007, 760 citations) | 2/5 models | 4/15 runs |</w:t>
      </w:r>
    </w:p>
    <w:p>
      <w:pPr>
        <w:spacing w:after="120"/>
      </w:pPr>
      <w:r>
        <w:rPr>
          <w:rFonts w:ascii="Calibri" w:hAnsi="Calibri"/>
          <w:b w:val="0"/>
          <w:i w:val="0"/>
          <w:sz w:val="22"/>
        </w:rPr>
        <w:t>The **Hesperetin/Nrf2 paper** is the most universally cited reference, appearing in narratives from all five model classes. This reflects its direct relevance to the NRF2 pathway, which is the most consistently identified biological response.</w:t>
      </w:r>
    </w:p>
    <w:p>
      <w:pPr>
        <w:pStyle w:val="Heading3"/>
      </w:pPr>
      <w:r>
        <w:t>Divergence</w:t>
      </w:r>
    </w:p>
    <w:p>
      <w:pPr>
        <w:spacing w:after="120"/>
      </w:pPr>
      <w:r>
        <w:rPr>
          <w:rFonts w:ascii="Calibri" w:hAnsi="Calibri"/>
          <w:b/>
          <w:i w:val="0"/>
          <w:sz w:val="22"/>
        </w:rPr>
        <w:t>Literature depth and specificity:</w:t>
      </w:r>
    </w:p>
    <w:p>
      <w:pPr>
        <w:pStyle w:val="ListBullet"/>
        <w:spacing w:after="40"/>
      </w:pPr>
      <w:r>
        <w:rPr>
          <w:rFonts w:ascii="Calibri" w:hAnsi="Calibri"/>
          <w:sz w:val="22"/>
        </w:rPr>
        <w:t>**Claude-haiku** and **claude-opus** models cite the most papers with the greatest specificity, including direct quotes from abstracts and citation counts. Claude-haiku Run 2 quotes: "Intermittent hypoxia exacerbates NAFLD by promoting ferroptosis via IL6-induced MARCH3-mediated GPX4 ubiquitination."</w:t>
      </w:r>
    </w:p>
    <w:p>
      <w:pPr>
        <w:pStyle w:val="ListBullet"/>
        <w:spacing w:after="40"/>
      </w:pPr>
      <w:r>
        <w:rPr>
          <w:rFonts w:ascii="Calibri" w:hAnsi="Calibri"/>
          <w:sz w:val="22"/>
        </w:rPr>
        <w:t>**Claude-sonnet** models provide extensive literature integration with mechanistic context.</w:t>
      </w:r>
    </w:p>
    <w:p>
      <w:pPr>
        <w:pStyle w:val="ListBullet"/>
        <w:spacing w:after="40"/>
      </w:pPr>
      <w:r>
        <w:rPr>
          <w:rFonts w:ascii="Calibri" w:hAnsi="Calibri"/>
          <w:sz w:val="22"/>
        </w:rPr>
        <w:t>**Qwen2.5** models cite 3–5 papers per run with minimal contextual integration.</w:t>
      </w:r>
    </w:p>
    <w:p>
      <w:pPr>
        <w:pStyle w:val="ListBullet"/>
        <w:spacing w:after="40"/>
      </w:pPr>
      <w:r>
        <w:rPr>
          <w:rFonts w:ascii="Calibri" w:hAnsi="Calibri"/>
          <w:sz w:val="22"/>
        </w:rPr>
        <w:t>**Gemma2** models cite 3–4 papers per run, sometimes with incomplete bibliographic information.</w:t>
      </w:r>
    </w:p>
    <w:p>
      <w:pPr>
        <w:spacing w:after="120"/>
      </w:pPr>
      <w:r>
        <w:rPr>
          <w:rFonts w:ascii="Calibri" w:hAnsi="Calibri"/>
          <w:b/>
          <w:i w:val="0"/>
          <w:sz w:val="22"/>
        </w:rPr>
        <w:t>Unique literature contributions:</w:t>
      </w:r>
    </w:p>
    <w:p>
      <w:pPr>
        <w:pStyle w:val="ListBullet"/>
        <w:spacing w:after="40"/>
      </w:pPr>
      <w:r>
        <w:rPr>
          <w:rFonts w:ascii="Calibri" w:hAnsi="Calibri"/>
          <w:sz w:val="22"/>
        </w:rPr>
        <w:t>**Claude-opus Run 1** uniquely cites the oyster peptide/KEAP1-NRF2 intestinal protection paper (2022) to support intestinal toxicity predictions.</w:t>
      </w:r>
    </w:p>
    <w:p>
      <w:pPr>
        <w:pStyle w:val="ListBullet"/>
        <w:spacing w:after="40"/>
      </w:pPr>
      <w:r>
        <w:rPr>
          <w:rFonts w:ascii="Calibri" w:hAnsi="Calibri"/>
          <w:sz w:val="22"/>
        </w:rPr>
        <w:t>**Claude-opus Run 2** uniquely cites the fenofibrate/PPARα organ-specific toxicity paper (2025) for kidney predictions.</w:t>
      </w:r>
    </w:p>
    <w:p>
      <w:pPr>
        <w:pStyle w:val="ListBullet"/>
        <w:spacing w:after="40"/>
      </w:pPr>
      <w:r>
        <w:rPr>
          <w:rFonts w:ascii="Calibri" w:hAnsi="Calibri"/>
          <w:sz w:val="22"/>
        </w:rPr>
        <w:t>**Claude-haiku Run 1** uniquely cites the nanocurcumin/nephrotoxicity paper (2026) with specific mechanistic detail about VEGF and AhR pathway modulation.</w:t>
      </w:r>
    </w:p>
    <w:p>
      <w:pPr>
        <w:pStyle w:val="ListBullet"/>
        <w:spacing w:after="40"/>
      </w:pPr>
      <w:r>
        <w:rPr>
          <w:rFonts w:ascii="Calibri" w:hAnsi="Calibri"/>
          <w:sz w:val="22"/>
        </w:rPr>
        <w:t>**Claude-sonnet Run 1** uniquely references Bechtold et al. (2010) for circadian disruption, though noting it is "not in knowledge base but well-established."</w:t>
      </w:r>
    </w:p>
    <w:p>
      <w:pPr>
        <w:spacing w:after="120"/>
      </w:pPr>
      <w:r>
        <w:rPr>
          <w:rFonts w:ascii="Calibri" w:hAnsi="Calibri"/>
          <w:b/>
          <w:i w:val="0"/>
          <w:sz w:val="22"/>
        </w:rPr>
        <w:t>Contradictory interpretations:</w:t>
      </w:r>
    </w:p>
    <w:p>
      <w:pPr>
        <w:pStyle w:val="ListBullet"/>
        <w:spacing w:after="40"/>
      </w:pPr>
      <w:r>
        <w:rPr>
          <w:rFonts w:ascii="Calibri" w:hAnsi="Calibri"/>
          <w:sz w:val="22"/>
        </w:rPr>
        <w:t>No direct contradictions in literature interpretation were identified. All models use the same papers to support the same conclusions. The primary difference is in depth of engagement rather than conflicting interpretations.</w:t>
      </w:r>
    </w:p>
    <w:p>
      <w:pPr>
        <w:pStyle w:val="Heading3"/>
      </w:pPr>
      <w:r>
        <w:t>Concordance Rating: **Strong agreement** on core literature support; **Moderate divergence** in breadth and depth of citation, with claude models providing substantially richer literature integration.</w:t>
      </w:r>
    </w:p>
    <w:p>
      <w:pPr>
        <w:spacing w:after="120"/>
      </w:pPr>
      <w:r>
        <w:rPr>
          <w:rFonts w:ascii="Calibri" w:hAnsi="Calibri"/>
          <w:b w:val="0"/>
          <w:i w:val="0"/>
          <w:sz w:val="22"/>
        </w:rPr>
        <w:t>---</w:t>
      </w:r>
    </w:p>
    <w:p>
      <w:pPr>
        <w:pStyle w:val="Heading2"/>
      </w:pPr>
      <w:r>
        <w:t>6. Confidence Assessment — Concordance</w:t>
      </w:r>
    </w:p>
    <w:p>
      <w:pPr>
        <w:pStyle w:val="Heading3"/>
      </w:pPr>
      <w:r>
        <w:t>Agreement</w:t>
      </w:r>
    </w:p>
    <w:p>
      <w:pPr>
        <w:spacing w:after="120"/>
      </w:pPr>
      <w:r>
        <w:rPr>
          <w:rFonts w:ascii="Calibri" w:hAnsi="Calibri"/>
          <w:b/>
          <w:i w:val="0"/>
          <w:sz w:val="22"/>
        </w:rPr>
        <w:t>All models agree on the following confidence hierarchy:</w:t>
      </w:r>
    </w:p>
    <w:p>
      <w:pPr>
        <w:spacing w:after="120"/>
      </w:pPr>
      <w:r>
        <w:rPr>
          <w:rFonts w:ascii="Calibri" w:hAnsi="Calibri"/>
          <w:b w:val="0"/>
          <w:i w:val="0"/>
          <w:sz w:val="22"/>
        </w:rPr>
        <w:t>| Finding | Confidence Level | Agreement |</w:t>
      </w:r>
    </w:p>
    <w:p>
      <w:pPr>
        <w:spacing w:after="120"/>
      </w:pPr>
      <w:r>
        <w:rPr>
          <w:rFonts w:ascii="Calibri" w:hAnsi="Calibri"/>
          <w:b w:val="0"/>
          <w:i w:val="0"/>
          <w:sz w:val="22"/>
        </w:rPr>
        <w:t>|---------|-----------------|-----------|</w:t>
      </w:r>
    </w:p>
    <w:p>
      <w:pPr>
        <w:spacing w:after="120"/>
      </w:pPr>
      <w:r>
        <w:rPr>
          <w:rFonts w:ascii="Calibri" w:hAnsi="Calibri"/>
          <w:b w:val="0"/>
          <w:i w:val="0"/>
          <w:sz w:val="22"/>
        </w:rPr>
        <w:t>| NRF2 pathway activation as protective | High | 15/15 |</w:t>
      </w:r>
    </w:p>
    <w:p>
      <w:pPr>
        <w:spacing w:after="120"/>
      </w:pPr>
      <w:r>
        <w:rPr>
          <w:rFonts w:ascii="Calibri" w:hAnsi="Calibri"/>
          <w:b w:val="0"/>
          <w:i w:val="0"/>
          <w:sz w:val="22"/>
        </w:rPr>
        <w:t>| TP53-mediated DNA damage response | High | 15/15 |</w:t>
      </w:r>
    </w:p>
    <w:p>
      <w:pPr>
        <w:spacing w:after="120"/>
      </w:pPr>
      <w:r>
        <w:rPr>
          <w:rFonts w:ascii="Calibri" w:hAnsi="Calibri"/>
          <w:b w:val="0"/>
          <w:i w:val="0"/>
          <w:sz w:val="22"/>
        </w:rPr>
        <w:t>| BAX/CASP3 apoptosis at high doses | High | 15/15 |</w:t>
      </w:r>
    </w:p>
    <w:p>
      <w:pPr>
        <w:spacing w:after="120"/>
      </w:pPr>
      <w:r>
        <w:rPr>
          <w:rFonts w:ascii="Calibri" w:hAnsi="Calibri"/>
          <w:b w:val="0"/>
          <w:i w:val="0"/>
          <w:sz w:val="22"/>
        </w:rPr>
        <w:t>| Liver as primary target organ | High | 15/15 |</w:t>
      </w:r>
    </w:p>
    <w:p>
      <w:pPr>
        <w:spacing w:after="120"/>
      </w:pPr>
      <w:r>
        <w:rPr>
          <w:rFonts w:ascii="Calibri" w:hAnsi="Calibri"/>
          <w:b w:val="0"/>
          <w:i w:val="0"/>
          <w:sz w:val="22"/>
        </w:rPr>
        <w:t>| Kidney as secondary target organ | High | 15/15 |</w:t>
      </w:r>
    </w:p>
    <w:p>
      <w:pPr>
        <w:spacing w:after="120"/>
      </w:pPr>
      <w:r>
        <w:rPr>
          <w:rFonts w:ascii="Calibri" w:hAnsi="Calibri"/>
          <w:b w:val="0"/>
          <w:i w:val="0"/>
          <w:sz w:val="22"/>
        </w:rPr>
        <w:t>| Precise adaptive-to-adverse transition dose | Low-Moderate | 15/15 |</w:t>
      </w:r>
    </w:p>
    <w:p>
      <w:pPr>
        <w:spacing w:after="120"/>
      </w:pPr>
      <w:r>
        <w:rPr>
          <w:rFonts w:ascii="Calibri" w:hAnsi="Calibri"/>
          <w:b w:val="0"/>
          <w:i w:val="0"/>
          <w:sz w:val="22"/>
        </w:rPr>
        <w:t>| Organ-specific predictions beyond liver/kidney | Moderate | 12/15 |</w:t>
      </w:r>
    </w:p>
    <w:p>
      <w:pPr>
        <w:pStyle w:val="Heading3"/>
      </w:pPr>
      <w:r>
        <w:t>Divergence</w:t>
      </w:r>
    </w:p>
    <w:p>
      <w:pPr>
        <w:spacing w:after="120"/>
      </w:pPr>
      <w:r>
        <w:rPr>
          <w:rFonts w:ascii="Calibri" w:hAnsi="Calibri"/>
          <w:b/>
          <w:i w:val="0"/>
          <w:sz w:val="22"/>
        </w:rPr>
        <w:t>Inflammation confidence:</w:t>
      </w:r>
    </w:p>
    <w:p>
      <w:pPr>
        <w:pStyle w:val="ListBullet"/>
        <w:spacing w:after="40"/>
      </w:pPr>
      <w:r>
        <w:rPr>
          <w:rFonts w:ascii="Calibri" w:hAnsi="Calibri"/>
          <w:sz w:val="22"/>
        </w:rPr>
        <w:t>**Qwen2.5 Run 1** rates NF-κB inflammation as "Moderate Confidence: Supported by cadmium-induced toxicity studies but less detailed at specific dose levels."</w:t>
      </w:r>
    </w:p>
    <w:p>
      <w:pPr>
        <w:pStyle w:val="ListBullet"/>
        <w:spacing w:after="40"/>
      </w:pPr>
      <w:r>
        <w:rPr>
          <w:rFonts w:ascii="Calibri" w:hAnsi="Calibri"/>
          <w:sz w:val="22"/>
        </w:rPr>
        <w:t>**Claude-haiku** models rate inflammatory pathway activation as high confidence based on extensive pathway enrichment data.</w:t>
      </w:r>
    </w:p>
    <w:p>
      <w:pPr>
        <w:pStyle w:val="ListBullet"/>
        <w:spacing w:after="40"/>
      </w:pPr>
      <w:r>
        <w:rPr>
          <w:rFonts w:ascii="Calibri" w:hAnsi="Calibri"/>
          <w:sz w:val="22"/>
        </w:rPr>
        <w:t>**Gemma2 Run 2** rates inflammation as "Limited Evidence: The precise dose at which the shift from adaptive to adverse occurs needs more experimental data."</w:t>
      </w:r>
    </w:p>
    <w:p>
      <w:pPr>
        <w:spacing w:after="120"/>
      </w:pPr>
      <w:r>
        <w:rPr>
          <w:rFonts w:ascii="Calibri" w:hAnsi="Calibri"/>
          <w:b/>
          <w:i w:val="0"/>
          <w:sz w:val="22"/>
        </w:rPr>
        <w:t>Brain/CNS predictions:</w:t>
      </w:r>
    </w:p>
    <w:p>
      <w:pPr>
        <w:pStyle w:val="ListBullet"/>
        <w:spacing w:after="40"/>
      </w:pPr>
      <w:r>
        <w:rPr>
          <w:rFonts w:ascii="Calibri" w:hAnsi="Calibri"/>
          <w:sz w:val="22"/>
        </w:rPr>
        <w:t>**Claude-opus** models rate brain/CNS as "High Confidence" based on detailed sub-regional enrichment analysis.</w:t>
      </w:r>
    </w:p>
    <w:p>
      <w:pPr>
        <w:pStyle w:val="ListBullet"/>
        <w:spacing w:after="40"/>
      </w:pPr>
      <w:r>
        <w:rPr>
          <w:rFonts w:ascii="Calibri" w:hAnsi="Calibri"/>
          <w:sz w:val="22"/>
        </w:rPr>
        <w:t>**Gemma2 Run 2** rates brain as "Moderate Confidence: Predicting specific organ damage requires more detailed analysis."</w:t>
      </w:r>
    </w:p>
    <w:p>
      <w:pPr>
        <w:pStyle w:val="ListBullet"/>
        <w:spacing w:after="40"/>
      </w:pPr>
      <w:r>
        <w:rPr>
          <w:rFonts w:ascii="Calibri" w:hAnsi="Calibri"/>
          <w:sz w:val="22"/>
        </w:rPr>
        <w:t>**Qwen2.5 Run 3** identifies brain but provides no explicit confidence rating.</w:t>
      </w:r>
    </w:p>
    <w:p>
      <w:pPr>
        <w:spacing w:after="120"/>
      </w:pPr>
      <w:r>
        <w:rPr>
          <w:rFonts w:ascii="Calibri" w:hAnsi="Calibri"/>
          <w:b/>
          <w:i w:val="0"/>
          <w:sz w:val="22"/>
        </w:rPr>
        <w:t>Novel findings confidence:</w:t>
      </w:r>
    </w:p>
    <w:p>
      <w:pPr>
        <w:pStyle w:val="ListBullet"/>
        <w:spacing w:after="40"/>
      </w:pPr>
      <w:r>
        <w:rPr>
          <w:rFonts w:ascii="Calibri" w:hAnsi="Calibri"/>
          <w:sz w:val="22"/>
        </w:rPr>
        <w:t>**Qwen2.5 Run 2** identifies the NRF2-to-apoptosis transition as "a novel observation not fully covered in existing literature."</w:t>
      </w:r>
    </w:p>
    <w:p>
      <w:pPr>
        <w:pStyle w:val="ListBullet"/>
        <w:spacing w:after="40"/>
      </w:pPr>
      <w:r>
        <w:rPr>
          <w:rFonts w:ascii="Calibri" w:hAnsi="Calibri"/>
          <w:sz w:val="22"/>
        </w:rPr>
        <w:t>**Claude-sonnet Run 1** identifies circadian disruption as a potentially novel finding requiring further investigation.</w:t>
      </w:r>
    </w:p>
    <w:p>
      <w:pPr>
        <w:pStyle w:val="ListBullet"/>
        <w:spacing w:after="40"/>
      </w:pPr>
      <w:r>
        <w:rPr>
          <w:rFonts w:ascii="Calibri" w:hAnsi="Calibri"/>
          <w:sz w:val="22"/>
        </w:rPr>
        <w:t>**Claude-opus Run 1** identifies the SQSTM1/p62-KEAP1-NRF2 feedback loop as a mechanistically important but less well-characterized finding.</w:t>
      </w:r>
    </w:p>
    <w:p>
      <w:pPr>
        <w:spacing w:after="120"/>
      </w:pPr>
      <w:r>
        <w:rPr>
          <w:rFonts w:ascii="Calibri" w:hAnsi="Calibri"/>
          <w:b/>
          <w:i w:val="0"/>
          <w:sz w:val="22"/>
        </w:rPr>
        <w:t>Self-awareness of limitations:</w:t>
      </w:r>
    </w:p>
    <w:p>
      <w:pPr>
        <w:pStyle w:val="ListBullet"/>
        <w:spacing w:after="40"/>
      </w:pPr>
      <w:r>
        <w:rPr>
          <w:rFonts w:ascii="Calibri" w:hAnsi="Calibri"/>
          <w:sz w:val="22"/>
        </w:rPr>
        <w:t>**Gemma2** models consistently include disclaimers: "This is a theoretical exercise" (Run 2), "specific conclusions depend on the actual gene expression values" (Run 3).</w:t>
      </w:r>
    </w:p>
    <w:p>
      <w:pPr>
        <w:pStyle w:val="ListBullet"/>
        <w:spacing w:after="40"/>
      </w:pPr>
      <w:r>
        <w:rPr>
          <w:rFonts w:ascii="Calibri" w:hAnsi="Calibri"/>
          <w:sz w:val="22"/>
        </w:rPr>
        <w:t>**Claude** models acknowledge limitations more specifically: "The precise dose at which the shift from adaptive to adverse occurs needs more experimental data" (claude-sonnet Run 2, paraphrased).</w:t>
      </w:r>
    </w:p>
    <w:p>
      <w:pPr>
        <w:pStyle w:val="ListBullet"/>
        <w:spacing w:after="40"/>
      </w:pPr>
      <w:r>
        <w:rPr>
          <w:rFonts w:ascii="Calibri" w:hAnsi="Calibri"/>
          <w:sz w:val="22"/>
        </w:rPr>
        <w:t>**Qwen2.5** models provide the least explicit uncertainty quantification.</w:t>
      </w:r>
    </w:p>
    <w:p>
      <w:pPr>
        <w:pStyle w:val="Heading3"/>
      </w:pPr>
      <w:r>
        <w:t>Concordance Rating: **Strong agreement** on high-confidence findings (NRF2, TP53, liver/kidney); **Moderate divergence** on confidence levels for secondary findings (inflammation timing, brain involvement, novel observations).</w:t>
      </w:r>
    </w:p>
    <w:p>
      <w:pPr>
        <w:spacing w:after="120"/>
      </w:pPr>
      <w:r>
        <w:rPr>
          <w:rFonts w:ascii="Calibri" w:hAnsi="Calibri"/>
          <w:b w:val="0"/>
          <w:i w:val="0"/>
          <w:sz w:val="22"/>
        </w:rPr>
        <w:t>---</w:t>
      </w:r>
    </w:p>
    <w:p>
      <w:pPr>
        <w:pStyle w:val="Heading2"/>
      </w:pPr>
      <w:r>
        <w:t>High-Confidence Findings</w:t>
      </w:r>
    </w:p>
    <w:p>
      <w:pPr>
        <w:spacing w:after="120"/>
      </w:pPr>
      <w:r>
        <w:rPr>
          <w:rFonts w:ascii="Calibri" w:hAnsi="Calibri"/>
          <w:b/>
          <w:i w:val="0"/>
          <w:sz w:val="22"/>
        </w:rPr>
        <w:t>The following claims are supported by ≥4 of 5 models (≥12 of 15 runs):</w:t>
      </w:r>
    </w:p>
    <w:p>
      <w:pPr>
        <w:spacing w:after="120"/>
      </w:pPr>
      <w:r>
        <w:rPr>
          <w:rFonts w:ascii="Calibri" w:hAnsi="Calibri"/>
          <w:b w:val="0"/>
          <w:i w:val="0"/>
          <w:sz w:val="22"/>
        </w:rPr>
        <w:t>1. **The molecular initiating event involves xenobiotic sensing through AHR activation and/or generation of oxidative stress, triggering the KEAP1-NFE2L2 antioxidant defense pathway.** (15/15 runs)</w:t>
      </w:r>
    </w:p>
    <w:p>
      <w:pPr>
        <w:spacing w:after="120"/>
      </w:pPr>
      <w:r>
        <w:rPr>
          <w:rFonts w:ascii="Calibri" w:hAnsi="Calibri"/>
          <w:b w:val="0"/>
          <w:i w:val="0"/>
          <w:sz w:val="22"/>
        </w:rPr>
        <w:t>2. **The dose-response follows a stereotyped progression: xenobiotic sensing → antioxidant defense → DNA damage/cell cycle arrest → inflammation → apoptosis → tissue remodeling.** (15/15 runs)</w:t>
      </w:r>
    </w:p>
    <w:p>
      <w:pPr>
        <w:spacing w:after="120"/>
      </w:pPr>
      <w:r>
        <w:rPr>
          <w:rFonts w:ascii="Calibri" w:hAnsi="Calibri"/>
          <w:b w:val="0"/>
          <w:i w:val="0"/>
          <w:sz w:val="22"/>
        </w:rPr>
        <w:t>3. **NRF2-mediated upregulation of NQO1, HMOX1, GCLC, GPX1, SOD1/2, and CAT represents the primary adaptive/protective response at low doses.** (15/15 runs)</w:t>
      </w:r>
    </w:p>
    <w:p>
      <w:pPr>
        <w:spacing w:after="120"/>
      </w:pPr>
      <w:r>
        <w:rPr>
          <w:rFonts w:ascii="Calibri" w:hAnsi="Calibri"/>
          <w:b w:val="0"/>
          <w:i w:val="0"/>
          <w:sz w:val="22"/>
        </w:rPr>
        <w:t>4. **TP53 activation leads to CDKN1A-mediated cell cycle arrest as a transitional protective response, followed by BAX/CASP3-mediated apoptosis when damage exceeds repair capacity.** (15/15 runs)</w:t>
      </w:r>
    </w:p>
    <w:p>
      <w:pPr>
        <w:spacing w:after="120"/>
      </w:pPr>
      <w:r>
        <w:rPr>
          <w:rFonts w:ascii="Calibri" w:hAnsi="Calibri"/>
          <w:b w:val="0"/>
          <w:i w:val="0"/>
          <w:sz w:val="22"/>
        </w:rPr>
        <w:t>5. **NF-κB-driven inflammatory signaling (IL6, IL1B, TNF) represents an adverse response at moderate-to-high doses.** (15/15 runs)</w:t>
      </w:r>
    </w:p>
    <w:p>
      <w:pPr>
        <w:spacing w:after="120"/>
      </w:pPr>
      <w:r>
        <w:rPr>
          <w:rFonts w:ascii="Calibri" w:hAnsi="Calibri"/>
          <w:b w:val="0"/>
          <w:i w:val="0"/>
          <w:sz w:val="22"/>
        </w:rPr>
        <w:t>6. **The liver is the primary target organ**, based on CYP1A1/CYP1B1 metabolism, NRF2 antioxidant defense, and inflammatory/fibrotic signaling. (15/15 runs)</w:t>
      </w:r>
    </w:p>
    <w:p>
      <w:pPr>
        <w:spacing w:after="120"/>
      </w:pPr>
      <w:r>
        <w:rPr>
          <w:rFonts w:ascii="Calibri" w:hAnsi="Calibri"/>
          <w:b w:val="0"/>
          <w:i w:val="0"/>
          <w:sz w:val="22"/>
        </w:rPr>
        <w:t>7. **The kidney is the secondary target organ**, based on HMOX1 enrichment in renal tubular epithelium, VEGFA signaling, and oxidative stress markers. (15/15 runs)</w:t>
      </w:r>
    </w:p>
    <w:p>
      <w:pPr>
        <w:spacing w:after="120"/>
      </w:pPr>
      <w:r>
        <w:rPr>
          <w:rFonts w:ascii="Calibri" w:hAnsi="Calibri"/>
          <w:b w:val="0"/>
          <w:i w:val="0"/>
          <w:sz w:val="22"/>
        </w:rPr>
        <w:t>8. **The adaptive-to-adverse transition occurs at approximately the moderate dose level** (variously specified as BMD 2.5–5.5 by claude models, or "moderate dose" by qwen2.5/gemma2). (15/15 runs)</w:t>
      </w:r>
    </w:p>
    <w:p>
      <w:pPr>
        <w:spacing w:after="120"/>
      </w:pPr>
      <w:r>
        <w:rPr>
          <w:rFonts w:ascii="Calibri" w:hAnsi="Calibri"/>
          <w:b w:val="0"/>
          <w:i w:val="0"/>
          <w:sz w:val="22"/>
        </w:rPr>
        <w:t>9. **TGFB1 upregulation at high doses indicates fibrotic tissue remodeling as a late adverse outcome.** (13/15 runs)</w:t>
      </w:r>
    </w:p>
    <w:p>
      <w:pPr>
        <w:spacing w:after="120"/>
      </w:pPr>
      <w:r>
        <w:rPr>
          <w:rFonts w:ascii="Calibri" w:hAnsi="Calibri"/>
          <w:b w:val="0"/>
          <w:i w:val="0"/>
          <w:sz w:val="22"/>
        </w:rPr>
        <w:t>10. **The heart is a likely target organ**, based on oxidative stress, inflammatory, and apoptotic gene signatures in cardiac tissue. (10/15 runs, 4/5 models)</w:t>
      </w:r>
    </w:p>
    <w:p>
      <w:pPr>
        <w:spacing w:after="120"/>
      </w:pPr>
      <w:r>
        <w:rPr>
          <w:rFonts w:ascii="Calibri" w:hAnsi="Calibri"/>
          <w:b w:val="0"/>
          <w:i w:val="0"/>
          <w:sz w:val="22"/>
        </w:rPr>
        <w:t>---</w:t>
      </w:r>
    </w:p>
    <w:p>
      <w:pPr>
        <w:pStyle w:val="Heading2"/>
      </w:pPr>
      <w:r>
        <w:t>Divergent Findings</w:t>
      </w:r>
    </w:p>
    <w:p>
      <w:pPr>
        <w:pStyle w:val="Heading3"/>
      </w:pPr>
      <w:r>
        <w:t>Divergence 1: Ferroptosis as an Early Pathway Event</w:t>
      </w:r>
    </w:p>
    <w:p>
      <w:pPr>
        <w:pStyle w:val="ListBullet"/>
        <w:spacing w:after="40"/>
      </w:pPr>
      <w:r>
        <w:rPr>
          <w:rFonts w:ascii="Calibri" w:hAnsi="Calibri"/>
          <w:sz w:val="22"/>
        </w:rPr>
        <w:t>**Claude-sonnet** (3/3 runs) and **claude-opus** (3/3 runs) identify ferroptosis pathway activation at BMD 0.6 as a distinct early event, interpreting GPX1/GCLC upregulation as protective against iron-dependent lipid peroxidation.</w:t>
      </w:r>
    </w:p>
    <w:p>
      <w:pPr>
        <w:pStyle w:val="ListBullet"/>
        <w:spacing w:after="40"/>
      </w:pPr>
      <w:r>
        <w:rPr>
          <w:rFonts w:ascii="Calibri" w:hAnsi="Calibri"/>
          <w:sz w:val="22"/>
        </w:rPr>
        <w:t>**Claude-haiku** (3/3 runs) mentions ferroptosis pathway enrichment in the context of BMD data but with less emphasis.</w:t>
      </w:r>
    </w:p>
    <w:p>
      <w:pPr>
        <w:pStyle w:val="ListBullet"/>
        <w:spacing w:after="40"/>
      </w:pPr>
      <w:r>
        <w:rPr>
          <w:rFonts w:ascii="Calibri" w:hAnsi="Calibri"/>
          <w:sz w:val="22"/>
        </w:rPr>
        <w:t>**Qwen2.5** (0/3) and **gemma2** (0/3) do not mention ferroptosis.</w:t>
      </w:r>
    </w:p>
    <w:p>
      <w:pPr>
        <w:pStyle w:val="ListBullet"/>
        <w:spacing w:after="40"/>
      </w:pPr>
      <w:r>
        <w:rPr>
          <w:rFonts w:ascii="Calibri" w:hAnsi="Calibri"/>
          <w:sz w:val="22"/>
        </w:rPr>
        <w:t>**Nature of disagreement**: This likely reflects differential access to or utilization of pathway-level BMD data rather than a substantive biological disagreement. The claude models had access to specific pathway annotations with BMD values; the qwen2.5 and gemma2 models appear to have worked from gene-level data without detailed pathway BMD information.</w:t>
      </w:r>
    </w:p>
    <w:p>
      <w:pPr>
        <w:pStyle w:val="Heading3"/>
      </w:pPr>
      <w:r>
        <w:t>Divergence 2: Circadian Clock Disruption</w:t>
      </w:r>
    </w:p>
    <w:p>
      <w:pPr>
        <w:pStyle w:val="ListBullet"/>
        <w:spacing w:after="40"/>
      </w:pPr>
      <w:r>
        <w:rPr>
          <w:rFonts w:ascii="Calibri" w:hAnsi="Calibri"/>
          <w:sz w:val="22"/>
        </w:rPr>
        <w:t>**All claude models** (9/9 runs) identify circadian clock gene downregulation at BMD 2.0–2.25 as a biologically significant event.</w:t>
      </w:r>
    </w:p>
    <w:p>
      <w:pPr>
        <w:pStyle w:val="ListBullet"/>
        <w:spacing w:after="40"/>
      </w:pPr>
      <w:r>
        <w:rPr>
          <w:rFonts w:ascii="Calibri" w:hAnsi="Calibri"/>
          <w:sz w:val="22"/>
        </w:rPr>
        <w:t>**Qwen2.5** (0/3) and **gemma2** (0/3) do not mention circadian disruption.</w:t>
      </w:r>
    </w:p>
    <w:p>
      <w:pPr>
        <w:pStyle w:val="ListBullet"/>
        <w:spacing w:after="40"/>
      </w:pPr>
      <w:r>
        <w:rPr>
          <w:rFonts w:ascii="Calibri" w:hAnsi="Calibri"/>
          <w:sz w:val="22"/>
        </w:rPr>
        <w:t>**Nature of disagreement**: Same as above—likely reflects differential data access. Claude-haiku Run 1 calls this "a unique finding not typically associated with xenobiotic toxicity," suggesting it may be a genuinely novel observation from the dataset.</w:t>
      </w:r>
    </w:p>
    <w:p>
      <w:pPr>
        <w:pStyle w:val="Heading3"/>
      </w:pPr>
      <w:r>
        <w:t>Divergence 3: Cellular Senescence (SASP)</w:t>
      </w:r>
    </w:p>
    <w:p>
      <w:pPr>
        <w:pStyle w:val="ListBullet"/>
        <w:spacing w:after="40"/>
      </w:pPr>
      <w:r>
        <w:rPr>
          <w:rFonts w:ascii="Calibri" w:hAnsi="Calibri"/>
          <w:sz w:val="22"/>
        </w:rPr>
        <w:t>**All claude models** (9/9 runs) identify SASP as a late-stage event (BMD 8.5–10.25).</w:t>
      </w:r>
    </w:p>
    <w:p>
      <w:pPr>
        <w:pStyle w:val="ListBullet"/>
        <w:spacing w:after="40"/>
      </w:pPr>
      <w:r>
        <w:rPr>
          <w:rFonts w:ascii="Calibri" w:hAnsi="Calibri"/>
          <w:sz w:val="22"/>
        </w:rPr>
        <w:t>**Qwen2.5** (0/3) and **gemma2** (0/3) do not mention SASP or cellular senescence.</w:t>
      </w:r>
    </w:p>
    <w:p>
      <w:pPr>
        <w:pStyle w:val="ListBullet"/>
        <w:spacing w:after="40"/>
      </w:pPr>
      <w:r>
        <w:rPr>
          <w:rFonts w:ascii="Calibri" w:hAnsi="Calibri"/>
          <w:sz w:val="22"/>
        </w:rPr>
        <w:t>**Nature of disagreement**: Again likely reflects data access differences. SASP is a well-established biological concept that would be relevant to the high-dose response.</w:t>
      </w:r>
    </w:p>
    <w:p>
      <w:pPr>
        <w:pStyle w:val="Heading3"/>
      </w:pPr>
      <w:r>
        <w:t>Divergence 4: Brain/CNS as a Target Organ</w:t>
      </w:r>
    </w:p>
    <w:p>
      <w:pPr>
        <w:pStyle w:val="ListBullet"/>
        <w:spacing w:after="40"/>
      </w:pPr>
      <w:r>
        <w:rPr>
          <w:rFonts w:ascii="Calibri" w:hAnsi="Calibri"/>
          <w:sz w:val="22"/>
        </w:rPr>
        <w:t>**Claude-opus** (3/3 runs) identifies brain/CNS with high confidence, providing detailed sub-regional enrichment data (substantia nigra, hippocampal CA1, cingulate cortex).</w:t>
      </w:r>
    </w:p>
    <w:p>
      <w:pPr>
        <w:pStyle w:val="ListBullet"/>
        <w:spacing w:after="40"/>
      </w:pPr>
      <w:r>
        <w:rPr>
          <w:rFonts w:ascii="Calibri" w:hAnsi="Calibri"/>
          <w:sz w:val="22"/>
        </w:rPr>
        <w:t>**Qwen2.5 Run 3** and **gemma2 Run 2** identify brain but with lower confidence.</w:t>
      </w:r>
    </w:p>
    <w:p>
      <w:pPr>
        <w:pStyle w:val="ListBullet"/>
        <w:spacing w:after="40"/>
      </w:pPr>
      <w:r>
        <w:rPr>
          <w:rFonts w:ascii="Calibri" w:hAnsi="Calibri"/>
          <w:sz w:val="22"/>
        </w:rPr>
        <w:t>**Qwen2.5 Runs 1–2**, **gemma2 Runs 1, 3**, and **claude-sonnet** models are less emphatic or do not identify brain.</w:t>
      </w:r>
    </w:p>
    <w:p>
      <w:pPr>
        <w:pStyle w:val="ListBullet"/>
        <w:spacing w:after="40"/>
      </w:pPr>
      <w:r>
        <w:rPr>
          <w:rFonts w:ascii="Calibri" w:hAnsi="Calibri"/>
          <w:sz w:val="22"/>
        </w:rPr>
        <w:t>**Nature of disagreement**: This reflects both data access (organ enrichment scores) and interpretive conservatism. The claude-opus models appear to have the most detailed organ signature data.</w:t>
      </w:r>
    </w:p>
    <w:p>
      <w:pPr>
        <w:pStyle w:val="Heading3"/>
      </w:pPr>
      <w:r>
        <w:t>Divergence 5: Compound Class Identification</w:t>
      </w:r>
    </w:p>
    <w:p>
      <w:pPr>
        <w:pStyle w:val="ListBullet"/>
        <w:spacing w:after="40"/>
      </w:pPr>
      <w:r>
        <w:rPr>
          <w:rFonts w:ascii="Calibri" w:hAnsi="Calibri"/>
          <w:sz w:val="22"/>
        </w:rPr>
        <w:t>**Claude-sonnet** Runs 1–2 attempt to identify the compound class (PAH, halogenated aromatic, or heavy metal).</w:t>
      </w:r>
    </w:p>
    <w:p>
      <w:pPr>
        <w:pStyle w:val="ListBullet"/>
        <w:spacing w:after="40"/>
      </w:pPr>
      <w:r>
        <w:rPr>
          <w:rFonts w:ascii="Calibri" w:hAnsi="Calibri"/>
          <w:sz w:val="22"/>
        </w:rPr>
        <w:t>All other models (13/15 runs) do not attempt compound identification.</w:t>
      </w:r>
    </w:p>
    <w:p>
      <w:pPr>
        <w:pStyle w:val="ListBullet"/>
        <w:spacing w:after="40"/>
      </w:pPr>
      <w:r>
        <w:rPr>
          <w:rFonts w:ascii="Calibri" w:hAnsi="Calibri"/>
          <w:sz w:val="22"/>
        </w:rPr>
        <w:t>**Nature of disagreement**: This is an interpretive choice rather than a data-driven disagreement. Claude-sonnet's inference is reasonable given the AHR activation pattern but remains speculative.</w:t>
      </w:r>
    </w:p>
    <w:p>
      <w:pPr>
        <w:pStyle w:val="Heading3"/>
      </w:pPr>
      <w:r>
        <w:t>Divergence 6: Collagen/COL1A1 in Fibrosis</w:t>
      </w:r>
    </w:p>
    <w:p>
      <w:pPr>
        <w:pStyle w:val="ListBullet"/>
        <w:spacing w:after="40"/>
      </w:pPr>
      <w:r>
        <w:rPr>
          <w:rFonts w:ascii="Calibri" w:hAnsi="Calibri"/>
          <w:sz w:val="22"/>
        </w:rPr>
        <w:t>**Qwen2.5 Run 2** uniquely identifies COL1A1 upregulation as evidence of fibrosis.</w:t>
      </w:r>
    </w:p>
    <w:p>
      <w:pPr>
        <w:pStyle w:val="ListBullet"/>
        <w:spacing w:after="40"/>
      </w:pPr>
      <w:r>
        <w:rPr>
          <w:rFonts w:ascii="Calibri" w:hAnsi="Calibri"/>
          <w:sz w:val="22"/>
        </w:rPr>
        <w:t>No other narrative mentions COL1A1.</w:t>
      </w:r>
    </w:p>
    <w:p>
      <w:pPr>
        <w:pStyle w:val="ListBullet"/>
        <w:spacing w:after="40"/>
      </w:pPr>
      <w:r>
        <w:rPr>
          <w:rFonts w:ascii="Calibri" w:hAnsi="Calibri"/>
          <w:sz w:val="22"/>
        </w:rPr>
        <w:t>**Nature of disagreement**: This may represent a hallucinated gene—COL1A1 is not listed among the 32 responsive genes in the dataset. If so, this is a factual error rather than an interpretive divergence.</w:t>
      </w:r>
    </w:p>
    <w:p>
      <w:pPr>
        <w:spacing w:after="120"/>
      </w:pPr>
      <w:r>
        <w:rPr>
          <w:rFonts w:ascii="Calibri" w:hAnsi="Calibri"/>
          <w:b w:val="0"/>
          <w:i w:val="0"/>
          <w:sz w:val="22"/>
        </w:rPr>
        <w:t>---</w:t>
      </w:r>
    </w:p>
    <w:p>
      <w:pPr>
        <w:pStyle w:val="Heading2"/>
      </w:pPr>
      <w:r>
        <w:t>Model-Specific Observations</w:t>
      </w:r>
    </w:p>
    <w:p>
      <w:pPr>
        <w:pStyle w:val="Heading3"/>
      </w:pPr>
      <w:r>
        <w:t>Qwen2.5 (14b)</w:t>
      </w:r>
    </w:p>
    <w:p>
      <w:pPr>
        <w:pStyle w:val="ListBullet"/>
        <w:spacing w:after="40"/>
      </w:pPr>
      <w:r>
        <w:rPr>
          <w:rFonts w:ascii="Calibri" w:hAnsi="Calibri"/>
          <w:sz w:val="22"/>
        </w:rPr>
        <w:t>**Unique insight**: Run 3 identifies "LKB1 and KEAP1/NRF2 interactions in lung adenocarcinoma" as providing "new insights into metabolic reprogramming." This cross-reference to cancer biology is not made by other models.</w:t>
      </w:r>
    </w:p>
    <w:p>
      <w:pPr>
        <w:pStyle w:val="ListBullet"/>
        <w:spacing w:after="40"/>
      </w:pPr>
      <w:r>
        <w:rPr>
          <w:rFonts w:ascii="Calibri" w:hAnsi="Calibri"/>
          <w:sz w:val="22"/>
        </w:rPr>
        <w:t>**Unique insight**: Run 2 mentions COL1A1 as a fibrosis marker—potentially a hallucination if not in the gene set, but conceptually relevant.</w:t>
      </w:r>
    </w:p>
    <w:p>
      <w:pPr>
        <w:pStyle w:val="ListBullet"/>
        <w:spacing w:after="40"/>
      </w:pPr>
      <w:r>
        <w:rPr>
          <w:rFonts w:ascii="Calibri" w:hAnsi="Calibri"/>
          <w:sz w:val="22"/>
        </w:rPr>
        <w:t>**Limitation**: Least granular dose-response analysis; uses broad "Low/Moderate/High" categories without BMD values. Does not engage with pathway-level BMD data.</w:t>
      </w:r>
    </w:p>
    <w:p>
      <w:pPr>
        <w:pStyle w:val="Heading3"/>
      </w:pPr>
      <w:r>
        <w:t>Gemma2 (9b)</w:t>
      </w:r>
    </w:p>
    <w:p>
      <w:pPr>
        <w:pStyle w:val="ListBullet"/>
        <w:spacing w:after="40"/>
      </w:pPr>
      <w:r>
        <w:rPr>
          <w:rFonts w:ascii="Calibri" w:hAnsi="Calibri"/>
          <w:sz w:val="22"/>
        </w:rPr>
        <w:t>**Unique insight**: Run 1 identifies lung as a potential target with "genes involved in extracellular matrix remodeling" suggesting pulmonary fibrosis. This is a reasonable inference not emphasized by other models.</w:t>
      </w:r>
    </w:p>
    <w:p>
      <w:pPr>
        <w:pStyle w:val="ListBullet"/>
        <w:spacing w:after="40"/>
      </w:pPr>
      <w:r>
        <w:rPr>
          <w:rFonts w:ascii="Calibri" w:hAnsi="Calibri"/>
          <w:sz w:val="22"/>
        </w:rPr>
        <w:t>**Unique insight**: Run 2 provides the most explicit disclaimer about the theoretical nature of the analysis, demonstrating appropriate epistemic humility.</w:t>
      </w:r>
    </w:p>
    <w:p>
      <w:pPr>
        <w:pStyle w:val="ListBullet"/>
        <w:spacing w:after="40"/>
      </w:pPr>
      <w:r>
        <w:rPr>
          <w:rFonts w:ascii="Calibri" w:hAnsi="Calibri"/>
          <w:sz w:val="22"/>
        </w:rPr>
        <w:t>**Limitation**: Least detailed of all models; provides the fewest specific genes, pathways, and literature citations. Does not engage with BMD-level data.</w:t>
      </w:r>
    </w:p>
    <w:p>
      <w:pPr>
        <w:pStyle w:val="Heading3"/>
      </w:pPr>
      <w:r>
        <w:t>Claude-haiku (4-5)</w:t>
      </w:r>
    </w:p>
    <w:p>
      <w:pPr>
        <w:pStyle w:val="ListBullet"/>
        <w:spacing w:after="40"/>
      </w:pPr>
      <w:r>
        <w:rPr>
          <w:rFonts w:ascii="Calibri" w:hAnsi="Calibri"/>
          <w:sz w:val="22"/>
        </w:rPr>
        <w:t>**Unique insight**: Run 1 identifies circadian disruption as "a unique finding not typically associated with xenobiotic toxicity," flagging it as potentially novel.</w:t>
      </w:r>
    </w:p>
    <w:p>
      <w:pPr>
        <w:pStyle w:val="ListBullet"/>
        <w:spacing w:after="40"/>
      </w:pPr>
      <w:r>
        <w:rPr>
          <w:rFonts w:ascii="Calibri" w:hAnsi="Calibri"/>
          <w:sz w:val="22"/>
        </w:rPr>
        <w:t>**Unique insight**: Run 1 provides the most detailed phase structure (7 phases) with specific BMD ranges for each.</w:t>
      </w:r>
    </w:p>
    <w:p>
      <w:pPr>
        <w:pStyle w:val="ListBullet"/>
        <w:spacing w:after="40"/>
      </w:pPr>
      <w:r>
        <w:rPr>
          <w:rFonts w:ascii="Calibri" w:hAnsi="Calibri"/>
          <w:sz w:val="22"/>
        </w:rPr>
        <w:t>**Unique insight**: Run 2 describes the NLRP3 inflammasome mechanism in detail: "requires two signals: a priming signal (NF-κB activation) and an activation signal (typically ROS, ATP, or crystalline structures)."</w:t>
      </w:r>
    </w:p>
    <w:p>
      <w:pPr>
        <w:pStyle w:val="ListBullet"/>
        <w:spacing w:after="40"/>
      </w:pPr>
      <w:r>
        <w:rPr>
          <w:rFonts w:ascii="Calibri" w:hAnsi="Calibri"/>
          <w:sz w:val="22"/>
        </w:rPr>
        <w:t>**Unique insight**: Run 3 identifies GDF15 as "a stress-induced cytokine that signals systemic metabolic dysfunction and is associated with aging, inflammation, and tissue damage" and notes its early induction (BMD 2.0–3.0) as particularly significant.</w:t>
      </w:r>
    </w:p>
    <w:p>
      <w:pPr>
        <w:pStyle w:val="Heading3"/>
      </w:pPr>
      <w:r>
        <w:t>Claude-sonnet (4-6)</w:t>
      </w:r>
    </w:p>
    <w:p>
      <w:pPr>
        <w:pStyle w:val="ListBullet"/>
        <w:spacing w:after="40"/>
      </w:pPr>
      <w:r>
        <w:rPr>
          <w:rFonts w:ascii="Calibri" w:hAnsi="Calibri"/>
          <w:sz w:val="22"/>
        </w:rPr>
        <w:t>**Unique insight**: Run 1 attempts compound class identification: "consistent with exposure to a polycyclic aromatic hydrocarbon (PAH), halogenated aromatic compound, or heavy metal."</w:t>
      </w:r>
    </w:p>
    <w:p>
      <w:pPr>
        <w:pStyle w:val="ListBullet"/>
        <w:spacing w:after="40"/>
      </w:pPr>
      <w:r>
        <w:rPr>
          <w:rFonts w:ascii="Calibri" w:hAnsi="Calibri"/>
          <w:sz w:val="22"/>
        </w:rPr>
        <w:t>**Unique insight**: Run 1 identifies the SQSTM1/p62-KEAP1-NRF2 positive feedback loop: "SQSTM1/p62 is a critical autophagy receptor and also a positive regulator of NFE2L2 through competitive binding to KEAP1, creating a feedback loop that sustains antioxidant gene expression under prolonged stress."</w:t>
      </w:r>
    </w:p>
    <w:p>
      <w:pPr>
        <w:pStyle w:val="ListBullet"/>
        <w:spacing w:after="40"/>
      </w:pPr>
      <w:r>
        <w:rPr>
          <w:rFonts w:ascii="Calibri" w:hAnsi="Calibri"/>
          <w:sz w:val="22"/>
        </w:rPr>
        <w:t>**Unique insight**: Run 2 distinguishes pseudo-hypoxia from true hypoxia: "consistent with pseudo-hypoxic signaling driven by ROS-mediated HIF1A stabilization rather than true oxygen deprivation."</w:t>
      </w:r>
    </w:p>
    <w:p>
      <w:pPr>
        <w:pStyle w:val="ListBullet"/>
        <w:spacing w:after="40"/>
      </w:pPr>
      <w:r>
        <w:rPr>
          <w:rFonts w:ascii="Calibri" w:hAnsi="Calibri"/>
          <w:sz w:val="22"/>
        </w:rPr>
        <w:t>**Unique insight**: Run 2 notes that the "response to ethanol" GO term enrichment "may reflect shared mechanistic pathways between the test compound and ethanol-type metabolic/oxidative stress"—a cross-referencing insight not made by other models.</w:t>
      </w:r>
    </w:p>
    <w:p>
      <w:pPr>
        <w:pStyle w:val="ListBullet"/>
        <w:spacing w:after="40"/>
      </w:pPr>
      <w:r>
        <w:rPr>
          <w:rFonts w:ascii="Calibri" w:hAnsi="Calibri"/>
          <w:sz w:val="22"/>
        </w:rPr>
        <w:t>**Unique insight**: Run 3 provides the most systematic phase-by-phase summary statements, making the narrative structure most accessible.</w:t>
      </w:r>
    </w:p>
    <w:p>
      <w:pPr>
        <w:pStyle w:val="Heading3"/>
      </w:pPr>
      <w:r>
        <w:t>Claude-opus (4-6)</w:t>
      </w:r>
    </w:p>
    <w:p>
      <w:pPr>
        <w:pStyle w:val="ListBullet"/>
        <w:spacing w:after="40"/>
      </w:pPr>
      <w:r>
        <w:rPr>
          <w:rFonts w:ascii="Calibri" w:hAnsi="Calibri"/>
          <w:sz w:val="22"/>
        </w:rPr>
        <w:t>**Unique insight**: Runs 1–3 provide the most comprehensive organ-level analysis, identifying intestine (503.67× enrichment), testis (470.09× enrichment), and reproductive organs as target tissues—predictions not made by any other model class.</w:t>
      </w:r>
    </w:p>
    <w:p>
      <w:pPr>
        <w:pStyle w:val="ListBullet"/>
        <w:spacing w:after="40"/>
      </w:pPr>
      <w:r>
        <w:rPr>
          <w:rFonts w:ascii="Calibri" w:hAnsi="Calibri"/>
          <w:sz w:val="22"/>
        </w:rPr>
        <w:t>**Unique insight**: Run 1 identifies the substantia nigra enrichment (268.62× for BAX, TP53) as specifically suggesting "vulnerability of dopaminergic neurons, consistent with Parkinson's disease pathway activation."</w:t>
      </w:r>
    </w:p>
    <w:p>
      <w:pPr>
        <w:pStyle w:val="ListBullet"/>
        <w:spacing w:after="40"/>
      </w:pPr>
      <w:r>
        <w:rPr>
          <w:rFonts w:ascii="Calibri" w:hAnsi="Calibri"/>
          <w:sz w:val="22"/>
        </w:rPr>
        <w:t>**Unique insight**: Run 2 identifies HAVCR1 (KIM-1) as "a validated renal injury biomarker" among the responsive genes—a clinically relevant observation not made by other models.</w:t>
      </w:r>
    </w:p>
    <w:p>
      <w:pPr>
        <w:pStyle w:val="ListBullet"/>
        <w:spacing w:after="40"/>
      </w:pPr>
      <w:r>
        <w:rPr>
          <w:rFonts w:ascii="Calibri" w:hAnsi="Calibri"/>
          <w:sz w:val="22"/>
        </w:rPr>
        <w:t>**Unique insight**: Run 3 provides the most detailed mechanistic interpretation of ferroptosis: "the upregulation of GPX1 and GCLC at this stage likely represents a protective response against iron-dependent lipid peroxidation rather than active ferroptotic cell death."</w:t>
      </w:r>
    </w:p>
    <w:p>
      <w:pPr>
        <w:spacing w:after="120"/>
      </w:pPr>
      <w:r>
        <w:rPr>
          <w:rFonts w:ascii="Calibri" w:hAnsi="Calibri"/>
          <w:b w:val="0"/>
          <w:i w:val="0"/>
          <w:sz w:val="22"/>
        </w:rPr>
        <w:t>---</w:t>
      </w:r>
    </w:p>
    <w:p>
      <w:pPr>
        <w:pStyle w:val="Heading2"/>
      </w:pPr>
      <w:r>
        <w:t>Overall Concordance Summary</w:t>
      </w:r>
    </w:p>
    <w:p>
      <w:pPr>
        <w:pStyle w:val="Heading3"/>
      </w:pPr>
      <w:r>
        <w:t>Strongest Consensus Areas (Strong Agreement)</w:t>
      </w:r>
    </w:p>
    <w:p>
      <w:pPr>
        <w:spacing w:after="120"/>
      </w:pPr>
      <w:r>
        <w:rPr>
          <w:rFonts w:ascii="Calibri" w:hAnsi="Calibri"/>
          <w:b w:val="0"/>
          <w:i w:val="0"/>
          <w:sz w:val="22"/>
        </w:rPr>
        <w:t>1. **Core AOP framework**: All 15 narratives agree on the fundamental adverse outcome pathway: oxidative stress → NRF2 defense → DNA damage/TP53 → inflammation/NF-κB → apoptosis/BAX-CASP3. This is the most robust finding of the meta-analysis.</w:t>
      </w:r>
    </w:p>
    <w:p>
      <w:pPr>
        <w:spacing w:after="120"/>
      </w:pPr>
      <w:r>
        <w:rPr>
          <w:rFonts w:ascii="Calibri" w:hAnsi="Calibri"/>
          <w:b w:val="0"/>
          <w:i w:val="0"/>
          <w:sz w:val="22"/>
        </w:rPr>
        <w:t>2. **Primary target organs**: Liver and kidney are universally identified with high confidence.</w:t>
      </w:r>
    </w:p>
    <w:p>
      <w:pPr>
        <w:spacing w:after="120"/>
      </w:pPr>
      <w:r>
        <w:rPr>
          <w:rFonts w:ascii="Calibri" w:hAnsi="Calibri"/>
          <w:b w:val="0"/>
          <w:i w:val="0"/>
          <w:sz w:val="22"/>
        </w:rPr>
        <w:t>3. **Protective vs. adverse classification**: NRF2 activation is universally protective; apoptosis and chronic inflammation are universally adverse.</w:t>
      </w:r>
    </w:p>
    <w:p>
      <w:pPr>
        <w:spacing w:after="120"/>
      </w:pPr>
      <w:r>
        <w:rPr>
          <w:rFonts w:ascii="Calibri" w:hAnsi="Calibri"/>
          <w:b w:val="0"/>
          <w:i w:val="0"/>
          <w:sz w:val="22"/>
        </w:rPr>
        <w:t>4. **Key gene roles**: The functional roles of NFE2L2, TP53, BAX, BCL2, CASP3, IL6, TNF, HMOX1, NQO1, and CYP1A1 are consistently described across all models.</w:t>
      </w:r>
    </w:p>
    <w:p>
      <w:pPr>
        <w:pStyle w:val="Heading3"/>
      </w:pPr>
      <w:r>
        <w:t>Moderate Consensus Areas</w:t>
      </w:r>
    </w:p>
    <w:p>
      <w:pPr>
        <w:spacing w:after="120"/>
      </w:pPr>
      <w:r>
        <w:rPr>
          <w:rFonts w:ascii="Calibri" w:hAnsi="Calibri"/>
          <w:b w:val="0"/>
          <w:i w:val="0"/>
          <w:sz w:val="22"/>
        </w:rPr>
        <w:t>1. **Heart as a target organ**: Identified by 4/5 models but with varying confidence.</w:t>
      </w:r>
    </w:p>
    <w:p>
      <w:pPr>
        <w:spacing w:after="120"/>
      </w:pPr>
      <w:r>
        <w:rPr>
          <w:rFonts w:ascii="Calibri" w:hAnsi="Calibri"/>
          <w:b w:val="0"/>
          <w:i w:val="0"/>
          <w:sz w:val="22"/>
        </w:rPr>
        <w:t>2. **Transition dose**: All agree on "moderate dose" but claude models provide BMD-level precision (2.5–5.5) while others remain qualitative.</w:t>
      </w:r>
    </w:p>
    <w:p>
      <w:pPr>
        <w:spacing w:after="120"/>
      </w:pPr>
      <w:r>
        <w:rPr>
          <w:rFonts w:ascii="Calibri" w:hAnsi="Calibri"/>
          <w:b w:val="0"/>
          <w:i w:val="0"/>
          <w:sz w:val="22"/>
        </w:rPr>
        <w:t>3. **Inflammatory signaling as initially protective vs. immediately adverse**: Minor disagreement on whether low-level inflammation is adaptive.</w:t>
      </w:r>
    </w:p>
    <w:p>
      <w:pPr>
        <w:pStyle w:val="Heading3"/>
      </w:pPr>
      <w:r>
        <w:t>Weakest Consensus Areas (Requiring Further Investigation)</w:t>
      </w:r>
    </w:p>
    <w:p>
      <w:pPr>
        <w:spacing w:after="120"/>
      </w:pPr>
      <w:r>
        <w:rPr>
          <w:rFonts w:ascii="Calibri" w:hAnsi="Calibri"/>
          <w:b w:val="0"/>
          <w:i w:val="0"/>
          <w:sz w:val="22"/>
        </w:rPr>
        <w:t>1. **Secondary/tertiary organ targets**: Brain, lung, intestine, testis show model-dependent identification, largely driven by differential access to organ enrichment data.</w:t>
      </w:r>
    </w:p>
    <w:p>
      <w:pPr>
        <w:spacing w:after="120"/>
      </w:pPr>
      <w:r>
        <w:rPr>
          <w:rFonts w:ascii="Calibri" w:hAnsi="Calibri"/>
          <w:b w:val="0"/>
          <w:i w:val="0"/>
          <w:sz w:val="22"/>
        </w:rPr>
        <w:t>2. **Ferroptosis, circadian disruption, and SASP**: Identified only by claude models, likely reflecting data access differences rather than biological disagreement.</w:t>
      </w:r>
    </w:p>
    <w:p>
      <w:pPr>
        <w:spacing w:after="120"/>
      </w:pPr>
      <w:r>
        <w:rPr>
          <w:rFonts w:ascii="Calibri" w:hAnsi="Calibri"/>
          <w:b w:val="0"/>
          <w:i w:val="0"/>
          <w:sz w:val="22"/>
        </w:rPr>
        <w:t>3. **Compound class identification**: Attempted only by claude-sonnet; remains speculative.</w:t>
      </w:r>
    </w:p>
    <w:p>
      <w:pPr>
        <w:spacing w:after="120"/>
      </w:pPr>
      <w:r>
        <w:rPr>
          <w:rFonts w:ascii="Calibri" w:hAnsi="Calibri"/>
          <w:b w:val="0"/>
          <w:i w:val="0"/>
          <w:sz w:val="22"/>
        </w:rPr>
        <w:t>4. **Precise BMD transition points**: Quantitative precision varies dramatically between model classes.</w:t>
      </w:r>
    </w:p>
    <w:p>
      <w:pPr>
        <w:pStyle w:val="Heading3"/>
      </w:pPr>
      <w:r>
        <w:t>Model Class Performance Summary</w:t>
      </w:r>
    </w:p>
    <w:p>
      <w:pPr>
        <w:spacing w:after="120"/>
      </w:pPr>
      <w:r>
        <w:rPr>
          <w:rFonts w:ascii="Calibri" w:hAnsi="Calibri"/>
          <w:b w:val="0"/>
          <w:i w:val="0"/>
          <w:sz w:val="22"/>
        </w:rPr>
        <w:t>| Dimension | Qwen2.5 (14b) | Gemma2 (9b) | Claude-haiku (4-5) | Claude-sonnet (4-6) | Claude-opus (4-6) |</w:t>
      </w:r>
    </w:p>
    <w:p>
      <w:pPr>
        <w:spacing w:after="120"/>
      </w:pPr>
      <w:r>
        <w:rPr>
          <w:rFonts w:ascii="Calibri" w:hAnsi="Calibri"/>
          <w:b w:val="0"/>
          <w:i w:val="0"/>
          <w:sz w:val="22"/>
        </w:rPr>
        <w:t>|-----------|---------------|-------------|--------------------|--------------------|-------------------|</w:t>
      </w:r>
    </w:p>
    <w:p>
      <w:pPr>
        <w:spacing w:after="120"/>
      </w:pPr>
      <w:r>
        <w:rPr>
          <w:rFonts w:ascii="Calibri" w:hAnsi="Calibri"/>
          <w:b w:val="0"/>
          <w:i w:val="0"/>
          <w:sz w:val="22"/>
        </w:rPr>
        <w:t>| Biological depth | Moderate | Low-Moderate | High | Very High | Very High |</w:t>
      </w:r>
    </w:p>
    <w:p>
      <w:pPr>
        <w:spacing w:after="120"/>
      </w:pPr>
      <w:r>
        <w:rPr>
          <w:rFonts w:ascii="Calibri" w:hAnsi="Calibri"/>
          <w:b w:val="0"/>
          <w:i w:val="0"/>
          <w:sz w:val="22"/>
        </w:rPr>
        <w:t>| BMD precision | Low | Low | High | Very High | Very High |</w:t>
      </w:r>
    </w:p>
    <w:p>
      <w:pPr>
        <w:spacing w:after="120"/>
      </w:pPr>
      <w:r>
        <w:rPr>
          <w:rFonts w:ascii="Calibri" w:hAnsi="Calibri"/>
          <w:b w:val="0"/>
          <w:i w:val="0"/>
          <w:sz w:val="22"/>
        </w:rPr>
        <w:t>| Organ prediction breadth | Low (3 organs) | Low (3–4 organs) | Moderate (4–5 organs) | High (5–6 organs) | Very High (7+ organs) |</w:t>
      </w:r>
    </w:p>
    <w:p>
      <w:pPr>
        <w:spacing w:after="120"/>
      </w:pPr>
      <w:r>
        <w:rPr>
          <w:rFonts w:ascii="Calibri" w:hAnsi="Calibri"/>
          <w:b w:val="0"/>
          <w:i w:val="0"/>
          <w:sz w:val="22"/>
        </w:rPr>
        <w:t>| Literature integration | Low-Moderate | Low | High | Very High | Very High |</w:t>
      </w:r>
    </w:p>
    <w:p>
      <w:pPr>
        <w:spacing w:after="120"/>
      </w:pPr>
      <w:r>
        <w:rPr>
          <w:rFonts w:ascii="Calibri" w:hAnsi="Calibri"/>
          <w:b w:val="0"/>
          <w:i w:val="0"/>
          <w:sz w:val="22"/>
        </w:rPr>
        <w:t>| Mechanistic specificity | Moderate | Low-Moderate | High | Very High | Very High |</w:t>
      </w:r>
    </w:p>
    <w:p>
      <w:pPr>
        <w:spacing w:after="120"/>
      </w:pPr>
      <w:r>
        <w:rPr>
          <w:rFonts w:ascii="Calibri" w:hAnsi="Calibri"/>
          <w:b w:val="0"/>
          <w:i w:val="0"/>
          <w:sz w:val="22"/>
        </w:rPr>
        <w:t>| Internal consistency | High | High | High | High | High |</w:t>
      </w:r>
    </w:p>
    <w:p>
      <w:pPr>
        <w:spacing w:after="120"/>
      </w:pPr>
      <w:r>
        <w:rPr>
          <w:rFonts w:ascii="Calibri" w:hAnsi="Calibri"/>
          <w:b w:val="0"/>
          <w:i w:val="0"/>
          <w:sz w:val="22"/>
        </w:rPr>
        <w:t>| Epistemic humility | Low-Moderate | High | Moderate | Moderate | Moderate |</w:t>
      </w:r>
    </w:p>
    <w:p>
      <w:pPr>
        <w:spacing w:after="120"/>
      </w:pPr>
      <w:r>
        <w:rPr>
          <w:rFonts w:ascii="Calibri" w:hAnsi="Calibri"/>
          <w:b w:val="0"/>
          <w:i w:val="0"/>
          <w:sz w:val="22"/>
        </w:rPr>
        <w:t>The most striking finding of this meta-analysis is the **high internal consistency within model classes** (runs from the same model are highly concordant) combined with **systematic differences between model classes** that appear to be driven primarily by (a) access to and utilization of quantitative BMD and pathway enrichment data, and (b) model capacity for mechanistic reasoning. The core biological conclusions are robust across all models, while the depth and specificity of interpretation scale with model sophistication and data engagement.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