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Interpretation Document Task Was Achieved</w:t>
      </w:r>
    </w:p>
    <w:p>
      <w:r>
        <w:t>The interpretation document task is a multi-stage pipeline that transforms BMDExpress dose-response gene expression data (a CSV of gene symbols + benchmark dose values) into a comprehensive, literature-grounded toxicogenomics interpretation report. Here’s how it works:</w:t>
      </w:r>
    </w:p>
    <w:p>
      <w:pPr>
        <w:pStyle w:val="Heading2"/>
      </w:pPr>
      <w:r>
        <w:t>Pipeline Overview</w:t>
      </w:r>
    </w:p>
    <w:p>
      <w:r>
        <w:t>The main engine is interpret.py (1,797 lines), which orchestrates 6 steps:</w:t>
      </w:r>
    </w:p>
    <w:p>
      <w:pPr>
        <w:pStyle w:val="Heading3"/>
      </w:pPr>
      <w:r>
        <w:t>1. Load &amp; Parse Input CSV</w:t>
      </w:r>
    </w:p>
    <w:p>
      <w:r>
        <w:t>Reads a BMD CSV file (gene symbol, BMD value, direction up/down), normalizes gene symbols, and extracts the gene list.</w:t>
      </w:r>
    </w:p>
    <w:p>
      <w:pPr>
        <w:pStyle w:val="Heading3"/>
      </w:pPr>
      <w:r>
        <w:t>2. Structured Enrichment Analysis</w:t>
      </w:r>
    </w:p>
    <w:p>
      <w:r>
        <w:t>Performs statistical enrichment using Fisher’s exact test with Benjamini-Hochberg FDR correction:</w:t>
      </w:r>
    </w:p>
    <w:p>
      <w:pPr>
        <w:pStyle w:val="ListBullet"/>
      </w:pPr>
      <w:r>
        <w:rPr>
          <w:b/>
        </w:rPr>
        <w:t>Pathway enrichment</w:t>
      </w:r>
      <w:r>
        <w:t xml:space="preserve"> — KEGG/Reactome pathways over-represented in the gene set</w:t>
      </w:r>
    </w:p>
    <w:p>
      <w:pPr>
        <w:pStyle w:val="ListBullet"/>
      </w:pPr>
      <w:r>
        <w:rPr>
          <w:b/>
        </w:rPr>
        <w:t>GO term enrichment</w:t>
      </w:r>
      <w:r>
        <w:t xml:space="preserve"> — Biological processes enriched</w:t>
      </w:r>
    </w:p>
    <w:p>
      <w:pPr>
        <w:pStyle w:val="ListBullet"/>
      </w:pPr>
      <w:r>
        <w:rPr>
          <w:b/>
        </w:rPr>
        <w:t>BMD ordering</w:t>
      </w:r>
      <w:r>
        <w:t xml:space="preserve"> — Median/min BMD per pathway, showing dose-response progression</w:t>
      </w:r>
    </w:p>
    <w:p>
      <w:pPr>
        <w:pStyle w:val="ListBullet"/>
      </w:pPr>
      <w:r>
        <w:rPr>
          <w:b/>
        </w:rPr>
        <w:t>Organ signature</w:t>
      </w:r>
      <w:r>
        <w:t xml:space="preserve"> — Which organs are enriched among responsive genes</w:t>
      </w:r>
    </w:p>
    <w:p>
      <w:pPr>
        <w:pStyle w:val="ListBullet"/>
      </w:pPr>
      <w:r>
        <w:rPr>
          <w:b/>
        </w:rPr>
        <w:t>Literature context</w:t>
      </w:r>
      <w:r>
        <w:t xml:space="preserve"> — Genes, papers, claims, and evidence levels from the knowledge base</w:t>
      </w:r>
    </w:p>
    <w:p>
      <w:pPr>
        <w:pStyle w:val="Heading3"/>
      </w:pPr>
      <w:r>
        <w:t>3. Format Structured Context</w:t>
      </w:r>
    </w:p>
    <w:p>
      <w:r>
        <w:t>Assembles all enrichment results into a text block (top 20 pathways, top 20 GO terms, organ scores, per-gene literature claims, top papers) that fits within LLM context windows.</w:t>
      </w:r>
    </w:p>
    <w:p>
      <w:pPr>
        <w:pStyle w:val="Heading3"/>
      </w:pPr>
      <w:r>
        <w:t>4. Multi-Model Narrative Generation</w:t>
      </w:r>
    </w:p>
    <w:p>
      <w:r>
        <w:t>Sends the structured context + a detailed interpretation prompt to multiple LLMs in parallel:</w:t>
      </w:r>
    </w:p>
    <w:p>
      <w:pPr>
        <w:pStyle w:val="ListBullet"/>
      </w:pPr>
      <w:r>
        <w:rPr>
          <w:b/>
        </w:rPr>
        <w:t>Local Ollama</w:t>
      </w:r>
      <w:r>
        <w:t>: qwen2.5:14b on two GPUs (RTX 3080 Ti + RX 6900 XT via SSH)</w:t>
      </w:r>
    </w:p>
    <w:p>
      <w:pPr>
        <w:pStyle w:val="ListBullet"/>
      </w:pPr>
      <w:r>
        <w:rPr>
          <w:b/>
        </w:rPr>
        <w:t>Anthropic API</w:t>
      </w:r>
      <w:r>
        <w:t>: claude-sonnet-4-6, claude-opus-4-6, claude-haiku-4-5</w:t>
      </w:r>
    </w:p>
    <w:p>
      <w:r>
        <w:t>Each model runs 3 times → 15 independent narratives total.</w:t>
      </w:r>
    </w:p>
    <w:p>
      <w:r>
        <w:t>Each narrative covers 6 sections:</w:t>
      </w:r>
    </w:p>
    <w:p>
      <w:pPr>
        <w:pStyle w:val="ListNumber"/>
      </w:pPr>
      <w:r>
        <w:t>1. Biological Response Narrative (phase-by-phase dose progression)</w:t>
      </w:r>
    </w:p>
    <w:p>
      <w:pPr>
        <w:pStyle w:val="ListNumber"/>
      </w:pPr>
      <w:r>
        <w:t>2. Organ-Level Prediction</w:t>
      </w:r>
    </w:p>
    <w:p>
      <w:pPr>
        <w:pStyle w:val="ListNumber"/>
      </w:pPr>
      <w:r>
        <w:t>3. Mechanism of Action (molecular initiating event + adverse outcome pathway)</w:t>
      </w:r>
    </w:p>
    <w:p>
      <w:pPr>
        <w:pStyle w:val="ListNumber"/>
      </w:pPr>
      <w:r>
        <w:t>4. Protective vs. Adverse Responses</w:t>
      </w:r>
    </w:p>
    <w:p>
      <w:pPr>
        <w:pStyle w:val="ListNumber"/>
      </w:pPr>
      <w:r>
        <w:t>5. Literature Support (citations from the KB)</w:t>
      </w:r>
    </w:p>
    <w:p>
      <w:pPr>
        <w:pStyle w:val="ListNumber"/>
      </w:pPr>
      <w:r>
        <w:t>6. Confidence Assessment</w:t>
      </w:r>
    </w:p>
    <w:p>
      <w:pPr>
        <w:pStyle w:val="Heading3"/>
      </w:pPr>
      <w:r>
        <w:t>5. Concordance Analysis</w:t>
      </w:r>
    </w:p>
    <w:p>
      <w:r>
        <w:t>A designated concordance model (claude-sonnet-4-6) receives all 15 narratives and identifies:</w:t>
      </w:r>
    </w:p>
    <w:p>
      <w:pPr>
        <w:pStyle w:val="ListBullet"/>
      </w:pPr>
      <w:r>
        <w:t>Where models agree (high-confidence findings)</w:t>
      </w:r>
    </w:p>
    <w:p>
      <w:pPr>
        <w:pStyle w:val="ListBullet"/>
      </w:pPr>
      <w:r>
        <w:t>Where models diverge (conflicting interpretations)</w:t>
      </w:r>
    </w:p>
    <w:p>
      <w:pPr>
        <w:pStyle w:val="ListBullet"/>
      </w:pPr>
      <w:r>
        <w:t>Model-specific unique insights</w:t>
      </w:r>
    </w:p>
    <w:p>
      <w:pPr>
        <w:pStyle w:val="ListBullet"/>
      </w:pPr>
      <w:r>
        <w:t>Overall concordance ratings per section</w:t>
      </w:r>
    </w:p>
    <w:p>
      <w:pPr>
        <w:pStyle w:val="Heading3"/>
      </w:pPr>
      <w:r>
        <w:t>6. Export</w:t>
      </w:r>
    </w:p>
    <w:p>
      <w:r>
        <w:t>Outputs to the output/ directory as both Markdown and Word documents (.docx):</w:t>
      </w:r>
    </w:p>
    <w:p>
      <w:pPr>
        <w:pStyle w:val="ListBullet"/>
      </w:pPr>
      <w:r>
        <w:t>Per-model narratives, combined narratives, and concordance report.</w:t>
      </w:r>
    </w:p>
    <w:p>
      <w:pPr>
        <w:pStyle w:val="Heading2"/>
      </w:pPr>
      <w:r>
        <w:t>Knowledge Base (bmdx.duckdb)</w:t>
      </w:r>
    </w:p>
    <w:p>
      <w:r>
        <w:t>The pipeline queries a DuckDB database with 9 normalized tables built from:</w:t>
      </w:r>
    </w:p>
    <w:p>
      <w:pPr>
        <w:pStyle w:val="ListBullet"/>
      </w:pPr>
      <w:r>
        <w:rPr>
          <w:b/>
        </w:rPr>
        <w:t>2,315 papers</w:t>
      </w:r>
      <w:r>
        <w:t xml:space="preserve"> from citation graph crawls across 7 sources (citegraph.py)</w:t>
      </w:r>
    </w:p>
    <w:p>
      <w:pPr>
        <w:pStyle w:val="ListBullet"/>
      </w:pPr>
      <w:r>
        <w:rPr>
          <w:b/>
        </w:rPr>
        <w:t>2,840 GO terms</w:t>
      </w:r>
      <w:r>
        <w:t xml:space="preserve"> from BMDExpress annotations</w:t>
      </w:r>
    </w:p>
    <w:p>
      <w:pPr>
        <w:pStyle w:val="ListBullet"/>
      </w:pPr>
      <w:r>
        <w:rPr>
          <w:b/>
        </w:rPr>
        <w:t>1,377 genes</w:t>
      </w:r>
      <w:r>
        <w:t xml:space="preserve"> (161 consensus, 149 moderate evidence)</w:t>
      </w:r>
    </w:p>
    <w:p>
      <w:pPr>
        <w:pStyle w:val="ListBullet"/>
      </w:pPr>
      <w:r>
        <w:rPr>
          <w:b/>
        </w:rPr>
        <w:t>4,431 claims</w:t>
      </w:r>
      <w:r>
        <w:t xml:space="preserve"> extracted from abstracts by LLMs (extract.py)</w:t>
      </w:r>
    </w:p>
    <w:p>
      <w:pPr>
        <w:pStyle w:val="ListBullet"/>
      </w:pPr>
      <w:r>
        <w:rPr>
          <w:b/>
        </w:rPr>
        <w:t>2,860 pathway mappings</w:t>
      </w:r>
      <w:r>
        <w:t xml:space="preserve"> (KEGG + Reactome, via pathway_enrich.py)</w:t>
      </w:r>
    </w:p>
    <w:p>
      <w:pPr>
        <w:pStyle w:val="ListBullet"/>
      </w:pPr>
      <w:r>
        <w:rPr>
          <w:b/>
        </w:rPr>
        <w:t>2,224 citation edges</w:t>
      </w:r>
      <w:r>
        <w:t xml:space="preserve"> for graph traversal</w:t>
      </w:r>
    </w:p>
    <w:p>
      <w:pPr>
        <w:pStyle w:val="Heading2"/>
      </w:pPr>
      <w:r>
        <w:t>Key Design Choices</w:t>
      </w:r>
    </w:p>
    <w:p>
      <w:pPr>
        <w:pStyle w:val="ListBullet"/>
      </w:pPr>
      <w:r>
        <w:rPr>
          <w:b/>
        </w:rPr>
        <w:t>Structured-then-narrative</w:t>
      </w:r>
      <w:r>
        <w:t>: Mathematical enrichment first provides grounded statistics; LLM synthesis then adds domain expertise and contextual interpretation.</w:t>
      </w:r>
    </w:p>
    <w:p>
      <w:pPr>
        <w:pStyle w:val="ListBullet"/>
      </w:pPr>
      <w:r>
        <w:rPr>
          <w:b/>
        </w:rPr>
        <w:t>Multi-model consensus</w:t>
      </w:r>
      <w:r>
        <w:t>: 5 models × 3 runs identifies robust findings (supported by 4+ models) vs. model-specific hallucinations.</w:t>
      </w:r>
    </w:p>
    <w:p>
      <w:pPr>
        <w:pStyle w:val="ListBullet"/>
      </w:pPr>
      <w:r>
        <w:rPr>
          <w:b/>
        </w:rPr>
        <w:t>Recursive decomposition</w:t>
      </w:r>
      <w:r>
        <w:t>: Rather than stuffing all 2,315 papers into context, the system programmatically queries the KB to retrieve only relevant evidence per gene/pathway — staying within context limits.</w:t>
      </w:r>
    </w:p>
    <w:p>
      <w:pPr>
        <w:pStyle w:val="ListBullet"/>
      </w:pPr>
      <w:r>
        <w:rPr>
          <w:b/>
        </w:rPr>
        <w:t>Dose-ordered response</w:t>
      </w:r>
      <w:r>
        <w:t>: Pathways ranked by median BMD reveal a progression from adaptive (low dose) to adverse (high dose) responses.</w:t>
      </w:r>
    </w:p>
    <w:p>
      <w:pPr>
        <w:pStyle w:val="ListBullet"/>
      </w:pPr>
      <w:r>
        <w:rPr>
          <w:b/>
        </w:rPr>
        <w:t>Literature traceability</w:t>
      </w:r>
      <w:r>
        <w:t>: Every interpretation is tied back to specific papers, genes, and claims in the knowledge base.</w:t>
      </w:r>
    </w:p>
    <w:p>
      <w:pPr>
        <w:pStyle w:val="Heading2"/>
      </w:pPr>
      <w:r>
        <w:t>Supporting 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interpret.py</w:t>
            </w:r>
          </w:p>
        </w:tc>
        <w:tc>
          <w:tcPr>
            <w:tcW w:type="dxa" w:w="4320"/>
          </w:tcPr>
          <w:p>
            <w:r>
              <w:t>Main interpretation engine</w:t>
            </w:r>
          </w:p>
        </w:tc>
      </w:tr>
      <w:tr>
        <w:tc>
          <w:tcPr>
            <w:tcW w:type="dxa" w:w="4320"/>
          </w:tcPr>
          <w:p>
            <w:r>
              <w:t>build_db.py</w:t>
            </w:r>
          </w:p>
        </w:tc>
        <w:tc>
          <w:tcPr>
            <w:tcW w:type="dxa" w:w="4320"/>
          </w:tcPr>
          <w:p>
            <w:r>
              <w:t>Builds bmdx.duckdb from crawl data</w:t>
            </w:r>
          </w:p>
        </w:tc>
      </w:tr>
      <w:tr>
        <w:tc>
          <w:tcPr>
            <w:tcW w:type="dxa" w:w="4320"/>
          </w:tcPr>
          <w:p>
            <w:r>
              <w:t>citegraph.py</w:t>
            </w:r>
          </w:p>
        </w:tc>
        <w:tc>
          <w:tcPr>
            <w:tcW w:type="dxa" w:w="4320"/>
          </w:tcPr>
          <w:p>
            <w:r>
              <w:t>Citation graph crawler</w:t>
            </w:r>
          </w:p>
        </w:tc>
      </w:tr>
      <w:tr>
        <w:tc>
          <w:tcPr>
            <w:tcW w:type="dxa" w:w="4320"/>
          </w:tcPr>
          <w:p>
            <w:r>
              <w:t>extract.py</w:t>
            </w:r>
          </w:p>
        </w:tc>
        <w:tc>
          <w:tcPr>
            <w:tcW w:type="dxa" w:w="4320"/>
          </w:tcPr>
          <w:p>
            <w:r>
              <w:t>LLM extraction from abstracts (genes, organs, claims)</w:t>
            </w:r>
          </w:p>
        </w:tc>
      </w:tr>
      <w:tr>
        <w:tc>
          <w:tcPr>
            <w:tcW w:type="dxa" w:w="4320"/>
          </w:tcPr>
          <w:p>
            <w:r>
              <w:t>go_gene_map.py</w:t>
            </w:r>
          </w:p>
        </w:tc>
        <w:tc>
          <w:tcPr>
            <w:tcW w:type="dxa" w:w="4320"/>
          </w:tcPr>
          <w:p>
            <w:r>
              <w:t>GO-gene cross-reference mapping</w:t>
            </w:r>
          </w:p>
        </w:tc>
      </w:tr>
      <w:tr>
        <w:tc>
          <w:tcPr>
            <w:tcW w:type="dxa" w:w="4320"/>
          </w:tcPr>
          <w:p>
            <w:r>
              <w:t>pathway_enrich.py</w:t>
            </w:r>
          </w:p>
        </w:tc>
        <w:tc>
          <w:tcPr>
            <w:tcW w:type="dxa" w:w="4320"/>
          </w:tcPr>
          <w:p>
            <w:r>
              <w:t>KEGG + Reactome enrichment queries</w:t>
            </w:r>
          </w:p>
        </w:tc>
      </w:tr>
      <w:tr>
        <w:tc>
          <w:tcPr>
            <w:tcW w:type="dxa" w:w="4320"/>
          </w:tcPr>
          <w:p>
            <w:r>
              <w:t>fulltext.py</w:t>
            </w:r>
          </w:p>
        </w:tc>
        <w:tc>
          <w:tcPr>
            <w:tcW w:type="dxa" w:w="4320"/>
          </w:tcPr>
          <w:p>
            <w:r>
              <w:t>Full-text retrieval from PMC, arXiv, S2, Unpaywall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