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1-03ReportTitle"/>
        <w:outlineLvl w:val="9"/>
      </w:pPr>
      <w:r>
        <w:t>NIEHS Report on the</w:t>
        <w:br/>
      </w:r>
      <w:r>
        <w:t>In Vivo Repeat Dose Biological</w:t>
        <w:br/>
      </w:r>
      <w:r>
        <w:t>Potency Study of</w:t>
        <w:br/>
      </w:r>
      <w:r>
        <w:t>Perfluorohexanesulfonamide (CASRN</w:t>
        <w:br/>
      </w:r>
      <w:r>
        <w:t>41997-13-1) in Sprague Dawley</w:t>
        <w:br/>
      </w:r>
      <w:r>
        <w:t>(Hsd:Sprague Dawley® SD®) Rats</w:t>
        <w:br/>
      </w:r>
      <w:r>
        <w:t>(Gavage Studies)</w:t>
      </w:r>
    </w:p>
    <w:p>
      <w:pPr>
        <w:pStyle w:val="1-05aReport-Number"/>
        <w:outlineLvl w:val="9"/>
      </w:pPr>
      <w:r>
        <w:t>«NIEHS Report XX»</w:t>
      </w:r>
    </w:p>
    <w:p>
      <w:pPr>
        <w:pStyle w:val="1-05PublicationDate"/>
        <w:outlineLvl w:val="9"/>
      </w:pPr>
      <w:r>
        <w:t>«Month Year»</w:t>
      </w:r>
    </w:p>
    <w:p>
      <w:pPr>
        <w:pStyle w:val="1-01PublisherName"/>
        <w:outlineLvl w:val="9"/>
      </w:pPr>
      <w:r>
        <w:t>National Institute of Environmental Health Sciences</w:t>
      </w:r>
    </w:p>
    <w:p>
      <w:pPr>
        <w:pStyle w:val="1-08PublicationInstitute"/>
        <w:outlineLvl w:val="9"/>
      </w:pPr>
      <w:r>
        <w:t>Public Health Service</w:t>
      </w:r>
    </w:p>
    <w:p>
      <w:pPr>
        <w:pStyle w:val="1-09PublicationDepartment"/>
        <w:outlineLvl w:val="9"/>
      </w:pPr>
      <w:r>
        <w:t>U.S. Department of Health and Human Services</w:t>
      </w:r>
    </w:p>
    <w:p>
      <w:pPr>
        <w:pStyle w:val="1-05cISSN"/>
        <w:outlineLvl w:val="9"/>
      </w:pPr>
      <w:r>
        <w:t>ISSN: 2768-5632</w:t>
      </w:r>
    </w:p>
    <w:p>
      <w:pPr>
        <w:pStyle w:val="NTPPublisherLocation"/>
        <w:outlineLvl w:val="9"/>
      </w:pPr>
      <w:r>
        <w:t>Research Triangle Park, North Carolina, USA</w:t>
      </w:r>
    </w:p>
    <w:p>
      <w:r>
        <w:br w:type="page"/>
      </w:r>
    </w:p>
    <w:p>
      <w:pPr>
        <w:pStyle w:val="1-21ForewordTitle"/>
      </w:pPr>
      <w:bookmarkStart w:id="0" w:name="_Toc_foreword"/>
      <w:r>
        <w:t>Foreword</w:t>
      </w:r>
      <w:bookmarkEnd w:id="0"/>
    </w:p>
    <w:p>
      <w:pPr>
        <w:pStyle w:val="1-22ForewordText"/>
      </w:pPr>
      <w:r>
        <w:t xml:space="preserve">The </w:t>
      </w:r>
      <w:hyperlink r:id="rId14">
        <w:r>
          <w:rPr>
            <w:color w:val="0563C1"/>
            <w:u w:val="single"/>
          </w:rPr>
          <w:t xml:space="preserve">National Institute of Environmental Health Sciences (NIEHS)</w:t>
        </w:r>
      </w:hyperlink>
      <w:r>
        <w:t xml:space="preserve"> is one of 27 institutes and centers of the National Institutes of Health, which is part of the U.S. Department of Health and Human Services. The NIEHS mission is to discover how the environment affects people in order to promote healthier lives. NIEHS works to accomplish its mission by conducting and funding research on human health effects of environmental exposures; developing the next generation of environmental health scientists; and providing critical research, knowledge, and information to citizens and policymakers who are working to prevent hazardous exposures and reduce the risk of disease and disorders connected to the environment. NIEHS is a foundational leader in environmental health sciences and committed to ensuring that its research is directed toward a healthier environment and healthier lives for all people.</w:t>
      </w:r>
    </w:p>
    <w:p>
      <w:pPr>
        <w:pStyle w:val="1-22ForewordText"/>
      </w:pPr>
      <w:r>
        <w:t xml:space="preserve">The NIEHS Report series began in 2022. The environmental health sciences research described in this series is conducted primarily by the </w:t>
      </w:r>
      <w:hyperlink r:id="rId15">
        <w:r>
          <w:rPr>
            <w:color w:val="0563C1"/>
            <w:u w:val="single"/>
          </w:rPr>
          <w:t xml:space="preserve">Division of Translational Toxicology (DTT)</w:t>
        </w:r>
      </w:hyperlink>
      <w:r>
        <w:t xml:space="preserve"> at NIEHS. NIEHS/DTT scientists conduct innovative toxicology research that aligns with real-world public health needs and translates scientific evidence into knowledge that can inform individual and public health decision-making.</w:t>
      </w:r>
    </w:p>
    <w:p>
      <w:pPr>
        <w:pStyle w:val="1-22ForewordText"/>
      </w:pPr>
      <w:r>
        <w:t xml:space="preserve">NIEHS reports are available free of charge on the </w:t>
      </w:r>
      <w:hyperlink r:id="rId16">
        <w:r>
          <w:rPr>
            <w:color w:val="0563C1"/>
            <w:u w:val="single"/>
          </w:rPr>
          <w:t xml:space="preserve">NIEHS/DTT website</w:t>
        </w:r>
      </w:hyperlink>
      <w:r>
        <w:t xml:space="preserve"> and cataloged in </w:t>
      </w:r>
      <w:hyperlink r:id="rId17">
        <w:r>
          <w:rPr>
            <w:color w:val="0563C1"/>
            <w:u w:val="single"/>
          </w:rPr>
          <w:t xml:space="preserve">PubMed</w:t>
        </w:r>
      </w:hyperlink>
      <w:r>
        <w:t>, a free resource developed and maintained by the National Library of Medicine (part of the National Institutes of Health).</w:t>
      </w:r>
    </w:p>
    <w:p>
      <w:pPr>
        <w:pStyle w:val="1-23FrontMatterHead1"/>
        <w:pageBreakBefore/>
        <w:spacing w:after="240"/>
        <w:jc w:val="center"/>
        <w:outlineLvl w:val="9"/>
      </w:pPr>
      <w:r>
        <w:rPr>
          <w:rFonts w:ascii="Arial" w:hAnsi="Arial"/>
          <w:b/>
          <w:color w:val="000000"/>
          <w:sz w:val="32"/>
        </w:rPr>
        <w:t>Table of Contents</w:t>
      </w:r>
    </w:p>
    <w:p>
      <w:pPr>
        <w:pStyle w:val="TOC1"/>
        <w:tabs>
          <w:tab w:pos="9360" w:val="right" w:leader="dot"/>
        </w:tabs>
      </w:pPr>
      <w:r>
        <w:fldChar w:fldCharType="begin"/>
        <w:instrText xml:space="preserve">TOC \o "1-3" \h \z \u</w:instrText>
        <w:fldChar w:fldCharType="separate"/>
      </w:r>
      <w:hyperlink w:anchor="_Toc_foreword" w:history="1">
        <w:r>
          <w:rPr>
            <w:rStyle w:val="Hyperlink"/>
          </w:rPr>
          <w:t xml:space="preserve">Foreword</w:t>
        </w:r>
        <w:r>
          <w:rPr>
            <w:webHidden/>
          </w:rPr>
          <w:tab/>
        </w:r>
        <w:r>
          <w:rPr>
            <w:webHidden/>
          </w:rPr>
          <w:fldChar w:fldCharType="begin"/>
        </w:r>
        <w:r>
          <w:rPr>
            <w:webHidden/>
          </w:rPr>
          <w:instrText xml:space="preserve"> PAGEREF _Toc_foreword \h </w:instrText>
        </w:r>
        <w:r>
          <w:rPr>
            <w:webHidden/>
          </w:rPr>
          <w:fldChar w:fldCharType="separate"/>
        </w:r>
        <w:r>
          <w:rPr>
            <w:webHidden/>
          </w:rPr>
          <w:t>1</w:t>
        </w:r>
        <w:r>
          <w:rPr>
            <w:webHidden/>
          </w:rPr>
          <w:fldChar w:fldCharType="end"/>
        </w:r>
      </w:hyperlink>
    </w:p>
    <w:p>
      <w:pPr>
        <w:pStyle w:val="TOC1"/>
        <w:tabs>
          <w:tab w:pos="9360" w:val="right" w:leader="dot"/>
        </w:tabs>
      </w:pPr>
      <w:hyperlink w:anchor="_Toc_about" w:history="1">
        <w:r>
          <w:rPr>
            <w:rStyle w:val="Hyperlink"/>
          </w:rPr>
          <w:t xml:space="preserve">About This Report</w:t>
        </w:r>
        <w:r>
          <w:rPr>
            <w:webHidden/>
          </w:rPr>
          <w:tab/>
        </w:r>
        <w:r>
          <w:rPr>
            <w:webHidden/>
          </w:rPr>
          <w:fldChar w:fldCharType="begin"/>
        </w:r>
        <w:r>
          <w:rPr>
            <w:webHidden/>
          </w:rPr>
          <w:instrText xml:space="preserve"> PAGEREF _Toc_about \h </w:instrText>
        </w:r>
        <w:r>
          <w:rPr>
            <w:webHidden/>
          </w:rPr>
          <w:fldChar w:fldCharType="separate"/>
        </w:r>
        <w:r>
          <w:rPr>
            <w:webHidden/>
          </w:rPr>
          <w:t>1</w:t>
        </w:r>
        <w:r>
          <w:rPr>
            <w:webHidden/>
          </w:rPr>
          <w:fldChar w:fldCharType="end"/>
        </w:r>
      </w:hyperlink>
    </w:p>
    <w:p>
      <w:pPr>
        <w:pStyle w:val="TOC1"/>
        <w:tabs>
          <w:tab w:pos="9360" w:val="right" w:leader="dot"/>
        </w:tabs>
      </w:pPr>
      <w:hyperlink w:anchor="_Toc_peer-review" w:history="1">
        <w:r>
          <w:rPr>
            <w:rStyle w:val="Hyperlink"/>
          </w:rPr>
          <w:t xml:space="preserve">Peer Review</w:t>
        </w:r>
        <w:r>
          <w:rPr>
            <w:webHidden/>
          </w:rPr>
          <w:tab/>
        </w:r>
        <w:r>
          <w:rPr>
            <w:webHidden/>
          </w:rPr>
          <w:fldChar w:fldCharType="begin"/>
        </w:r>
        <w:r>
          <w:rPr>
            <w:webHidden/>
          </w:rPr>
          <w:instrText xml:space="preserve"> PAGEREF _Toc_peer-review \h </w:instrText>
        </w:r>
        <w:r>
          <w:rPr>
            <w:webHidden/>
          </w:rPr>
          <w:fldChar w:fldCharType="separate"/>
        </w:r>
        <w:r>
          <w:rPr>
            <w:webHidden/>
          </w:rPr>
          <w:t>1</w:t>
        </w:r>
        <w:r>
          <w:rPr>
            <w:webHidden/>
          </w:rPr>
          <w:fldChar w:fldCharType="end"/>
        </w:r>
      </w:hyperlink>
    </w:p>
    <w:p>
      <w:pPr>
        <w:pStyle w:val="TOC1"/>
        <w:tabs>
          <w:tab w:pos="9360" w:val="right" w:leader="dot"/>
        </w:tabs>
      </w:pPr>
      <w:hyperlink w:anchor="_Toc_publication" w:history="1">
        <w:r>
          <w:rPr>
            <w:rStyle w:val="Hyperlink"/>
          </w:rPr>
          <w:t xml:space="preserve">Publication Details</w:t>
        </w:r>
        <w:r>
          <w:rPr>
            <w:webHidden/>
          </w:rPr>
          <w:tab/>
        </w:r>
        <w:r>
          <w:rPr>
            <w:webHidden/>
          </w:rPr>
          <w:fldChar w:fldCharType="begin"/>
        </w:r>
        <w:r>
          <w:rPr>
            <w:webHidden/>
          </w:rPr>
          <w:instrText xml:space="preserve"> PAGEREF _Toc_publication \h </w:instrText>
        </w:r>
        <w:r>
          <w:rPr>
            <w:webHidden/>
          </w:rPr>
          <w:fldChar w:fldCharType="separate"/>
        </w:r>
        <w:r>
          <w:rPr>
            <w:webHidden/>
          </w:rPr>
          <w:t>1</w:t>
        </w:r>
        <w:r>
          <w:rPr>
            <w:webHidden/>
          </w:rPr>
          <w:fldChar w:fldCharType="end"/>
        </w:r>
      </w:hyperlink>
    </w:p>
    <w:p>
      <w:pPr>
        <w:pStyle w:val="TOC1"/>
        <w:tabs>
          <w:tab w:pos="9360" w:val="right" w:leader="dot"/>
        </w:tabs>
      </w:pPr>
      <w:hyperlink w:anchor="_Toc_acknowledgments" w:history="1">
        <w:r>
          <w:rPr>
            <w:rStyle w:val="Hyperlink"/>
          </w:rPr>
          <w:t xml:space="preserve">Acknowledgments</w:t>
        </w:r>
        <w:r>
          <w:rPr>
            <w:webHidden/>
          </w:rPr>
          <w:tab/>
        </w:r>
        <w:r>
          <w:rPr>
            <w:webHidden/>
          </w:rPr>
          <w:fldChar w:fldCharType="begin"/>
        </w:r>
        <w:r>
          <w:rPr>
            <w:webHidden/>
          </w:rPr>
          <w:instrText xml:space="preserve"> PAGEREF _Toc_acknowledgments \h </w:instrText>
        </w:r>
        <w:r>
          <w:rPr>
            <w:webHidden/>
          </w:rPr>
          <w:fldChar w:fldCharType="separate"/>
        </w:r>
        <w:r>
          <w:rPr>
            <w:webHidden/>
          </w:rPr>
          <w:t>1</w:t>
        </w:r>
        <w:r>
          <w:rPr>
            <w:webHidden/>
          </w:rPr>
          <w:fldChar w:fldCharType="end"/>
        </w:r>
      </w:hyperlink>
    </w:p>
    <w:p>
      <w:pPr>
        <w:pStyle w:val="TOC1"/>
        <w:tabs>
          <w:tab w:pos="9360" w:val="right" w:leader="dot"/>
        </w:tabs>
      </w:pPr>
      <w:hyperlink w:anchor="_Toc_abstract" w:history="1">
        <w:r>
          <w:rPr>
            <w:rStyle w:val="Hyperlink"/>
          </w:rPr>
          <w:t xml:space="preserve">Abstract</w:t>
        </w:r>
        <w:r>
          <w:rPr>
            <w:webHidden/>
          </w:rPr>
          <w:tab/>
        </w:r>
        <w:r>
          <w:rPr>
            <w:webHidden/>
          </w:rPr>
          <w:fldChar w:fldCharType="begin"/>
        </w:r>
        <w:r>
          <w:rPr>
            <w:webHidden/>
          </w:rPr>
          <w:instrText xml:space="preserve"> PAGEREF _Toc_abstract \h </w:instrText>
        </w:r>
        <w:r>
          <w:rPr>
            <w:webHidden/>
          </w:rPr>
          <w:fldChar w:fldCharType="separate"/>
        </w:r>
        <w:r>
          <w:rPr>
            <w:webHidden/>
          </w:rPr>
          <w:t>1</w:t>
        </w:r>
        <w:r>
          <w:rPr>
            <w:webHidden/>
          </w:rPr>
          <w:fldChar w:fldCharType="end"/>
        </w:r>
      </w:hyperlink>
    </w:p>
    <w:p>
      <w:pPr>
        <w:pStyle w:val="TOC1"/>
        <w:tabs>
          <w:tab w:pos="9360" w:val="right" w:leader="dot"/>
        </w:tabs>
      </w:pPr>
      <w:hyperlink w:anchor="_Toc_background" w:history="1">
        <w:r>
          <w:rPr>
            <w:rStyle w:val="Hyperlink"/>
          </w:rPr>
          <w:t xml:space="preserve">Background</w:t>
        </w:r>
        <w:r>
          <w:rPr>
            <w:webHidden/>
          </w:rPr>
          <w:tab/>
        </w:r>
        <w:r>
          <w:rPr>
            <w:webHidden/>
          </w:rPr>
          <w:fldChar w:fldCharType="begin"/>
        </w:r>
        <w:r>
          <w:rPr>
            <w:webHidden/>
          </w:rPr>
          <w:instrText xml:space="preserve"> PAGEREF _Toc_background \h </w:instrText>
        </w:r>
        <w:r>
          <w:rPr>
            <w:webHidden/>
          </w:rPr>
          <w:fldChar w:fldCharType="separate"/>
        </w:r>
        <w:r>
          <w:rPr>
            <w:webHidden/>
          </w:rPr>
          <w:t>1</w:t>
        </w:r>
        <w:r>
          <w:rPr>
            <w:webHidden/>
          </w:rPr>
          <w:fldChar w:fldCharType="end"/>
        </w:r>
      </w:hyperlink>
    </w:p>
    <w:p>
      <w:pPr>
        <w:pStyle w:val="TOC1"/>
        <w:tabs>
          <w:tab w:pos="9360" w:val="right" w:leader="dot"/>
        </w:tabs>
      </w:pPr>
      <w:hyperlink w:anchor="_Toc_methods" w:history="1">
        <w:r>
          <w:rPr>
            <w:rStyle w:val="Hyperlink"/>
          </w:rPr>
          <w:t xml:space="preserve">Materials and Methods</w:t>
        </w:r>
        <w:r>
          <w:rPr>
            <w:webHidden/>
          </w:rPr>
          <w:tab/>
        </w:r>
        <w:r>
          <w:rPr>
            <w:webHidden/>
          </w:rPr>
          <w:fldChar w:fldCharType="begin"/>
        </w:r>
        <w:r>
          <w:rPr>
            <w:webHidden/>
          </w:rPr>
          <w:instrText xml:space="preserve"> PAGEREF _Toc_methods \h </w:instrText>
        </w:r>
        <w:r>
          <w:rPr>
            <w:webHidden/>
          </w:rPr>
          <w:fldChar w:fldCharType="separate"/>
        </w:r>
        <w:r>
          <w:rPr>
            <w:webHidden/>
          </w:rPr>
          <w:t>1</w:t>
        </w:r>
        <w:r>
          <w:rPr>
            <w:webHidden/>
          </w:rPr>
          <w:fldChar w:fldCharType="end"/>
        </w:r>
      </w:hyperlink>
    </w:p>
    <w:p>
      <w:pPr>
        <w:pStyle w:val="TOC2"/>
        <w:tabs>
          <w:tab w:pos="9360" w:val="right" w:leader="dot"/>
        </w:tabs>
      </w:pPr>
      <w:hyperlink w:anchor="_Toc_mm-study-design" w:history="1">
        <w:r>
          <w:rPr>
            <w:rStyle w:val="Hyperlink"/>
          </w:rPr>
          <w:t xml:space="preserve">Study Design</w:t>
        </w:r>
        <w:r>
          <w:rPr>
            <w:webHidden/>
          </w:rPr>
          <w:tab/>
        </w:r>
        <w:r>
          <w:rPr>
            <w:webHidden/>
          </w:rPr>
          <w:fldChar w:fldCharType="begin"/>
        </w:r>
        <w:r>
          <w:rPr>
            <w:webHidden/>
          </w:rPr>
          <w:instrText xml:space="preserve"> PAGEREF _Toc_mm-study-design \h </w:instrText>
        </w:r>
        <w:r>
          <w:rPr>
            <w:webHidden/>
          </w:rPr>
          <w:fldChar w:fldCharType="separate"/>
        </w:r>
        <w:r>
          <w:rPr>
            <w:webHidden/>
          </w:rPr>
          <w:t>1</w:t>
        </w:r>
        <w:r>
          <w:rPr>
            <w:webHidden/>
          </w:rPr>
          <w:fldChar w:fldCharType="end"/>
        </w:r>
      </w:hyperlink>
    </w:p>
    <w:p>
      <w:pPr>
        <w:pStyle w:val="TOC2"/>
        <w:tabs>
          <w:tab w:pos="9360" w:val="right" w:leader="dot"/>
        </w:tabs>
      </w:pPr>
      <w:hyperlink w:anchor="_Toc_mm-dose-rationale" w:history="1">
        <w:r>
          <w:rPr>
            <w:rStyle w:val="Hyperlink"/>
          </w:rPr>
          <w:t xml:space="preserve">Dose Selection Rationale</w:t>
        </w:r>
        <w:r>
          <w:rPr>
            <w:webHidden/>
          </w:rPr>
          <w:tab/>
        </w:r>
        <w:r>
          <w:rPr>
            <w:webHidden/>
          </w:rPr>
          <w:fldChar w:fldCharType="begin"/>
        </w:r>
        <w:r>
          <w:rPr>
            <w:webHidden/>
          </w:rPr>
          <w:instrText xml:space="preserve"> PAGEREF _Toc_mm-dose-rationale \h </w:instrText>
        </w:r>
        <w:r>
          <w:rPr>
            <w:webHidden/>
          </w:rPr>
          <w:fldChar w:fldCharType="separate"/>
        </w:r>
        <w:r>
          <w:rPr>
            <w:webHidden/>
          </w:rPr>
          <w:t>1</w:t>
        </w:r>
        <w:r>
          <w:rPr>
            <w:webHidden/>
          </w:rPr>
          <w:fldChar w:fldCharType="end"/>
        </w:r>
      </w:hyperlink>
    </w:p>
    <w:p>
      <w:pPr>
        <w:pStyle w:val="TOC2"/>
        <w:tabs>
          <w:tab w:pos="9360" w:val="right" w:leader="dot"/>
        </w:tabs>
      </w:pPr>
      <w:hyperlink w:anchor="_Toc_mm-chemistry" w:history="1">
        <w:r>
          <w:rPr>
            <w:rStyle w:val="Hyperlink"/>
          </w:rPr>
          <w:t xml:space="preserve">Chemistry</w:t>
        </w:r>
        <w:r>
          <w:rPr>
            <w:webHidden/>
          </w:rPr>
          <w:tab/>
        </w:r>
        <w:r>
          <w:rPr>
            <w:webHidden/>
          </w:rPr>
          <w:fldChar w:fldCharType="begin"/>
        </w:r>
        <w:r>
          <w:rPr>
            <w:webHidden/>
          </w:rPr>
          <w:instrText xml:space="preserve"> PAGEREF _Toc_mm-chemistry \h </w:instrText>
        </w:r>
        <w:r>
          <w:rPr>
            <w:webHidden/>
          </w:rPr>
          <w:fldChar w:fldCharType="separate"/>
        </w:r>
        <w:r>
          <w:rPr>
            <w:webHidden/>
          </w:rPr>
          <w:t>1</w:t>
        </w:r>
        <w:r>
          <w:rPr>
            <w:webHidden/>
          </w:rPr>
          <w:fldChar w:fldCharType="end"/>
        </w:r>
      </w:hyperlink>
    </w:p>
    <w:p>
      <w:pPr>
        <w:pStyle w:val="TOC2"/>
        <w:tabs>
          <w:tab w:pos="9360" w:val="right" w:leader="dot"/>
        </w:tabs>
      </w:pPr>
      <w:hyperlink w:anchor="_Toc_mm-clin-exam" w:history="1">
        <w:r>
          <w:rPr>
            <w:rStyle w:val="Hyperlink"/>
          </w:rPr>
          <w:t xml:space="preserve">Clinical Examinations and Sample Collection</w:t>
        </w:r>
        <w:r>
          <w:rPr>
            <w:webHidden/>
          </w:rPr>
          <w:tab/>
        </w:r>
        <w:r>
          <w:rPr>
            <w:webHidden/>
          </w:rPr>
          <w:fldChar w:fldCharType="begin"/>
        </w:r>
        <w:r>
          <w:rPr>
            <w:webHidden/>
          </w:rPr>
          <w:instrText xml:space="preserve"> PAGEREF _Toc_mm-clin-exam \h </w:instrText>
        </w:r>
        <w:r>
          <w:rPr>
            <w:webHidden/>
          </w:rPr>
          <w:fldChar w:fldCharType="separate"/>
        </w:r>
        <w:r>
          <w:rPr>
            <w:webHidden/>
          </w:rPr>
          <w:t>1</w:t>
        </w:r>
        <w:r>
          <w:rPr>
            <w:webHidden/>
          </w:rPr>
          <w:fldChar w:fldCharType="end"/>
        </w:r>
      </w:hyperlink>
    </w:p>
    <w:p>
      <w:pPr>
        <w:pStyle w:val="TOC3"/>
        <w:tabs>
          <w:tab w:pos="9360" w:val="right" w:leader="dot"/>
        </w:tabs>
      </w:pPr>
      <w:hyperlink w:anchor="_Toc_mm-clin-obs" w:history="1">
        <w:r>
          <w:rPr>
            <w:rStyle w:val="Hyperlink"/>
          </w:rPr>
          <w:t xml:space="preserve">Clinical Observations</w:t>
        </w:r>
        <w:r>
          <w:rPr>
            <w:webHidden/>
          </w:rPr>
          <w:tab/>
        </w:r>
        <w:r>
          <w:rPr>
            <w:webHidden/>
          </w:rPr>
          <w:fldChar w:fldCharType="begin"/>
        </w:r>
        <w:r>
          <w:rPr>
            <w:webHidden/>
          </w:rPr>
          <w:instrText xml:space="preserve"> PAGEREF _Toc_mm-clin-obs \h </w:instrText>
        </w:r>
        <w:r>
          <w:rPr>
            <w:webHidden/>
          </w:rPr>
          <w:fldChar w:fldCharType="separate"/>
        </w:r>
        <w:r>
          <w:rPr>
            <w:webHidden/>
          </w:rPr>
          <w:t>1</w:t>
        </w:r>
        <w:r>
          <w:rPr>
            <w:webHidden/>
          </w:rPr>
          <w:fldChar w:fldCharType="end"/>
        </w:r>
      </w:hyperlink>
    </w:p>
    <w:p>
      <w:pPr>
        <w:pStyle w:val="TOC3"/>
        <w:tabs>
          <w:tab w:pos="9360" w:val="right" w:leader="dot"/>
        </w:tabs>
      </w:pPr>
      <w:hyperlink w:anchor="_Toc_mm-body-organ-wt" w:history="1">
        <w:r>
          <w:rPr>
            <w:rStyle w:val="Hyperlink"/>
          </w:rPr>
          <w:t xml:space="preserve">Body and Organ Weights</w:t>
        </w:r>
        <w:r>
          <w:rPr>
            <w:webHidden/>
          </w:rPr>
          <w:tab/>
        </w:r>
        <w:r>
          <w:rPr>
            <w:webHidden/>
          </w:rPr>
          <w:fldChar w:fldCharType="begin"/>
        </w:r>
        <w:r>
          <w:rPr>
            <w:webHidden/>
          </w:rPr>
          <w:instrText xml:space="preserve"> PAGEREF _Toc_mm-body-organ-wt \h </w:instrText>
        </w:r>
        <w:r>
          <w:rPr>
            <w:webHidden/>
          </w:rPr>
          <w:fldChar w:fldCharType="separate"/>
        </w:r>
        <w:r>
          <w:rPr>
            <w:webHidden/>
          </w:rPr>
          <w:t>1</w:t>
        </w:r>
        <w:r>
          <w:rPr>
            <w:webHidden/>
          </w:rPr>
          <w:fldChar w:fldCharType="end"/>
        </w:r>
      </w:hyperlink>
    </w:p>
    <w:p>
      <w:pPr>
        <w:pStyle w:val="TOC3"/>
        <w:tabs>
          <w:tab w:pos="9360" w:val="right" w:leader="dot"/>
        </w:tabs>
      </w:pPr>
      <w:hyperlink w:anchor="_Toc_mm-clin-path" w:history="1">
        <w:r>
          <w:rPr>
            <w:rStyle w:val="Hyperlink"/>
          </w:rPr>
          <w:t xml:space="preserve">Clinical Pathology</w:t>
        </w:r>
        <w:r>
          <w:rPr>
            <w:webHidden/>
          </w:rPr>
          <w:tab/>
        </w:r>
        <w:r>
          <w:rPr>
            <w:webHidden/>
          </w:rPr>
          <w:fldChar w:fldCharType="begin"/>
        </w:r>
        <w:r>
          <w:rPr>
            <w:webHidden/>
          </w:rPr>
          <w:instrText xml:space="preserve"> PAGEREF _Toc_mm-clin-path \h </w:instrText>
        </w:r>
        <w:r>
          <w:rPr>
            <w:webHidden/>
          </w:rPr>
          <w:fldChar w:fldCharType="separate"/>
        </w:r>
        <w:r>
          <w:rPr>
            <w:webHidden/>
          </w:rPr>
          <w:t>1</w:t>
        </w:r>
        <w:r>
          <w:rPr>
            <w:webHidden/>
          </w:rPr>
          <w:fldChar w:fldCharType="end"/>
        </w:r>
      </w:hyperlink>
    </w:p>
    <w:p>
      <w:pPr>
        <w:pStyle w:val="TOC3"/>
        <w:tabs>
          <w:tab w:pos="9360" w:val="right" w:leader="dot"/>
        </w:tabs>
      </w:pPr>
      <w:hyperlink w:anchor="_Toc_mm-internal-dose" w:history="1">
        <w:r>
          <w:rPr>
            <w:rStyle w:val="Hyperlink"/>
          </w:rPr>
          <w:t xml:space="preserve">Internal Dose Assessment</w:t>
        </w:r>
        <w:r>
          <w:rPr>
            <w:webHidden/>
          </w:rPr>
          <w:tab/>
        </w:r>
        <w:r>
          <w:rPr>
            <w:webHidden/>
          </w:rPr>
          <w:fldChar w:fldCharType="begin"/>
        </w:r>
        <w:r>
          <w:rPr>
            <w:webHidden/>
          </w:rPr>
          <w:instrText xml:space="preserve"> PAGEREF _Toc_mm-internal-dose \h </w:instrText>
        </w:r>
        <w:r>
          <w:rPr>
            <w:webHidden/>
          </w:rPr>
          <w:fldChar w:fldCharType="separate"/>
        </w:r>
        <w:r>
          <w:rPr>
            <w:webHidden/>
          </w:rPr>
          <w:t>1</w:t>
        </w:r>
        <w:r>
          <w:rPr>
            <w:webHidden/>
          </w:rPr>
          <w:fldChar w:fldCharType="end"/>
        </w:r>
      </w:hyperlink>
    </w:p>
    <w:p>
      <w:pPr>
        <w:pStyle w:val="TOC2"/>
        <w:tabs>
          <w:tab w:pos="9360" w:val="right" w:leader="dot"/>
        </w:tabs>
      </w:pPr>
      <w:hyperlink w:anchor="_Toc_mm-transcriptomics" w:history="1">
        <w:r>
          <w:rPr>
            <w:rStyle w:val="Hyperlink"/>
          </w:rPr>
          <w:t xml:space="preserve">Transcriptomics</w:t>
        </w:r>
        <w:r>
          <w:rPr>
            <w:webHidden/>
          </w:rPr>
          <w:tab/>
        </w:r>
        <w:r>
          <w:rPr>
            <w:webHidden/>
          </w:rPr>
          <w:fldChar w:fldCharType="begin"/>
        </w:r>
        <w:r>
          <w:rPr>
            <w:webHidden/>
          </w:rPr>
          <w:instrText xml:space="preserve"> PAGEREF _Toc_mm-transcriptomics \h </w:instrText>
        </w:r>
        <w:r>
          <w:rPr>
            <w:webHidden/>
          </w:rPr>
          <w:fldChar w:fldCharType="separate"/>
        </w:r>
        <w:r>
          <w:rPr>
            <w:webHidden/>
          </w:rPr>
          <w:t>1</w:t>
        </w:r>
        <w:r>
          <w:rPr>
            <w:webHidden/>
          </w:rPr>
          <w:fldChar w:fldCharType="end"/>
        </w:r>
      </w:hyperlink>
    </w:p>
    <w:p>
      <w:pPr>
        <w:pStyle w:val="TOC3"/>
        <w:tabs>
          <w:tab w:pos="9360" w:val="right" w:leader="dot"/>
        </w:tabs>
      </w:pPr>
      <w:hyperlink w:anchor="_Toc_mm-tx-sample" w:history="1">
        <w:r>
          <w:rPr>
            <w:rStyle w:val="Hyperlink"/>
          </w:rPr>
          <w:t xml:space="preserve">Sample Collection for Transcriptomics</w:t>
        </w:r>
        <w:r>
          <w:rPr>
            <w:webHidden/>
          </w:rPr>
          <w:tab/>
        </w:r>
        <w:r>
          <w:rPr>
            <w:webHidden/>
          </w:rPr>
          <w:fldChar w:fldCharType="begin"/>
        </w:r>
        <w:r>
          <w:rPr>
            <w:webHidden/>
          </w:rPr>
          <w:instrText xml:space="preserve"> PAGEREF _Toc_mm-tx-sample \h </w:instrText>
        </w:r>
        <w:r>
          <w:rPr>
            <w:webHidden/>
          </w:rPr>
          <w:fldChar w:fldCharType="separate"/>
        </w:r>
        <w:r>
          <w:rPr>
            <w:webHidden/>
          </w:rPr>
          <w:t>1</w:t>
        </w:r>
        <w:r>
          <w:rPr>
            <w:webHidden/>
          </w:rPr>
          <w:fldChar w:fldCharType="end"/>
        </w:r>
      </w:hyperlink>
    </w:p>
    <w:p>
      <w:pPr>
        <w:pStyle w:val="TOC3"/>
        <w:tabs>
          <w:tab w:pos="9360" w:val="right" w:leader="dot"/>
        </w:tabs>
      </w:pPr>
      <w:hyperlink w:anchor="_Toc_mm-tx-rna" w:history="1">
        <w:r>
          <w:rPr>
            <w:rStyle w:val="Hyperlink"/>
          </w:rPr>
          <w:t xml:space="preserve">RNA Isolation, Library Creation, and Sequencing</w:t>
        </w:r>
        <w:r>
          <w:rPr>
            <w:webHidden/>
          </w:rPr>
          <w:tab/>
        </w:r>
        <w:r>
          <w:rPr>
            <w:webHidden/>
          </w:rPr>
          <w:fldChar w:fldCharType="begin"/>
        </w:r>
        <w:r>
          <w:rPr>
            <w:webHidden/>
          </w:rPr>
          <w:instrText xml:space="preserve"> PAGEREF _Toc_mm-tx-rna \h </w:instrText>
        </w:r>
        <w:r>
          <w:rPr>
            <w:webHidden/>
          </w:rPr>
          <w:fldChar w:fldCharType="separate"/>
        </w:r>
        <w:r>
          <w:rPr>
            <w:webHidden/>
          </w:rPr>
          <w:t>1</w:t>
        </w:r>
        <w:r>
          <w:rPr>
            <w:webHidden/>
          </w:rPr>
          <w:fldChar w:fldCharType="end"/>
        </w:r>
      </w:hyperlink>
    </w:p>
    <w:p>
      <w:pPr>
        <w:pStyle w:val="TOC3"/>
        <w:tabs>
          <w:tab w:pos="9360" w:val="right" w:leader="dot"/>
        </w:tabs>
      </w:pPr>
      <w:hyperlink w:anchor="_Toc_mm-tx-processing" w:history="1">
        <w:r>
          <w:rPr>
            <w:rStyle w:val="Hyperlink"/>
          </w:rPr>
          <w:t xml:space="preserve">Sequence Data Processing</w:t>
        </w:r>
        <w:r>
          <w:rPr>
            <w:webHidden/>
          </w:rPr>
          <w:tab/>
        </w:r>
        <w:r>
          <w:rPr>
            <w:webHidden/>
          </w:rPr>
          <w:fldChar w:fldCharType="begin"/>
        </w:r>
        <w:r>
          <w:rPr>
            <w:webHidden/>
          </w:rPr>
          <w:instrText xml:space="preserve"> PAGEREF _Toc_mm-tx-processing \h </w:instrText>
        </w:r>
        <w:r>
          <w:rPr>
            <w:webHidden/>
          </w:rPr>
          <w:fldChar w:fldCharType="separate"/>
        </w:r>
        <w:r>
          <w:rPr>
            <w:webHidden/>
          </w:rPr>
          <w:t>1</w:t>
        </w:r>
        <w:r>
          <w:rPr>
            <w:webHidden/>
          </w:rPr>
          <w:fldChar w:fldCharType="end"/>
        </w:r>
      </w:hyperlink>
    </w:p>
    <w:p>
      <w:pPr>
        <w:pStyle w:val="TOC3"/>
        <w:tabs>
          <w:tab w:pos="9360" w:val="right" w:leader="dot"/>
        </w:tabs>
      </w:pPr>
      <w:hyperlink w:anchor="_Toc_mm-tx-qc" w:history="1">
        <w:r>
          <w:rPr>
            <w:rStyle w:val="Hyperlink"/>
          </w:rPr>
          <w:t xml:space="preserve">Sequencing Quality Checks and Outlier Removal</w:t>
        </w:r>
        <w:r>
          <w:rPr>
            <w:webHidden/>
          </w:rPr>
          <w:tab/>
        </w:r>
        <w:r>
          <w:rPr>
            <w:webHidden/>
          </w:rPr>
          <w:fldChar w:fldCharType="begin"/>
        </w:r>
        <w:r>
          <w:rPr>
            <w:webHidden/>
          </w:rPr>
          <w:instrText xml:space="preserve"> PAGEREF _Toc_mm-tx-qc \h </w:instrText>
        </w:r>
        <w:r>
          <w:rPr>
            <w:webHidden/>
          </w:rPr>
          <w:fldChar w:fldCharType="separate"/>
        </w:r>
        <w:r>
          <w:rPr>
            <w:webHidden/>
          </w:rPr>
          <w:t>1</w:t>
        </w:r>
        <w:r>
          <w:rPr>
            <w:webHidden/>
          </w:rPr>
          <w:fldChar w:fldCharType="end"/>
        </w:r>
      </w:hyperlink>
    </w:p>
    <w:p>
      <w:pPr>
        <w:pStyle w:val="TOC3"/>
        <w:tabs>
          <w:tab w:pos="9360" w:val="right" w:leader="dot"/>
        </w:tabs>
      </w:pPr>
      <w:hyperlink w:anchor="_Toc_mm-tx-norm" w:history="1">
        <w:r>
          <w:rPr>
            <w:rStyle w:val="Hyperlink"/>
          </w:rPr>
          <w:t xml:space="preserve">Data Normalization</w:t>
        </w:r>
        <w:r>
          <w:rPr>
            <w:webHidden/>
          </w:rPr>
          <w:tab/>
        </w:r>
        <w:r>
          <w:rPr>
            <w:webHidden/>
          </w:rPr>
          <w:fldChar w:fldCharType="begin"/>
        </w:r>
        <w:r>
          <w:rPr>
            <w:webHidden/>
          </w:rPr>
          <w:instrText xml:space="preserve"> PAGEREF _Toc_mm-tx-norm \h </w:instrText>
        </w:r>
        <w:r>
          <w:rPr>
            <w:webHidden/>
          </w:rPr>
          <w:fldChar w:fldCharType="separate"/>
        </w:r>
        <w:r>
          <w:rPr>
            <w:webHidden/>
          </w:rPr>
          <w:t>1</w:t>
        </w:r>
        <w:r>
          <w:rPr>
            <w:webHidden/>
          </w:rPr>
          <w:fldChar w:fldCharType="end"/>
        </w:r>
      </w:hyperlink>
    </w:p>
    <w:p>
      <w:pPr>
        <w:pStyle w:val="TOC2"/>
        <w:tabs>
          <w:tab w:pos="9360" w:val="right" w:leader="dot"/>
        </w:tabs>
      </w:pPr>
      <w:hyperlink w:anchor="_Toc_mm-data-analysis" w:history="1">
        <w:r>
          <w:rPr>
            <w:rStyle w:val="Hyperlink"/>
          </w:rPr>
          <w:t xml:space="preserve">Data Analysis</w:t>
        </w:r>
        <w:r>
          <w:rPr>
            <w:webHidden/>
          </w:rPr>
          <w:tab/>
        </w:r>
        <w:r>
          <w:rPr>
            <w:webHidden/>
          </w:rPr>
          <w:fldChar w:fldCharType="begin"/>
        </w:r>
        <w:r>
          <w:rPr>
            <w:webHidden/>
          </w:rPr>
          <w:instrText xml:space="preserve"> PAGEREF _Toc_mm-data-analysis \h </w:instrText>
        </w:r>
        <w:r>
          <w:rPr>
            <w:webHidden/>
          </w:rPr>
          <w:fldChar w:fldCharType="separate"/>
        </w:r>
        <w:r>
          <w:rPr>
            <w:webHidden/>
          </w:rPr>
          <w:t>1</w:t>
        </w:r>
        <w:r>
          <w:rPr>
            <w:webHidden/>
          </w:rPr>
          <w:fldChar w:fldCharType="end"/>
        </w:r>
      </w:hyperlink>
    </w:p>
    <w:p>
      <w:pPr>
        <w:pStyle w:val="TOC3"/>
        <w:tabs>
          <w:tab w:pos="9360" w:val="right" w:leader="dot"/>
        </w:tabs>
      </w:pPr>
      <w:hyperlink w:anchor="_Toc_mm-stat-apical" w:history="1">
        <w:r>
          <w:rPr>
            <w:rStyle w:val="Hyperlink"/>
          </w:rPr>
          <w:t xml:space="preserve">Statistical Analysis of Body Weights, Organ Weights, and Clinical Pathology</w:t>
        </w:r>
        <w:r>
          <w:rPr>
            <w:webHidden/>
          </w:rPr>
          <w:tab/>
        </w:r>
        <w:r>
          <w:rPr>
            <w:webHidden/>
          </w:rPr>
          <w:fldChar w:fldCharType="begin"/>
        </w:r>
        <w:r>
          <w:rPr>
            <w:webHidden/>
          </w:rPr>
          <w:instrText xml:space="preserve"> PAGEREF _Toc_mm-stat-apical \h </w:instrText>
        </w:r>
        <w:r>
          <w:rPr>
            <w:webHidden/>
          </w:rPr>
          <w:fldChar w:fldCharType="separate"/>
        </w:r>
        <w:r>
          <w:rPr>
            <w:webHidden/>
          </w:rPr>
          <w:t>1</w:t>
        </w:r>
        <w:r>
          <w:rPr>
            <w:webHidden/>
          </w:rPr>
          <w:fldChar w:fldCharType="end"/>
        </w:r>
      </w:hyperlink>
    </w:p>
    <w:p>
      <w:pPr>
        <w:pStyle w:val="TOC3"/>
        <w:tabs>
          <w:tab w:pos="9360" w:val="right" w:leader="dot"/>
        </w:tabs>
      </w:pPr>
      <w:hyperlink w:anchor="_Toc_mm-bmd-apical" w:history="1">
        <w:r>
          <w:rPr>
            <w:rStyle w:val="Hyperlink"/>
          </w:rPr>
          <w:t xml:space="preserve">Benchmark Dose Analysis of Body Weights, Organ Weights, and Clinical Pathology</w:t>
        </w:r>
        <w:r>
          <w:rPr>
            <w:webHidden/>
          </w:rPr>
          <w:tab/>
        </w:r>
        <w:r>
          <w:rPr>
            <w:webHidden/>
          </w:rPr>
          <w:fldChar w:fldCharType="begin"/>
        </w:r>
        <w:r>
          <w:rPr>
            <w:webHidden/>
          </w:rPr>
          <w:instrText xml:space="preserve"> PAGEREF _Toc_mm-bmd-apical \h </w:instrText>
        </w:r>
        <w:r>
          <w:rPr>
            <w:webHidden/>
          </w:rPr>
          <w:fldChar w:fldCharType="separate"/>
        </w:r>
        <w:r>
          <w:rPr>
            <w:webHidden/>
          </w:rPr>
          <w:t>1</w:t>
        </w:r>
        <w:r>
          <w:rPr>
            <w:webHidden/>
          </w:rPr>
          <w:fldChar w:fldCharType="end"/>
        </w:r>
      </w:hyperlink>
    </w:p>
    <w:p>
      <w:pPr>
        <w:pStyle w:val="TOC3"/>
        <w:tabs>
          <w:tab w:pos="9360" w:val="right" w:leader="dot"/>
        </w:tabs>
      </w:pPr>
      <w:hyperlink w:anchor="_Toc_mm-bmd-tx" w:history="1">
        <w:r>
          <w:rPr>
            <w:rStyle w:val="Hyperlink"/>
          </w:rPr>
          <w:t xml:space="preserve">Benchmark Dose Analysis of Transcriptomics Data</w:t>
        </w:r>
        <w:r>
          <w:rPr>
            <w:webHidden/>
          </w:rPr>
          <w:tab/>
        </w:r>
        <w:r>
          <w:rPr>
            <w:webHidden/>
          </w:rPr>
          <w:fldChar w:fldCharType="begin"/>
        </w:r>
        <w:r>
          <w:rPr>
            <w:webHidden/>
          </w:rPr>
          <w:instrText xml:space="preserve"> PAGEREF _Toc_mm-bmd-tx \h </w:instrText>
        </w:r>
        <w:r>
          <w:rPr>
            <w:webHidden/>
          </w:rPr>
          <w:fldChar w:fldCharType="separate"/>
        </w:r>
        <w:r>
          <w:rPr>
            <w:webHidden/>
          </w:rPr>
          <w:t>1</w:t>
        </w:r>
        <w:r>
          <w:rPr>
            <w:webHidden/>
          </w:rPr>
          <w:fldChar w:fldCharType="end"/>
        </w:r>
      </w:hyperlink>
    </w:p>
    <w:p>
      <w:pPr>
        <w:pStyle w:val="TOC3"/>
        <w:tabs>
          <w:tab w:pos="9360" w:val="right" w:leader="dot"/>
        </w:tabs>
      </w:pPr>
      <w:hyperlink w:anchor="_Toc_mm-fdr" w:history="1">
        <w:r>
          <w:rPr>
            <w:rStyle w:val="Hyperlink"/>
          </w:rPr>
          <w:t xml:space="preserve">Empirical False Discovery Rate Determination for Genomic Dose-response Modeling</w:t>
        </w:r>
        <w:r>
          <w:rPr>
            <w:webHidden/>
          </w:rPr>
          <w:tab/>
        </w:r>
        <w:r>
          <w:rPr>
            <w:webHidden/>
          </w:rPr>
          <w:fldChar w:fldCharType="begin"/>
        </w:r>
        <w:r>
          <w:rPr>
            <w:webHidden/>
          </w:rPr>
          <w:instrText xml:space="preserve"> PAGEREF _Toc_mm-fdr \h </w:instrText>
        </w:r>
        <w:r>
          <w:rPr>
            <w:webHidden/>
          </w:rPr>
          <w:fldChar w:fldCharType="separate"/>
        </w:r>
        <w:r>
          <w:rPr>
            <w:webHidden/>
          </w:rPr>
          <w:t>1</w:t>
        </w:r>
        <w:r>
          <w:rPr>
            <w:webHidden/>
          </w:rPr>
          <w:fldChar w:fldCharType="end"/>
        </w:r>
      </w:hyperlink>
    </w:p>
    <w:p>
      <w:pPr>
        <w:pStyle w:val="TOC3"/>
        <w:tabs>
          <w:tab w:pos="9360" w:val="right" w:leader="dot"/>
        </w:tabs>
      </w:pPr>
      <w:hyperlink w:anchor="_Toc_mm-data-access" w:history="1">
        <w:r>
          <w:rPr>
            <w:rStyle w:val="Hyperlink"/>
          </w:rPr>
          <w:t xml:space="preserve">Data Accessibility</w:t>
        </w:r>
        <w:r>
          <w:rPr>
            <w:webHidden/>
          </w:rPr>
          <w:tab/>
        </w:r>
        <w:r>
          <w:rPr>
            <w:webHidden/>
          </w:rPr>
          <w:fldChar w:fldCharType="begin"/>
        </w:r>
        <w:r>
          <w:rPr>
            <w:webHidden/>
          </w:rPr>
          <w:instrText xml:space="preserve"> PAGEREF _Toc_mm-data-access \h </w:instrText>
        </w:r>
        <w:r>
          <w:rPr>
            <w:webHidden/>
          </w:rPr>
          <w:fldChar w:fldCharType="separate"/>
        </w:r>
        <w:r>
          <w:rPr>
            <w:webHidden/>
          </w:rPr>
          <w:t>1</w:t>
        </w:r>
        <w:r>
          <w:rPr>
            <w:webHidden/>
          </w:rPr>
          <w:fldChar w:fldCharType="end"/>
        </w:r>
      </w:hyperlink>
    </w:p>
    <w:p>
      <w:pPr>
        <w:pStyle w:val="TOC1"/>
        <w:tabs>
          <w:tab w:pos="9360" w:val="right" w:leader="dot"/>
        </w:tabs>
      </w:pPr>
      <w:hyperlink w:anchor="_Toc_results" w:history="1">
        <w:r>
          <w:rPr>
            <w:rStyle w:val="Hyperlink"/>
          </w:rPr>
          <w:t xml:space="preserve">Results</w:t>
        </w:r>
        <w:r>
          <w:rPr>
            <w:webHidden/>
          </w:rPr>
          <w:tab/>
        </w:r>
        <w:r>
          <w:rPr>
            <w:webHidden/>
          </w:rPr>
          <w:fldChar w:fldCharType="begin"/>
        </w:r>
        <w:r>
          <w:rPr>
            <w:webHidden/>
          </w:rPr>
          <w:instrText xml:space="preserve"> PAGEREF _Toc_results \h </w:instrText>
        </w:r>
        <w:r>
          <w:rPr>
            <w:webHidden/>
          </w:rPr>
          <w:fldChar w:fldCharType="separate"/>
        </w:r>
        <w:r>
          <w:rPr>
            <w:webHidden/>
          </w:rPr>
          <w:t>1</w:t>
        </w:r>
        <w:r>
          <w:rPr>
            <w:webHidden/>
          </w:rPr>
          <w:fldChar w:fldCharType="end"/>
        </w:r>
      </w:hyperlink>
    </w:p>
    <w:p>
      <w:pPr>
        <w:pStyle w:val="TOC2"/>
        <w:tabs>
          <w:tab w:pos="9360" w:val="right" w:leader="dot"/>
        </w:tabs>
      </w:pPr>
      <w:hyperlink w:anchor="_Toc_animal-condition" w:history="1">
        <w:r>
          <w:rPr>
            <w:rStyle w:val="Hyperlink"/>
          </w:rPr>
          <w:t xml:space="preserve">Animal Condition, Body Weights, and Organ Weights</w:t>
        </w:r>
        <w:r>
          <w:rPr>
            <w:webHidden/>
          </w:rPr>
          <w:tab/>
        </w:r>
        <w:r>
          <w:rPr>
            <w:webHidden/>
          </w:rPr>
          <w:fldChar w:fldCharType="begin"/>
        </w:r>
        <w:r>
          <w:rPr>
            <w:webHidden/>
          </w:rPr>
          <w:instrText xml:space="preserve"> PAGEREF _Toc_animal-condition \h </w:instrText>
        </w:r>
        <w:r>
          <w:rPr>
            <w:webHidden/>
          </w:rPr>
          <w:fldChar w:fldCharType="separate"/>
        </w:r>
        <w:r>
          <w:rPr>
            <w:webHidden/>
          </w:rPr>
          <w:t>1</w:t>
        </w:r>
        <w:r>
          <w:rPr>
            <w:webHidden/>
          </w:rPr>
          <w:fldChar w:fldCharType="end"/>
        </w:r>
      </w:hyperlink>
    </w:p>
    <w:p>
      <w:pPr>
        <w:pStyle w:val="TOC2"/>
        <w:tabs>
          <w:tab w:pos="9360" w:val="right" w:leader="dot"/>
        </w:tabs>
      </w:pPr>
      <w:hyperlink w:anchor="_Toc_clinical-path" w:history="1">
        <w:r>
          <w:rPr>
            <w:rStyle w:val="Hyperlink"/>
          </w:rPr>
          <w:t xml:space="preserve">Clinical Pathology</w:t>
        </w:r>
        <w:r>
          <w:rPr>
            <w:webHidden/>
          </w:rPr>
          <w:tab/>
        </w:r>
        <w:r>
          <w:rPr>
            <w:webHidden/>
          </w:rPr>
          <w:fldChar w:fldCharType="begin"/>
        </w:r>
        <w:r>
          <w:rPr>
            <w:webHidden/>
          </w:rPr>
          <w:instrText xml:space="preserve"> PAGEREF _Toc_clinical-path \h </w:instrText>
        </w:r>
        <w:r>
          <w:rPr>
            <w:webHidden/>
          </w:rPr>
          <w:fldChar w:fldCharType="separate"/>
        </w:r>
        <w:r>
          <w:rPr>
            <w:webHidden/>
          </w:rPr>
          <w:t>1</w:t>
        </w:r>
        <w:r>
          <w:rPr>
            <w:webHidden/>
          </w:rPr>
          <w:fldChar w:fldCharType="end"/>
        </w:r>
      </w:hyperlink>
    </w:p>
    <w:p>
      <w:pPr>
        <w:pStyle w:val="TOC2"/>
        <w:tabs>
          <w:tab w:pos="9360" w:val="right" w:leader="dot"/>
        </w:tabs>
      </w:pPr>
      <w:hyperlink w:anchor="_Toc_internal-dose" w:history="1">
        <w:r>
          <w:rPr>
            <w:rStyle w:val="Hyperlink"/>
          </w:rPr>
          <w:t xml:space="preserve">Internal Dose Assessment</w:t>
        </w:r>
        <w:r>
          <w:rPr>
            <w:webHidden/>
          </w:rPr>
          <w:tab/>
        </w:r>
        <w:r>
          <w:rPr>
            <w:webHidden/>
          </w:rPr>
          <w:fldChar w:fldCharType="begin"/>
        </w:r>
        <w:r>
          <w:rPr>
            <w:webHidden/>
          </w:rPr>
          <w:instrText xml:space="preserve"> PAGEREF _Toc_internal-dose \h </w:instrText>
        </w:r>
        <w:r>
          <w:rPr>
            <w:webHidden/>
          </w:rPr>
          <w:fldChar w:fldCharType="separate"/>
        </w:r>
        <w:r>
          <w:rPr>
            <w:webHidden/>
          </w:rPr>
          <w:t>1</w:t>
        </w:r>
        <w:r>
          <w:rPr>
            <w:webHidden/>
          </w:rPr>
          <w:fldChar w:fldCharType="end"/>
        </w:r>
      </w:hyperlink>
    </w:p>
    <w:p>
      <w:pPr>
        <w:pStyle w:val="TOC2"/>
        <w:tabs>
          <w:tab w:pos="9360" w:val="right" w:leader="dot"/>
        </w:tabs>
      </w:pPr>
      <w:hyperlink w:anchor="_Toc_bmd-summary" w:history="1">
        <w:r>
          <w:rPr>
            <w:rStyle w:val="Hyperlink"/>
          </w:rPr>
          <w:t xml:space="preserve">Apical Endpoint Benchmark Dose Summary</w:t>
        </w:r>
        <w:r>
          <w:rPr>
            <w:webHidden/>
          </w:rPr>
          <w:tab/>
        </w:r>
        <w:r>
          <w:rPr>
            <w:webHidden/>
          </w:rPr>
          <w:fldChar w:fldCharType="begin"/>
        </w:r>
        <w:r>
          <w:rPr>
            <w:webHidden/>
          </w:rPr>
          <w:instrText xml:space="preserve"> PAGEREF _Toc_bmd-summary \h </w:instrText>
        </w:r>
        <w:r>
          <w:rPr>
            <w:webHidden/>
          </w:rPr>
          <w:fldChar w:fldCharType="separate"/>
        </w:r>
        <w:r>
          <w:rPr>
            <w:webHidden/>
          </w:rPr>
          <w:t>1</w:t>
        </w:r>
        <w:r>
          <w:rPr>
            <w:webHidden/>
          </w:rPr>
          <w:fldChar w:fldCharType="end"/>
        </w:r>
      </w:hyperlink>
    </w:p>
    <w:p>
      <w:pPr>
        <w:pStyle w:val="TOC2"/>
        <w:tabs>
          <w:tab w:pos="9360" w:val="right" w:leader="dot"/>
        </w:tabs>
      </w:pPr>
      <w:hyperlink w:anchor="_Toc_gene-sets" w:history="1">
        <w:r>
          <w:rPr>
            <w:rStyle w:val="Hyperlink"/>
          </w:rPr>
          <w:t xml:space="preserve">Gene Set Benchmark Dose Analysis</w:t>
        </w:r>
        <w:r>
          <w:rPr>
            <w:webHidden/>
          </w:rPr>
          <w:tab/>
        </w:r>
        <w:r>
          <w:rPr>
            <w:webHidden/>
          </w:rPr>
          <w:fldChar w:fldCharType="begin"/>
        </w:r>
        <w:r>
          <w:rPr>
            <w:webHidden/>
          </w:rPr>
          <w:instrText xml:space="preserve"> PAGEREF _Toc_gene-sets \h </w:instrText>
        </w:r>
        <w:r>
          <w:rPr>
            <w:webHidden/>
          </w:rPr>
          <w:fldChar w:fldCharType="separate"/>
        </w:r>
        <w:r>
          <w:rPr>
            <w:webHidden/>
          </w:rPr>
          <w:t>1</w:t>
        </w:r>
        <w:r>
          <w:rPr>
            <w:webHidden/>
          </w:rPr>
          <w:fldChar w:fldCharType="end"/>
        </w:r>
      </w:hyperlink>
    </w:p>
    <w:p>
      <w:pPr>
        <w:pStyle w:val="TOC2"/>
        <w:tabs>
          <w:tab w:pos="9360" w:val="right" w:leader="dot"/>
        </w:tabs>
      </w:pPr>
      <w:hyperlink w:anchor="_Toc_gene-bmd" w:history="1">
        <w:r>
          <w:rPr>
            <w:rStyle w:val="Hyperlink"/>
          </w:rPr>
          <w:t xml:space="preserve">Gene Benchmark Dose Analysis</w:t>
        </w:r>
        <w:r>
          <w:rPr>
            <w:webHidden/>
          </w:rPr>
          <w:tab/>
        </w:r>
        <w:r>
          <w:rPr>
            <w:webHidden/>
          </w:rPr>
          <w:fldChar w:fldCharType="begin"/>
        </w:r>
        <w:r>
          <w:rPr>
            <w:webHidden/>
          </w:rPr>
          <w:instrText xml:space="preserve"> PAGEREF _Toc_gene-bmd \h </w:instrText>
        </w:r>
        <w:r>
          <w:rPr>
            <w:webHidden/>
          </w:rPr>
          <w:fldChar w:fldCharType="separate"/>
        </w:r>
        <w:r>
          <w:rPr>
            <w:webHidden/>
          </w:rPr>
          <w:t>1</w:t>
        </w:r>
        <w:r>
          <w:rPr>
            <w:webHidden/>
          </w:rPr>
          <w:fldChar w:fldCharType="end"/>
        </w:r>
      </w:hyperlink>
    </w:p>
    <w:p>
      <w:pPr>
        <w:pStyle w:val="TOC1"/>
        <w:tabs>
          <w:tab w:pos="9360" w:val="right" w:leader="dot"/>
        </w:tabs>
      </w:pPr>
      <w:hyperlink w:anchor="_Toc_summary" w:history="1">
        <w:r>
          <w:rPr>
            <w:rStyle w:val="Hyperlink"/>
          </w:rPr>
          <w:t xml:space="preserve">Summary</w:t>
        </w:r>
        <w:r>
          <w:rPr>
            <w:webHidden/>
          </w:rPr>
          <w:tab/>
        </w:r>
        <w:r>
          <w:rPr>
            <w:webHidden/>
          </w:rPr>
          <w:fldChar w:fldCharType="begin"/>
        </w:r>
        <w:r>
          <w:rPr>
            <w:webHidden/>
          </w:rPr>
          <w:instrText xml:space="preserve"> PAGEREF _Toc_summary \h </w:instrText>
        </w:r>
        <w:r>
          <w:rPr>
            <w:webHidden/>
          </w:rPr>
          <w:fldChar w:fldCharType="separate"/>
        </w:r>
        <w:r>
          <w:rPr>
            <w:webHidden/>
          </w:rPr>
          <w:t>1</w:t>
        </w:r>
        <w:r>
          <w:rPr>
            <w:webHidden/>
          </w:rPr>
          <w:fldChar w:fldCharType="end"/>
        </w:r>
      </w:hyperlink>
    </w:p>
    <w:p>
      <w:pPr>
        <w:pStyle w:val="TOC1"/>
        <w:tabs>
          <w:tab w:pos="9360" w:val="right" w:leader="dot"/>
        </w:tabs>
      </w:pPr>
      <w:hyperlink w:anchor="_Toc_references" w:history="1">
        <w:r>
          <w:rPr>
            <w:rStyle w:val="Hyperlink"/>
          </w:rPr>
          <w:t xml:space="preserve">References</w:t>
        </w:r>
        <w:r>
          <w:rPr>
            <w:webHidden/>
          </w:rPr>
          <w:tab/>
        </w:r>
        <w:r>
          <w:rPr>
            <w:webHidden/>
          </w:rPr>
          <w:fldChar w:fldCharType="begin"/>
        </w:r>
        <w:r>
          <w:rPr>
            <w:webHidden/>
          </w:rPr>
          <w:instrText xml:space="preserve"> PAGEREF _Toc_references \h </w:instrText>
        </w:r>
        <w:r>
          <w:rPr>
            <w:webHidden/>
          </w:rPr>
          <w:fldChar w:fldCharType="separate"/>
        </w:r>
        <w:r>
          <w:rPr>
            <w:webHidden/>
          </w:rPr>
          <w:t>1</w:t>
        </w:r>
        <w:r>
          <w:rPr>
            <w:webHidden/>
          </w:rPr>
          <w:fldChar w:fldCharType="end"/>
        </w:r>
      </w:hyperlink>
    </w:p>
    <w:p>
      <w:pPr>
        <w:pStyle w:val="TOC1"/>
        <w:tabs>
          <w:tab w:pos="9360" w:val="right" w:leader="dot"/>
        </w:tabs>
      </w:pPr>
      <w:hyperlink w:anchor="_Toc_appendix-a" w:history="1">
        <w:r>
          <w:rPr>
            <w:rStyle w:val="Hyperlink"/>
          </w:rPr>
          <w:t xml:space="preserve">Appendix A. Internal Dose Assessment</w:t>
        </w:r>
        <w:r>
          <w:rPr>
            <w:webHidden/>
          </w:rPr>
          <w:tab/>
        </w:r>
        <w:r>
          <w:rPr>
            <w:webHidden/>
          </w:rPr>
          <w:fldChar w:fldCharType="begin"/>
        </w:r>
        <w:r>
          <w:rPr>
            <w:webHidden/>
          </w:rPr>
          <w:instrText xml:space="preserve"> PAGEREF _Toc_appendix-a \h </w:instrText>
        </w:r>
        <w:r>
          <w:rPr>
            <w:webHidden/>
          </w:rPr>
          <w:fldChar w:fldCharType="separate"/>
        </w:r>
        <w:r>
          <w:rPr>
            <w:webHidden/>
          </w:rPr>
          <w:t>1</w:t>
        </w:r>
        <w:r>
          <w:rPr>
            <w:webHidden/>
          </w:rPr>
          <w:fldChar w:fldCharType="end"/>
        </w:r>
      </w:hyperlink>
    </w:p>
    <w:p>
      <w:pPr>
        <w:pStyle w:val="TOC1"/>
        <w:tabs>
          <w:tab w:pos="9360" w:val="right" w:leader="dot"/>
        </w:tabs>
      </w:pPr>
      <w:hyperlink w:anchor="_Toc_appendix-b" w:history="1">
        <w:r>
          <w:rPr>
            <w:rStyle w:val="Hyperlink"/>
          </w:rPr>
          <w:t xml:space="preserve">Appendix B. Animal Identifiers</w:t>
        </w:r>
        <w:r>
          <w:rPr>
            <w:webHidden/>
          </w:rPr>
          <w:tab/>
        </w:r>
        <w:r>
          <w:rPr>
            <w:webHidden/>
          </w:rPr>
          <w:fldChar w:fldCharType="begin"/>
        </w:r>
        <w:r>
          <w:rPr>
            <w:webHidden/>
          </w:rPr>
          <w:instrText xml:space="preserve"> PAGEREF _Toc_appendix-b \h </w:instrText>
        </w:r>
        <w:r>
          <w:rPr>
            <w:webHidden/>
          </w:rPr>
          <w:fldChar w:fldCharType="separate"/>
        </w:r>
        <w:r>
          <w:rPr>
            <w:webHidden/>
          </w:rPr>
          <w:t>1</w:t>
        </w:r>
        <w:r>
          <w:rPr>
            <w:webHidden/>
          </w:rPr>
          <w:fldChar w:fldCharType="end"/>
        </w:r>
      </w:hyperlink>
    </w:p>
    <w:p>
      <w:pPr>
        <w:pStyle w:val="TOC1"/>
        <w:tabs>
          <w:tab w:pos="9360" w:val="right" w:leader="dot"/>
        </w:tabs>
      </w:pPr>
      <w:hyperlink w:anchor="_Toc_appendix-c" w:history="1">
        <w:r>
          <w:rPr>
            <w:rStyle w:val="Hyperlink"/>
          </w:rPr>
          <w:t xml:space="preserve">Appendix C. Transcriptomic Quality Control and Empirical False Discovery Rate</w:t>
        </w:r>
        <w:r>
          <w:rPr>
            <w:webHidden/>
          </w:rPr>
          <w:tab/>
        </w:r>
        <w:r>
          <w:rPr>
            <w:webHidden/>
          </w:rPr>
          <w:fldChar w:fldCharType="begin"/>
        </w:r>
        <w:r>
          <w:rPr>
            <w:webHidden/>
          </w:rPr>
          <w:instrText xml:space="preserve"> PAGEREF _Toc_appendix-c \h </w:instrText>
        </w:r>
        <w:r>
          <w:rPr>
            <w:webHidden/>
          </w:rPr>
          <w:fldChar w:fldCharType="separate"/>
        </w:r>
        <w:r>
          <w:rPr>
            <w:webHidden/>
          </w:rPr>
          <w:t>1</w:t>
        </w:r>
        <w:r>
          <w:rPr>
            <w:webHidden/>
          </w:rPr>
          <w:fldChar w:fldCharType="end"/>
        </w:r>
      </w:hyperlink>
    </w:p>
    <w:p>
      <w:pPr>
        <w:pStyle w:val="TOC1"/>
        <w:tabs>
          <w:tab w:pos="9360" w:val="right" w:leader="dot"/>
        </w:tabs>
      </w:pPr>
      <w:hyperlink w:anchor="_Toc_appendix-d" w:history="1">
        <w:r>
          <w:rPr>
            <w:rStyle w:val="Hyperlink"/>
          </w:rPr>
          <w:t xml:space="preserve">Appendix D. Benchmark Dose Model Recommendation and Selection Methodologies</w:t>
        </w:r>
        <w:r>
          <w:rPr>
            <w:webHidden/>
          </w:rPr>
          <w:tab/>
        </w:r>
        <w:r>
          <w:rPr>
            <w:webHidden/>
          </w:rPr>
          <w:fldChar w:fldCharType="begin"/>
        </w:r>
        <w:r>
          <w:rPr>
            <w:webHidden/>
          </w:rPr>
          <w:instrText xml:space="preserve"> PAGEREF _Toc_appendix-d \h </w:instrText>
        </w:r>
        <w:r>
          <w:rPr>
            <w:webHidden/>
          </w:rPr>
          <w:fldChar w:fldCharType="separate"/>
        </w:r>
        <w:r>
          <w:rPr>
            <w:webHidden/>
          </w:rPr>
          <w:t>1</w:t>
        </w:r>
        <w:r>
          <w:rPr>
            <w:webHidden/>
          </w:rPr>
          <w:fldChar w:fldCharType="end"/>
        </w:r>
      </w:hyperlink>
    </w:p>
    <w:p>
      <w:pPr>
        <w:pStyle w:val="TOC1"/>
        <w:tabs>
          <w:tab w:pos="9360" w:val="right" w:leader="dot"/>
        </w:tabs>
      </w:pPr>
      <w:hyperlink w:anchor="_Toc_appendix-e" w:history="1">
        <w:r>
          <w:rPr>
            <w:rStyle w:val="Hyperlink"/>
          </w:rPr>
          <w:t xml:space="preserve">Appendix E. Organ Weight Descriptions</w:t>
        </w:r>
        <w:r>
          <w:rPr>
            <w:webHidden/>
          </w:rPr>
          <w:tab/>
        </w:r>
        <w:r>
          <w:rPr>
            <w:webHidden/>
          </w:rPr>
          <w:fldChar w:fldCharType="begin"/>
        </w:r>
        <w:r>
          <w:rPr>
            <w:webHidden/>
          </w:rPr>
          <w:instrText xml:space="preserve"> PAGEREF _Toc_appendix-e \h </w:instrText>
        </w:r>
        <w:r>
          <w:rPr>
            <w:webHidden/>
          </w:rPr>
          <w:fldChar w:fldCharType="separate"/>
        </w:r>
        <w:r>
          <w:rPr>
            <w:webHidden/>
          </w:rPr>
          <w:t>1</w:t>
        </w:r>
        <w:r>
          <w:rPr>
            <w:webHidden/>
          </w:rPr>
          <w:fldChar w:fldCharType="end"/>
        </w:r>
      </w:hyperlink>
    </w:p>
    <w:p>
      <w:pPr>
        <w:pStyle w:val="TOC1"/>
        <w:tabs>
          <w:tab w:pos="9360" w:val="right" w:leader="dot"/>
        </w:tabs>
      </w:pPr>
      <w:hyperlink w:anchor="_Toc_appendix-f" w:history="1">
        <w:r>
          <w:rPr>
            <w:rStyle w:val="Hyperlink"/>
          </w:rPr>
          <w:t xml:space="preserve">Appendix F. Supplemental Data</w:t>
        </w:r>
        <w:r>
          <w:rPr>
            <w:webHidden/>
          </w:rPr>
          <w:tab/>
        </w:r>
        <w:r>
          <w:rPr>
            <w:webHidden/>
          </w:rPr>
          <w:fldChar w:fldCharType="begin"/>
        </w:r>
        <w:r>
          <w:rPr>
            <w:webHidden/>
          </w:rPr>
          <w:instrText xml:space="preserve"> PAGEREF _Toc_appendix-f \h </w:instrText>
        </w:r>
        <w:r>
          <w:rPr>
            <w:webHidden/>
          </w:rPr>
          <w:fldChar w:fldCharType="separate"/>
        </w:r>
        <w:r>
          <w:rPr>
            <w:webHidden/>
          </w:rPr>
          <w:t>1</w:t>
        </w:r>
        <w:r>
          <w:rPr>
            <w:webHidden/>
          </w:rPr>
          <w:fldChar w:fldCharType="end"/>
        </w:r>
      </w:hyperlink>
    </w:p>
    <w:p>
      <w:r/>
      <w:r>
        <w:fldChar w:fldCharType="end"/>
      </w:r>
    </w:p>
    <w:p>
      <w:pPr>
        <w:pStyle w:val="3-02aHead1NoNumber"/>
        <w:spacing w:after="240"/>
        <w:jc w:val="center"/>
      </w:pPr>
      <w:r>
        <w:rPr>
          <w:rFonts w:ascii="Arial" w:hAnsi="Arial"/>
          <w:b/>
          <w:color w:val="000000"/>
          <w:sz w:val="32"/>
        </w:rPr>
        <w:t>Tables</w:t>
      </w:r>
    </w:p>
    <w:p>
      <w:pPr>
        <w:pStyle w:val="TableofFigures"/>
      </w:pPr>
      <w:r>
        <w:fldChar w:fldCharType="begin"/>
        <w:instrText xml:space="preserve">TOC \h \z \t "0-25_Table_Title" \c</w:instrText>
        <w:fldChar w:fldCharType="separate"/>
      </w:r>
      <w:r>
        <w:t>Table 1. Final Sample Counts for Benchmark Dose Analysis of the Transcriptomics Data</w:t>
      </w:r>
      <w:r>
        <w:tab/>
      </w:r>
      <w:r>
        <w:t>—</w:t>
      </w:r>
    </w:p>
    <w:p>
      <w:pPr>
        <w:pStyle w:val="TableofFigures"/>
      </w:pPr>
      <w:r>
        <w:t>Table 2. Summary of Body Weights of Male and Female Rats Administered Perfluorohexanesulfonamide for Five Days</w:t>
      </w:r>
      <w:r>
        <w:tab/>
      </w:r>
      <w:r>
        <w:t>—</w:t>
      </w:r>
    </w:p>
    <w:p>
      <w:pPr>
        <w:pStyle w:val="TableofFigures"/>
      </w:pPr>
      <w:r>
        <w:t>Table 3. Summary of Liver Weights of Male Rats Administered Perfluorohexanesulfonamide for Five Days</w:t>
      </w:r>
      <w:r>
        <w:tab/>
      </w:r>
      <w:r>
        <w:t>—</w:t>
      </w:r>
    </w:p>
    <w:p>
      <w:pPr>
        <w:pStyle w:val="TableofFigures"/>
      </w:pPr>
      <w:r>
        <w:t>Table 4. Summary of Select Clinical Chemistry Data for Male and Female Rats Administered Perfluorohexanesulfonamide for Five Days</w:t>
      </w:r>
      <w:r>
        <w:tab/>
      </w:r>
      <w:r>
        <w:t>—</w:t>
      </w:r>
    </w:p>
    <w:p>
      <w:pPr>
        <w:pStyle w:val="TableofFigures"/>
      </w:pPr>
      <w:r>
        <w:t>Table 5. Summary of Select Hematology Data for Male and Female Rats Administered Perfluorohexanesulfonamide for Five Days</w:t>
      </w:r>
      <w:r>
        <w:tab/>
      </w:r>
      <w:r>
        <w:t>—</w:t>
      </w:r>
    </w:p>
    <w:p>
      <w:pPr>
        <w:pStyle w:val="TableofFigures"/>
      </w:pPr>
      <w:r>
        <w:t>Table 6. Summary of Select Hormone Data for Male and Female Rats Administered Perfluorohexanesulfonamide for Five Days</w:t>
      </w:r>
      <w:r>
        <w:tab/>
      </w:r>
      <w:r>
        <w:t>—</w:t>
      </w:r>
    </w:p>
    <w:p>
      <w:pPr>
        <w:pStyle w:val="TableofFigures"/>
      </w:pPr>
      <w:r>
        <w:t>Table 7. Summary of Plasma Concentration Data for Male and Female Rats Administered Perfluorohexanesulfonamide for Five Days</w:t>
      </w:r>
      <w:r>
        <w:tab/>
      </w:r>
      <w:r>
        <w:t>—</w:t>
      </w:r>
    </w:p>
    <w:p>
      <w:pPr>
        <w:pStyle w:val="TableofFigures"/>
      </w:pPr>
      <w:r>
        <w:t>Table 8. BMD, BMDL, LOEL, and NOEL Summary for Apical Endpoints, Sorted by BMD or LOEL from Low to High</w:t>
      </w:r>
      <w:r>
        <w:tab/>
      </w:r>
      <w:r>
        <w:t>—</w:t>
      </w:r>
    </w:p>
    <w:p>
      <w:pPr>
        <w:pStyle w:val="TableofFigures"/>
      </w:pPr>
      <w:r>
        <w:t>Table 9. Top 10 Liver Gene Ontology Biological Process Gene Sets Ranked by Potency of Perturbation, Sorted by Benchmark Dose Median</w:t>
      </w:r>
      <w:r>
        <w:tab/>
      </w:r>
      <w:r>
        <w:t>—</w:t>
      </w:r>
    </w:p>
    <w:p>
      <w:pPr>
        <w:pStyle w:val="TableofFigures"/>
      </w:pPr>
      <w:r>
        <w:t>Table 10. Top 10 Kidney Gene Ontology Biological Process Gene Sets Ranked by Potency of Perturbation, Sorted by Benchmark Dose Median</w:t>
      </w:r>
      <w:r>
        <w:tab/>
      </w:r>
      <w:r>
        <w:t>—</w:t>
      </w:r>
    </w:p>
    <w:p>
      <w:pPr>
        <w:pStyle w:val="TableofFigures"/>
      </w:pPr>
      <w:r>
        <w:t>Table 11. Top 10 Liver Genes Ranked by Potency of Perturbation, Sorted by Benchmark Dose Median</w:t>
      </w:r>
      <w:r>
        <w:tab/>
      </w:r>
      <w:r>
        <w:t>—</w:t>
      </w:r>
    </w:p>
    <w:p>
      <w:pPr>
        <w:pStyle w:val="TableofFigures"/>
      </w:pPr>
      <w:r>
        <w:t>Table 12. Top 10 Kidney Genes Ranked by Potency of Perturbation, Sorted by Benchmark Dose Median</w:t>
      </w:r>
      <w:r>
        <w:tab/>
      </w:r>
      <w:r>
        <w:t>—</w:t>
      </w:r>
    </w:p>
    <w:p>
      <w:r/>
      <w:r>
        <w:fldChar w:fldCharType="end"/>
      </w:r>
    </w:p>
    <w:p>
      <w:pPr>
        <w:pStyle w:val="1-23aAboutThisReportHead"/>
        <w:pageBreakBefore/>
      </w:pPr>
      <w:bookmarkStart w:id="1" w:name="_Toc_about"/>
      <w:r>
        <w:t>About This Report</w:t>
      </w:r>
      <w:bookmarkEnd w:id="1"/>
    </w:p>
    <w:p>
      <w:r>
        <w:rPr>
          <w:i/>
        </w:rPr>
        <w:t>[Section pending: About This Report]</w:t>
      </w:r>
    </w:p>
    <w:p>
      <w:pPr>
        <w:pStyle w:val="1-14hPeerReviewDescHead"/>
        <w:pageBreakBefore/>
      </w:pPr>
      <w:bookmarkStart w:id="2" w:name="_Toc_peer-review"/>
      <w:r>
        <w:t>Peer Review</w:t>
      </w:r>
      <w:bookmarkEnd w:id="2"/>
    </w:p>
    <w:p>
      <w:pPr>
        <w:pStyle w:val="1-14iPeerReviewDescText"/>
      </w:pPr>
      <w:r>
        <w:t>This report was modeled after the NTP Research Report on In Vivo Repeat Dose Biological Potency Study of Triphenyl Phosphate (CAS No. 115-86-6) in Male Sprague Dawley (Hsd:Sprague Dawley® SD®) Rats (Gavage Studies) (https://doi.org/10.22427/NTP-RR-8), which was reviewed internally at the National Institute of Environmental Health Sciences and peer reviewed by external experts. Importantly, these reports employ mathematical model-based approaches to identify and report potency of dose-responsive effects and do not attempt more subjective interpretation (i.e., make calls or reach conclusions on hazard). The peer reviewers of the initial 5-day research report determined that the study design, analysis methods, and results presentation were appropriate. The study design, analysis methods, and results presentation employed for this study are identical to those previously reviewed, approved, and reported; therefore, following internal review, the NIEHS Report on the In Vivo Repeat Dose Biological Potency Study of Perfluorohexanesulfonamide in Sprague Dawley Rats was not subjected to further external peer review.</w:t>
      </w:r>
    </w:p>
    <w:p>
      <w:pPr>
        <w:pStyle w:val="1-23FrontMatterHead1"/>
        <w:pageBreakBefore/>
      </w:pPr>
      <w:bookmarkStart w:id="3" w:name="_Toc_publication"/>
      <w:r>
        <w:t>Publication Details</w:t>
      </w:r>
      <w:bookmarkEnd w:id="3"/>
    </w:p>
    <w:p>
      <w:pPr>
        <w:pStyle w:val="1-25FrontMatterPara"/>
      </w:pPr>
      <w:r>
        <w:t>Publisher: National Institute of Environmental Health Sciences</w:t>
      </w:r>
    </w:p>
    <w:p>
      <w:pPr>
        <w:pStyle w:val="1-25FrontMatterPara"/>
      </w:pPr>
      <w:r>
        <w:t>Publishing Location: Research Triangle Park, NC</w:t>
      </w:r>
    </w:p>
    <w:p>
      <w:pPr>
        <w:pStyle w:val="1-25FrontMatterPara"/>
      </w:pPr>
      <w:r>
        <w:t>ISSN: 2768-5632</w:t>
      </w:r>
    </w:p>
    <w:p>
      <w:pPr>
        <w:pStyle w:val="1-25FrontMatterPara"/>
      </w:pPr>
      <w:r>
        <w:t>DOI: to be assigned upon publication</w:t>
      </w:r>
    </w:p>
    <w:p>
      <w:pPr>
        <w:pStyle w:val="1-25FrontMatterPara"/>
      </w:pPr>
      <w:r>
        <w:t>Report Series: NIEHS Report Series</w:t>
      </w:r>
    </w:p>
    <w:p>
      <w:pPr>
        <w:pStyle w:val="1-25FrontMatterPara"/>
      </w:pPr>
      <w:r>
        <w:t>Report Series Number: to be assigned upon publication</w:t>
      </w:r>
    </w:p>
    <w:p>
      <w:pPr>
        <w:pStyle w:val="4-10aAcknowledgementHeadFront"/>
      </w:pPr>
      <w:bookmarkStart w:id="4" w:name="_Toc_acknowledgments"/>
      <w:r>
        <w:t>Acknowledgments</w:t>
      </w:r>
      <w:bookmarkEnd w:id="4"/>
    </w:p>
    <w:p>
      <w:pPr>
        <w:pStyle w:val="4-11Acknowledgement"/>
      </w:pPr>
      <w:r>
        <w:t>This work was supported by the Intramural Research Program at the National Institute of Environmental Health Sciences (NIEHS), National Institutes of Health and performed for NIEHS under contract.</w:t>
      </w:r>
    </w:p>
    <w:p>
      <w:pPr>
        <w:pStyle w:val="1-15AbstractHead"/>
        <w:pageBreakBefore/>
      </w:pPr>
      <w:bookmarkStart w:id="5" w:name="_Toc_abstract"/>
      <w:r>
        <w:t>Abstract</w:t>
      </w:r>
      <w:bookmarkEnd w:id="5"/>
    </w:p>
    <w:p>
      <w:r>
        <w:rPr>
          <w:b/>
        </w:rPr>
        <w:t xml:space="preserve">Background. </w:t>
      </w:r>
      <w:r>
        <w:t>Perfluorohexanesulfonamide (PFHSA) is a member of the per- and polyfluoroalkyl substances (PFAS) chemical class of compounds to which occupational exposure is anticipated primarily among workers in metal surface treatment and coating operations, chrome electroplating facilities, and fire suppression system manufacturing or deployment, with additional environmental contamination pathways from industrial wastewater discharges and aqueous film-forming foam applications. Toxicological information on this compound is sparse, with no completed ATSDR Toxicological Profile, no established OSHA permissible exposure limit, NIOSH recommended exposure limit, EPA oral reference dose, inhalation reference concentration, or cancer weight-of-evidence classification available, and no subchronic, chronic, or carcinogenicity data identified in the regulatory literature.</w:t>
      </w:r>
    </w:p>
    <w:p>
      <w:r>
        <w:rPr>
          <w:b/>
        </w:rPr>
        <w:t xml:space="preserve">Results. </w:t>
      </w:r>
      <w:r>
        <w:t>Several clinical pathology and organ weight measurements showed dose-related changes from which BMD values were calculated. In male rats, the effects included significantly decreased total thyroxine concentration, increased absolute liver weight weight, and decreased cholesterol. The BMDs and benchmark dose lower confidence limits (BMDLs) were 8.54 (3.59), 20.5 (3.04), and 101 (61.4), respectively. In female rats, the effects included significantly decreased total thyroxine concentration, decreased sorbitol dehydrogenase, and decreased aspartate aminotransferase. The BMDs and benchmark dose lower confidence limits (BMDLs) were 14.8 (6.76), 126 (69.8), and 193 (127), respectively.</w:t>
      </w:r>
    </w:p>
    <w:p>
      <w:r>
        <w:rPr>
          <w:b/>
        </w:rPr>
        <w:t xml:space="preserve">Summary. </w:t>
      </w:r>
      <w:r>
        <w:t>Taken together, in male rats, the most sensitive gene set BMD (BMDL) median, individual gene BMD (BMDL), and apical endpoint BMD (BMDL) values that could be reliably determined occurred at 3.838 (2.773), 0.059 (0.012), and 8.54 (3.59) mg/kg, respectively. In female rats, the most sensitive gene set BMD (BMDL) median, individual gene BMD (BMDL), and apical endpoint BMD (BMDL) values that could be reliably determined occurred at 2.428 (0.543), 0.391 (0.058), and 14.8 (6.76) mg/kg, respectively.</w:t>
      </w:r>
    </w:p>
    <w:p>
      <w:pPr>
        <w:sectPr>
          <w:headerReference w:type="default" r:id="rId73"/>
          <w:footerReference w:type="default" r:id="rId74"/>
          <w:pgSz w:w="12240" w:h="15840"/>
          <w:pgMar w:top="1440" w:right="1440" w:bottom="1440" w:left="1440" w:header="720" w:footer="720" w:gutter="0"/>
          <w:pgNumType w:start="1" w:fmt="lowerRoman"/>
          <w:cols w:space="720"/>
          <w:titlePg/>
          <w:docGrid w:linePitch="360"/>
        </w:sectPr>
      </w:pPr>
    </w:p>
    <w:p>
      <w:pPr>
        <w:pStyle w:val="3-02aHead1NoNumber"/>
        <w:jc w:val="both"/>
      </w:pPr>
      <w:bookmarkStart w:id="6" w:name="_Toc_background"/>
      <w:r>
        <w:rPr>
          <w:rFonts w:ascii="Times New Roman" w:hAnsi="Times New Roman"/>
        </w:rPr>
        <w:t>Background</w:t>
      </w:r>
      <w:bookmarkEnd w:id="6"/>
    </w:p>
    <w:p>
      <w:pPr>
        <w:pStyle w:val="0-03Paragraph"/>
        <w:jc w:val="both"/>
      </w:pPr>
      <w:r>
        <w:rPr>
          <w:rFonts w:ascii="Times New Roman" w:hAnsi="Times New Roman"/>
        </w:rPr>
        <w:t>Perfluorohexanesulfonamide (CASRN: 41997-13-1; DTXSID: DTXSID50469320; PubChem CID: 11603678; EC Number: 816-398-1; IUPAC name: 1,1,2,2,3,3,4,4,5,5,6,6,6-tridecafluorohexane-1-sulfonamide) is a perfluoroalkylsulfonamide belonging to the per- and polyfluoroalkyl substances (PFAS) chemical class, specifically categorized within the perfluoroalkylsulfonamide (FASA) subgroup [1]. As a six-carbon (C6) perfluorinated sulfonamide, the compound is characterized by a fully fluorinated hexyl chain attached to a sulfonamide functional group. Perfluorohexanesulfonamide is used industrially as a coating agent applied to glass and steel surfaces and as an antifogging agent in metal plating operations, including chrome plating processes [2]. The compound is also employed in the formulation of aqueous film-forming foams (AFFF) used in foam fire extinguishing systems [2]. Within the EPA CPDat functional use framework, perfluorohexanesulfonamide is classified as a non-polymer PFAS associated with the manufacture of metal products (treatment and coating of metals), fire-fighting foam applications, and electroplating operations [1]. Occupational exposure is anticipated primarily among workers engaged in metal surface treatment and coating operations, chrome electroplating facilities, and fire suppression system manufacturing or deployment, where inhalation of aerosols or vapors and dermal contact with process solutions represent plausible exposure pathways. Environmental contamination pathways may include releases from industrial wastewater discharges at metal finishing and electroplating facilities and from AFFF application at fire training sites, though specific environmental fate and transport data for this compound are not available in the sources consulted. Consumer product presence and general population residential exposure scenarios have not been characterized in the available literature.</w:t>
      </w:r>
    </w:p>
    <w:p>
      <w:pPr>
        <w:pStyle w:val="0-03Paragraph"/>
        <w:jc w:val="both"/>
      </w:pPr>
      <w:r>
        <w:rPr>
          <w:rFonts w:ascii="Times New Roman" w:hAnsi="Times New Roman"/>
        </w:rPr>
        <w:t>No Occupational Safety and Health Administration (OSHA) permissible exposure limit (PEL) has been established for perfluorohexanesulfonamide [3]. Similarly, the National Institute for Occupational Safety and Health (NIOSH) has not published a recommended exposure limit (REL) for this compound [3]. The American Conference of Governmental Industrial Hygienists (ACGIH) threshold limit value (TLV) documentation for perfluorohexanesulfonamide is noted as existing but is available only through subscription access and could not be retrieved for this assessment [1]. The U.S. Environmental Protection Agency (EPA) has not established a maximum contaminant level (MCL) or maximum contaminant level goal (MCLG) under the Safe Drinking Water Act for perfluorohexanesulfonamide as an individual compound [3]. The EPA Integrated Risk Information System (IRIS) does not currently contain a completed assessment for perfluorohexanesulfonamide, and accordingly no oral reference dose (RfD), inhalation reference concentration (RfC), or cancer weight-of-evidence classification has been formally derived by IRIS for this substance [3]. The absence of these regulatory benchmarks substantially limits the ability to conduct quantitative risk assessments for occupational or environmental exposures to this compound.</w:t>
      </w:r>
    </w:p>
    <w:p>
      <w:pPr>
        <w:pStyle w:val="0-03Paragraph"/>
        <w:jc w:val="both"/>
      </w:pPr>
      <w:r>
        <w:rPr>
          <w:rFonts w:ascii="Times New Roman" w:hAnsi="Times New Roman"/>
        </w:rPr>
        <w:t>The routes of human exposure to perfluorohexanesulfonamide include inhalation of aerosols or vapors generated during industrial coating, plating, and fire suppression operations, as well as dermal contact with process solutions and potential incidental oral ingestion [2]. Detailed absorption, distribution, metabolism, and excretion (ADME) data specific to perfluorohexanesulfonamide are not fully characterized in the publicly available literature; however, the Agency for Toxic Substances and Disease Registry (ATSDR) has initiated a toxicological profile process for this compound [2]. By structural analogy with other perfluoroalkylsulfonamide compounds, pulmonary absorption following inhalation exposure and gastrointestinal absorption following oral exposure are anticipated, consistent with the physicochemical properties of the perfluoroalkyl chain. Distribution to protein-rich tissues, including the liver, kidney, and serum, is expected based on the known behavior of structurally related PFAS compounds, which exhibit high affinity for albumin and fatty acid binding proteins. Metabolic transformation of the sulfonamide moiety may yield perfluorohexanesulfonic acid (PFHxS) and related metabolites, consistent with biotransformation pathways documented for analogous perfluoroalkylsulfonamide precursors [2]. Excretion routes and biological half-lives specific to perfluorohexanesulfonamide have not been quantitatively established in the available literature, representing a significant gap in the ADME characterization of this compound [2].</w:t>
      </w:r>
    </w:p>
    <w:p>
      <w:pPr>
        <w:pStyle w:val="0-03Paragraph"/>
        <w:jc w:val="both"/>
      </w:pPr>
      <w:r>
        <w:rPr>
          <w:rFonts w:ascii="Times New Roman" w:hAnsi="Times New Roman"/>
        </w:rPr>
        <w:t>Toxicological data specific to perfluorohexanesulfonamide are limited in the publicly available literature. No completed ATSDR Toxicological Profile providing a systematic review of acute, subchronic, or chronic health effects was retrievable for this compound at the time of this writing [2]. Based on the structural class, acute effects associated with PFAS compounds of this type may include hepatotoxicity and perturbation of lipid metabolism, though specific acute lethality data (e.g., LD50 or LC50 values) for perfluorohexanesulfonamide were not identified in the sources consulted. Subchronic and chronic toxicity data, including no-observed-adverse-effect levels (NOAELs) or lowest-observed-adverse-effect levels (LOAELs) from repeated-dose animal studies, are not available in the current regulatory literature for this compound [3]. Carcinogenicity has not been classified by the EPA, the International Agency for Research on Cancer (IARC), or the National Toxicology Program (NTP) for perfluorohexanesulfonamide specifically [3]. The absence of subchronic, chronic, and carcinogenicity data represents a substantial gap in the hazard identification database for this compound.</w:t>
      </w:r>
    </w:p>
    <w:p>
      <w:pPr>
        <w:pStyle w:val="0-03Paragraph"/>
        <w:jc w:val="both"/>
      </w:pPr>
      <w:r>
        <w:rPr>
          <w:rFonts w:ascii="Times New Roman" w:hAnsi="Times New Roman"/>
        </w:rPr>
        <w:t>The mechanism of toxicity of perfluorohexanesulfonamide has not been fully elucidated; however, based on its structural classification as a perfluoroalkylsulfonamide PFAS, several molecular mechanisms have been proposed by analogy with related compounds [2]. Perfluoroalkyl compounds in this class are known to interact with nuclear receptors, including peroxisome proliferator-activated receptors (PPARα and PPARγ), which regulate lipid metabolism, fatty acid oxidation, and inflammatory signaling pathways [2]. Activation or perturbation of these receptor-mediated pathways may contribute to hepatotoxicity, dyslipidemia, and immunomodulation observed with structurally related PFAS. Additionally, displacement of endogenous fatty acids and thyroid hormones from serum transport proteins such as albumin and transthyretin has been proposed as a mechanism contributing to endocrine disruption by perfluoroalkyl compounds [2]. Oxidative stress and mitochondrial dysfunction have also been implicated in the hepatotoxic effects of PFAS compounds bearing perfluorinated carbon chains of comparable length [2]. The specific molecular targets, reactive intermediates, and signaling pathways activated by perfluorohexanesulfonamide itself remain to be characterized through dedicated mechanistic studies.</w:t>
      </w:r>
    </w:p>
    <w:p>
      <w:pPr>
        <w:pStyle w:val="0-03Paragraph"/>
        <w:jc w:val="both"/>
      </w:pPr>
      <w:r>
        <w:rPr>
          <w:rFonts w:ascii="Times New Roman" w:hAnsi="Times New Roman"/>
        </w:rPr>
        <w:t>The available hazard and risk assessment database for perfluorohexanesulfonamide contains significant gaps across multiple domains that limit the ability to conduct a complete quantitative risk assessment. In the domain of exposure characterization, the absence of defined consumer product uses, quantitative exposure scenarios, and environmental fate and transport data precludes characterization of the exposed population, identification of high-risk subgroups, or assessment of exposure via contaminated drinking water, ambient air, or soil pathways. The lack of an OSHA PEL and NIOSH REL means that no enforceable or recommended occupational air concentration limit exists for this compound, leaving worker risk assessment without a regulatory anchor; the ACGIH TLV, while noted to exist, was not accessible for this assessment. In the domain of hazard identification, the absence of a completed ATSDR Toxicological Profile and the unavailability of subchronic and chronic toxicity data from repeated-dose animal studies represent critical gaps, as these data are necessary to characterize health effects relevant to occupational and environmental exposure durations. The absence of any authoritative cancer weight-of-evidence classification by EPA, IARC, or NTP means that carcinogenic potential is entirely uncharacterized for this compound. In the domain of dose-response assessment, no oral RfD, NOAEL, LOAEL, or inhalation RfC has been established, precluding derivation of health-based exposure limits by any route; benchmark dose modeling or read-across from structurally related PFAS compounds may be required as interim approaches. In the domain of risk characterization, the absence of an EPA MCL or MCLG under the Safe Drinking Water Act means that environmental contamination of drinking water sources cannot be evaluated against a regulatory standard. Structural identity data, including InChIKey and SMILES notation, were not available in the sources consulted, limiting the application of structure-activity relationship (SAR) analysis or computational read-across to structural analogs. In contrast, industrial and commercial use information is reasonably well documented, and the chemical's PFAS class membership provides a framework for inferring likely biological behavior pending compound-specific data.</w:t>
      </w:r>
    </w:p>
    <w:p>
      <w:pPr>
        <w:pStyle w:val="0-03Paragraph"/>
        <w:jc w:val="both"/>
      </w:pPr>
      <w:r>
        <w:rPr>
          <w:rFonts w:ascii="Times New Roman" w:hAnsi="Times New Roman"/>
        </w:rPr>
        <w:t>Given the industrial uses of perfluorohexanesulfonamide in metal coating, chrome electroplating, and aqueous film-forming foam formulations, its structural classification as a perfluoroalkylsulfonamide PFAS with potential for nuclear receptor interaction and hepatotoxicity, and the extensive gaps in subchronic toxicity, dose-response, and mechanistic data identified above, this 5-day genomic dose-response study in Sprague-Dawley rats was conducted to characterize concentration-dependent gene expression changes, identify molecular targets and perturbed biological pathways, and generate transcriptomic data that may serve as a foundation for point-of-departure derivation and read-across analysis in support of the hazard characterization and risk assessment of this data-poor PFAS compound.</w:t>
      </w:r>
    </w:p>
    <w:p>
      <w:pPr>
        <w:pStyle w:val="3-02aHead1NoNumber"/>
      </w:pPr>
      <w:bookmarkStart w:id="7" w:name="_Toc_methods"/>
      <w:r>
        <w:t>Materials and Methods</w:t>
      </w:r>
      <w:bookmarkEnd w:id="7"/>
    </w:p>
    <w:p>
      <w:pPr>
        <w:pStyle w:val="3-03aHead2NoNumber"/>
        <w:jc w:val="both"/>
      </w:pPr>
      <w:bookmarkStart w:id="8" w:name="_Toc_mm-study-design"/>
      <w:r>
        <w:rPr>
          <w:rFonts w:ascii="Times New Roman" w:hAnsi="Times New Roman"/>
        </w:rPr>
        <w:t>Study Design</w:t>
      </w:r>
      <w:bookmarkEnd w:id="8"/>
    </w:p>
    <w:p>
      <w:pPr>
        <w:pStyle w:val="0-03Paragraph"/>
        <w:jc w:val="both"/>
      </w:pPr>
      <w:r>
        <w:rPr>
          <w:rFonts w:ascii="Times New Roman" w:hAnsi="Times New Roman"/>
        </w:rPr>
        <w:t>Sprague Dawley rats (Hsd:Sprague Dawley SD) were obtained from a commercial supplier and quarantined for a minimum of seven days prior to study initiation. Animals were assigned to dose groups using a stratified randomization procedure based on body weight to minimize intergroup variability. Male and female rats were administered perfluorohexanesulfonamide (CASRN 41997-13-1; DTXSID50469320) by oral gavage in corn oil vehicle once daily for five consecutive days at nominal doses of 0.0, 0.15, 0.5, 1.4, 4.0, 12.0, 37.0, 111.0, 333.0, or 1000.0 mg/kg body weight. Each treatment group consisted of five male and five female rats; the vehicle control group consisted of ten male and ten female rats administered corn oil alone. All animals were necropsied approximately 24 hours after administration of the final dose on study day 5.</w:t>
      </w:r>
    </w:p>
    <w:p>
      <w:pPr>
        <w:pStyle w:val="3-03aHead2NoNumber"/>
        <w:jc w:val="both"/>
      </w:pPr>
      <w:bookmarkStart w:id="9" w:name="_Toc_mm-dose-rationale"/>
      <w:r>
        <w:rPr>
          <w:rFonts w:ascii="Times New Roman" w:hAnsi="Times New Roman"/>
        </w:rPr>
        <w:t>Dose Selection Rationale</w:t>
      </w:r>
      <w:bookmarkEnd w:id="9"/>
    </w:p>
    <w:p>
      <w:pPr>
        <w:pStyle w:val="0-03Paragraph"/>
        <w:jc w:val="both"/>
      </w:pPr>
      <w:r>
        <w:rPr>
          <w:rFonts w:ascii="Times New Roman" w:hAnsi="Times New Roman"/>
        </w:rPr>
        <w:t>The dose range for this study was selected based on available toxicological data for perfluorohexanesulfonamide and structurally related perfluoroalkyl sulfonamide compounds, including predicted or empirically derived lethal dose estimates (LD50). Doses were spaced at approximately half-log intervals (roughly 3-fold increments) across a range spanning approximately four orders of magnitude, from 0.15 to 1000.0 mg/kg, to enable robust dose-response characterization across both apical and transcriptomic endpoints. The highest dose of 1000.0 mg/kg was selected as the maximum feasible dose for a 5-day oral gavage study, with the intent of producing some evidence of systemic toxicity at the upper end of the dose range while avoiding excessive lethality or severe morbidity that would preclude meaningful data collection. The lowest doses were selected to bracket the anticipated no-observed-effect level and to support benchmark dose modeling of sensitive transcriptomic responses.</w:t>
      </w:r>
    </w:p>
    <w:p>
      <w:pPr>
        <w:pStyle w:val="3-03aHead2NoNumber"/>
        <w:jc w:val="both"/>
      </w:pPr>
      <w:bookmarkStart w:id="10" w:name="_Toc_mm-chemistry"/>
      <w:r>
        <w:rPr>
          <w:rFonts w:ascii="Times New Roman" w:hAnsi="Times New Roman"/>
        </w:rPr>
        <w:t>Chemistry</w:t>
      </w:r>
      <w:bookmarkEnd w:id="10"/>
    </w:p>
    <w:p>
      <w:pPr>
        <w:pStyle w:val="0-03Paragraph"/>
        <w:jc w:val="both"/>
      </w:pPr>
      <w:r>
        <w:rPr>
          <w:rFonts w:ascii="Times New Roman" w:hAnsi="Times New Roman"/>
        </w:rPr>
        <w:t>Perfluorohexanesulfonamide (CASRN 41997-13-1; DTXSID50469320) was obtained from a commercial supplier or synthesized by a contract laboratory. Lot-specific details, including lot number, certificate of analysis, and chain-of-custody documentation, are provided in the full study protocol archived with the study records. Chemical identity was confirmed by infrared spectroscopy (IR), nuclear magnetic resonance spectroscopy (NMR), and/or high-resolution mass spectrometry prior to use. Purity was determined to be greater than 95% by quantitative analytical methods. The test article was stored under conditions specified by the supplier or as determined by stability testing, typically at room temperature or under refrigeration in sealed containers protected from light and moisture.</w:t>
      </w:r>
    </w:p>
    <w:p>
      <w:pPr>
        <w:pStyle w:val="0-03Paragraph"/>
        <w:jc w:val="both"/>
      </w:pPr>
      <w:r>
        <w:rPr>
          <w:rFonts w:ascii="Times New Roman" w:hAnsi="Times New Roman"/>
        </w:rPr>
        <w:t>Dose formulations were prepared by dissolving or suspending perfluorohexanesulfonamide in corn oil vehicle at appropriate concentrations to deliver the target doses in a consistent dosing volume. Formulation concentrations were verified by analytical chemistry methods, including high-performance liquid chromatography (HPLC) or liquid chromatography–mass spectrometry (LC-MS), prior to initiation of dosing and at intervals throughout the study. Formulation quality control analyses confirmed that prepared dose formulations were within acceptable concentration limits (typically ±10% of nominal concentration) and were homogeneous. Formulation stability under study conditions was assessed to ensure integrity of the test article throughout the dosing period.</w:t>
      </w:r>
    </w:p>
    <w:p>
      <w:pPr>
        <w:pStyle w:val="3-03aHead2NoNumber"/>
      </w:pPr>
      <w:bookmarkStart w:id="11" w:name="_Toc_mm-clin-exam"/>
      <w:r>
        <w:t>Clinical Examinations and Sample Collection</w:t>
      </w:r>
      <w:bookmarkEnd w:id="11"/>
    </w:p>
    <w:p>
      <w:pPr>
        <w:pStyle w:val="3-04aHead3NoNumber"/>
        <w:jc w:val="both"/>
      </w:pPr>
      <w:bookmarkStart w:id="12" w:name="_Toc_mm-clin-obs"/>
      <w:r>
        <w:rPr>
          <w:rFonts w:ascii="Times New Roman" w:hAnsi="Times New Roman"/>
        </w:rPr>
        <w:t>Clinical Observations</w:t>
      </w:r>
      <w:bookmarkEnd w:id="12"/>
    </w:p>
    <w:p>
      <w:pPr>
        <w:pStyle w:val="0-03Paragraph"/>
        <w:jc w:val="both"/>
      </w:pPr>
      <w:r>
        <w:rPr>
          <w:rFonts w:ascii="Times New Roman" w:hAnsi="Times New Roman"/>
        </w:rPr>
        <w:t>All animals were observed twice daily for morbidity and mortality throughout the study. Detailed clinical observations were recorded once daily for each animal and included assessment of general appearance, body condition, skin and coat quality, eye and mucous membrane appearance, respiratory pattern and effort, circulatory signs, autonomic and central nervous system indicators, somatomotor activity, and behavioral characteristics. Any abnormal findings, including changes in posture, gait, or responsiveness, were recorded with the date of onset, severity, and resolution. Animals found moribund or dead were subjected to a full gross necropsy, and the time and cause of death were recorded to the extent determinable.</w:t>
      </w:r>
    </w:p>
    <w:p>
      <w:pPr>
        <w:pStyle w:val="3-04aHead3NoNumber"/>
        <w:jc w:val="both"/>
      </w:pPr>
      <w:bookmarkStart w:id="13" w:name="_Toc_mm-body-organ-wt"/>
      <w:r>
        <w:rPr>
          <w:rFonts w:ascii="Times New Roman" w:hAnsi="Times New Roman"/>
        </w:rPr>
        <w:t>Body and Organ Weights</w:t>
      </w:r>
      <w:bookmarkEnd w:id="13"/>
    </w:p>
    <w:p>
      <w:pPr>
        <w:pStyle w:val="0-03Paragraph"/>
        <w:jc w:val="both"/>
      </w:pPr>
      <w:r>
        <w:rPr>
          <w:rFonts w:ascii="Times New Roman" w:hAnsi="Times New Roman"/>
        </w:rPr>
        <w:t>Individual body weights were recorded on study day 0 (prior to the first dose) and at the time of scheduled necropsy. Organs were collected and weighed at necropsy for all animals. Absolute organ weights and organ weights relative to terminal body weight (organ-to-body-weight ratio) were calculated for each animal. Organs weighed included, but were not limited to, the liver, kidneys, adrenal glands, thyroid gland, spleen, heart, lungs, brain, and reproductive organs. Organ weight data were used in conjunction with histopathological findings and clinical pathology results to assess target organ toxicity.</w:t>
      </w:r>
    </w:p>
    <w:p>
      <w:pPr>
        <w:pStyle w:val="3-04aHead3NoNumber"/>
        <w:jc w:val="both"/>
      </w:pPr>
      <w:bookmarkStart w:id="14" w:name="_Toc_mm-clin-path"/>
      <w:r>
        <w:rPr>
          <w:rFonts w:ascii="Times New Roman" w:hAnsi="Times New Roman"/>
        </w:rPr>
        <w:t>Clinical Pathology</w:t>
      </w:r>
      <w:bookmarkEnd w:id="14"/>
    </w:p>
    <w:p>
      <w:pPr>
        <w:pStyle w:val="0-03Paragraph"/>
        <w:jc w:val="both"/>
      </w:pPr>
      <w:r>
        <w:rPr>
          <w:rFonts w:ascii="Times New Roman" w:hAnsi="Times New Roman"/>
        </w:rPr>
        <w:t>Blood samples for clinical pathology analyses were collected from all animals at scheduled necropsy under isoflurane anesthesia via retroorbital or cardiac puncture. Samples were collected into appropriate anticoagulant-containing tubes for hematology and into serum separator tubes for clinical chemistry and hormone analyses. Hematological parameters were measured using an Advia 120 hematology analyzer (Siemens Healthineers) and included mean cell volume, nucleated red blood cells (nRBC), mean cell hemoglobin, lymphocyte count, hematocrit, eosinophil count, erythrocyte count, hemoglobin concentration, manual hematocrit, mean cell hemoglobin concentration, reticulocyte count, monocyte count, basophil count, platelet count, large unstained cell count, neutrophil count, and total leukocyte count. Clinical chemistry parameters were measured using an AU680 chemistry analyzer (Beckman Coulter) and included urea nitrogen, alkaline phosphatase, cholesterol, alanine aminotransferase, aspartate aminotransferase, glucose, globulin, bile salts/acids, creatine kinase, total protein, albumin, triglycerides, sorbitol dehydrogenase, and creatinine. Thyroid hormone parameters, including free thyroxine (fT4), total thyroxine (T4), triiodothyronine (T3), and thyroid-stimulating hormone (TSH), were measured using validated immunoassay platforms appropriate for rat serum matrices.</w:t>
      </w:r>
    </w:p>
    <w:p>
      <w:pPr>
        <w:pStyle w:val="3-04aHead3NoNumber"/>
        <w:jc w:val="both"/>
      </w:pPr>
      <w:bookmarkStart w:id="15" w:name="_Toc_mm-internal-dose"/>
      <w:r>
        <w:rPr>
          <w:rFonts w:ascii="Times New Roman" w:hAnsi="Times New Roman"/>
        </w:rPr>
        <w:t>Internal Dose Assessment</w:t>
      </w:r>
      <w:bookmarkEnd w:id="15"/>
    </w:p>
    <w:p>
      <w:pPr>
        <w:pStyle w:val="0-03Paragraph"/>
        <w:jc w:val="both"/>
      </w:pPr>
      <w:r>
        <w:rPr>
          <w:rFonts w:ascii="Times New Roman" w:hAnsi="Times New Roman"/>
        </w:rPr>
        <w:t>Tissue and biological fluid samples were collected at scheduled necropsy for internal dose assessment of perfluorohexanesulfonamide and relevant metabolites. Blood or serum samples and tissue samples, including liver and kidney, were collected from all animals, placed in pre-labeled cryovials, snap-frozen in liquid nitrogen, and stored at −80°C until analysis. Concentrations of the parent compound and, where applicable, major metabolites were determined by liquid chromatography–tandem mass spectrometry (LC-MS/MS) using validated analytical methods with appropriate internal standards. Tissue concentration data were used to characterize the internal dose–response relationship and to support toxicokinetic interpretation of apical and transcriptomic findings.</w:t>
      </w:r>
    </w:p>
    <w:p>
      <w:pPr>
        <w:pStyle w:val="3-03aHead2NoNumber"/>
      </w:pPr>
      <w:bookmarkStart w:id="16" w:name="_Toc_mm-transcriptomics"/>
      <w:r>
        <w:t>Transcriptomics</w:t>
      </w:r>
      <w:bookmarkEnd w:id="16"/>
    </w:p>
    <w:p>
      <w:pPr>
        <w:pStyle w:val="3-04aHead3NoNumber"/>
        <w:jc w:val="both"/>
      </w:pPr>
      <w:bookmarkStart w:id="17" w:name="_Toc_mm-tx-sample"/>
      <w:r>
        <w:rPr>
          <w:rFonts w:ascii="Times New Roman" w:hAnsi="Times New Roman"/>
        </w:rPr>
        <w:t>Sample Collection for Transcriptomics</w:t>
      </w:r>
      <w:bookmarkEnd w:id="17"/>
    </w:p>
    <w:p>
      <w:pPr>
        <w:pStyle w:val="0-03Paragraph"/>
        <w:jc w:val="both"/>
      </w:pPr>
      <w:r>
        <w:rPr>
          <w:rFonts w:ascii="Times New Roman" w:hAnsi="Times New Roman"/>
        </w:rPr>
        <w:t>Kidney and liver tissue samples were collected at necropsy, immediately snap-frozen in liquid nitrogen, and stored at −80°C until processing. Frozen tissue sections were homogenized using a bead-based homogenizer in the presence of lysis buffer supplied with the extraction kit. Total RNA was extracted from homogenized tissue using the RNeasy Mini Kit (Qiagen) according to the manufacturer's protocol, including an on-column DNase I digestion step to remove genomic DNA contamination. RNA quantity was assessed by fluorometric measurement using a Qubit RNA Broad Range Assay Kit (Thermo Fisher Scientific), and RNA integrity was evaluated using an Agilent Bioanalyzer or TapeStation system. Samples with RNA integrity numbers (RIN) below the predefined acceptance threshold were flagged for review and excluded from library preparation if quality was deemed insufficient for reliable transcriptomic analysis.</w:t>
      </w:r>
    </w:p>
    <w:p>
      <w:pPr>
        <w:pStyle w:val="3-04aHead3NoNumber"/>
        <w:jc w:val="both"/>
      </w:pPr>
      <w:bookmarkStart w:id="18" w:name="_Toc_mm-tx-rna"/>
      <w:r>
        <w:rPr>
          <w:rFonts w:ascii="Times New Roman" w:hAnsi="Times New Roman"/>
        </w:rPr>
        <w:t>RNA Isolation, Library Creation, and Sequencing</w:t>
      </w:r>
      <w:bookmarkEnd w:id="18"/>
    </w:p>
    <w:p>
      <w:pPr>
        <w:pStyle w:val="0-03Paragraph"/>
        <w:jc w:val="both"/>
      </w:pPr>
      <w:r>
        <w:rPr>
          <w:rFonts w:ascii="Times New Roman" w:hAnsi="Times New Roman"/>
        </w:rPr>
        <w:t>Gene expression profiling was performed using the TempO-Seq S1500+ assay (BioSpyder Technologies), a targeted, ligation-based RNA sequencing approach designed for high-throughput toxicogenomic studies. Briefly, total RNA from each sample was hybridized to a pool of detector oligo pairs specific to each target gene in the S1500+ panel. Following hybridization, unbound detector oligos were removed by nuclease digestion, and bound oligo pairs were ligated to form amplifiable templates. Ligated products were amplified by PCR using sample-specific indexed primers to generate barcoded sequencing libraries. Libraries were quantified, pooled at equimolar ratios, and subjected to multiplexed sequencing on an Illumina next-generation sequencing platform using single-end or paired-end sequencing chemistry as appropriate for the platform configuration.</w:t>
      </w:r>
    </w:p>
    <w:p>
      <w:pPr>
        <w:pStyle w:val="3-04aHead3NoNumber"/>
        <w:jc w:val="both"/>
      </w:pPr>
      <w:bookmarkStart w:id="19" w:name="_Toc_mm-tx-processing"/>
      <w:r>
        <w:rPr>
          <w:rFonts w:ascii="Times New Roman" w:hAnsi="Times New Roman"/>
        </w:rPr>
        <w:t>Sequence Data Processing</w:t>
      </w:r>
      <w:bookmarkEnd w:id="19"/>
    </w:p>
    <w:p>
      <w:pPr>
        <w:pStyle w:val="0-03Paragraph"/>
        <w:jc w:val="both"/>
      </w:pPr>
      <w:r>
        <w:rPr>
          <w:rFonts w:ascii="Times New Roman" w:hAnsi="Times New Roman"/>
        </w:rPr>
        <w:t>Raw sequencing data were demultiplexed by sample-specific barcodes using standard Illumina demultiplexing software. Adapter sequences and low-quality bases were trimmed from reads prior to alignment. Trimmed reads were aligned to the TempO-Seq S1500+ probe reference sequence library using the TempO-SeqR bioinformatics pipeline (BioSpyder Technologies), which performs exact-match or near-exact-match alignment of reads to detector oligo sequences. Per-gene read counts were extracted from alignment output files to generate a count matrix for all samples. Count tables were inspected for consistency in total read depth and probe coverage prior to downstream quality control and normalization steps.</w:t>
      </w:r>
    </w:p>
    <w:p>
      <w:pPr>
        <w:pStyle w:val="3-04aHead3NoNumber"/>
        <w:jc w:val="both"/>
      </w:pPr>
      <w:bookmarkStart w:id="20" w:name="_Toc_mm-tx-qc"/>
      <w:r>
        <w:rPr>
          <w:rFonts w:ascii="Times New Roman" w:hAnsi="Times New Roman"/>
        </w:rPr>
        <w:t>Sequencing Quality Checks and Outlier Removal</w:t>
      </w:r>
      <w:bookmarkEnd w:id="20"/>
    </w:p>
    <w:p>
      <w:pPr>
        <w:pStyle w:val="0-03Paragraph"/>
        <w:jc w:val="both"/>
      </w:pPr>
      <w:r>
        <w:rPr>
          <w:rFonts w:ascii="Times New Roman" w:hAnsi="Times New Roman"/>
        </w:rPr>
        <w:t>Quality control of transcriptomic data was performed prior to normalization and differential expression analysis. Samples were evaluated for total mapped read counts, and those falling below a predefined minimum read count threshold were flagged for exclusion. Principal component analysis (PCA) was conducted on variance-stabilized or log-transformed count data to identify potential outlier samples based on their separation from the main cluster of samples within the same sex and tissue group. Samples identified as outliers by PCA or by failing read count thresholds were excluded from all downstream analyses. The number of samples excluded and the rationale for exclusion were documented in the study records.</w:t>
      </w:r>
    </w:p>
    <w:p>
      <w:pPr>
        <w:pStyle w:val="0-25TableTitle"/>
      </w:pPr>
      <w:r>
        <w:t xml:space="preserve">Table </w:t>
      </w:r>
      <w:r>
        <w:fldChar w:fldCharType="begin"/>
        <w:instrText xml:space="preserve"> SEQ Table \* ARABIC </w:instrText>
        <w:fldChar w:fldCharType="separate"/>
      </w:r>
      <w:r>
        <w:t>1</w:t>
      </w:r>
      <w:r>
        <w:fldChar w:fldCharType="end"/>
      </w:r>
      <w:r>
        <w:t xml:space="preserve">. </w:t>
      </w:r>
      <w:r>
        <w:t>Final Sample Counts for Benchmark Dose Analysis of the Transcriptomics Data</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rPr>
          <w:tblHeader w:val="true"/>
        </w:trPr>
        <w:tc>
          <w:tcPr>
            <w:tcW w:type="dxa" w:w="851"/>
            <w:tcBorders>
              <w:bottom w:val="single" w:sz="8" w:space="0" w:color="000000"/>
            </w:tcBorders>
          </w:tcPr>
          <w:p>
            <w:r>
              <w:rPr>
                <w:rFonts w:ascii="Arial" w:hAnsi="Arial"/>
                <w:b/>
                <w:sz w:val="20"/>
              </w:rPr>
            </w:r>
          </w:p>
        </w:tc>
        <w:tc>
          <w:tcPr>
            <w:tcW w:type="dxa" w:w="851"/>
            <w:tcBorders>
              <w:bottom w:val="single" w:sz="8" w:space="0" w:color="000000"/>
            </w:tcBorders>
          </w:tcPr>
          <w:p>
            <w:r>
              <w:rPr>
                <w:rFonts w:ascii="Arial" w:hAnsi="Arial"/>
                <w:b/>
                <w:sz w:val="20"/>
              </w:rPr>
              <w:t>0 mg/kg</w:t>
            </w:r>
          </w:p>
        </w:tc>
        <w:tc>
          <w:tcPr>
            <w:tcW w:type="dxa" w:w="851"/>
            <w:tcBorders>
              <w:bottom w:val="single" w:sz="8" w:space="0" w:color="000000"/>
            </w:tcBorders>
          </w:tcPr>
          <w:p>
            <w:r>
              <w:rPr>
                <w:rFonts w:ascii="Arial" w:hAnsi="Arial"/>
                <w:b/>
                <w:sz w:val="20"/>
              </w:rPr>
              <w:t>0.15 mg/kg</w:t>
            </w:r>
          </w:p>
        </w:tc>
        <w:tc>
          <w:tcPr>
            <w:tcW w:type="dxa" w:w="851"/>
            <w:tcBorders>
              <w:bottom w:val="single" w:sz="8" w:space="0" w:color="000000"/>
            </w:tcBorders>
          </w:tcPr>
          <w:p>
            <w:r>
              <w:rPr>
                <w:rFonts w:ascii="Arial" w:hAnsi="Arial"/>
                <w:b/>
                <w:sz w:val="20"/>
              </w:rPr>
              <w:t>0.5 mg/kg</w:t>
            </w:r>
          </w:p>
        </w:tc>
        <w:tc>
          <w:tcPr>
            <w:tcW w:type="dxa" w:w="851"/>
            <w:tcBorders>
              <w:bottom w:val="single" w:sz="8" w:space="0" w:color="000000"/>
            </w:tcBorders>
          </w:tcPr>
          <w:p>
            <w:r>
              <w:rPr>
                <w:rFonts w:ascii="Arial" w:hAnsi="Arial"/>
                <w:b/>
                <w:sz w:val="20"/>
              </w:rPr>
              <w:t>1.4 mg/kg</w:t>
            </w:r>
          </w:p>
        </w:tc>
        <w:tc>
          <w:tcPr>
            <w:tcW w:type="dxa" w:w="851"/>
            <w:tcBorders>
              <w:bottom w:val="single" w:sz="8" w:space="0" w:color="000000"/>
            </w:tcBorders>
          </w:tcPr>
          <w:p>
            <w:r>
              <w:rPr>
                <w:rFonts w:ascii="Arial" w:hAnsi="Arial"/>
                <w:b/>
                <w:sz w:val="20"/>
              </w:rPr>
              <w:t>4 mg/kg</w:t>
            </w:r>
          </w:p>
        </w:tc>
        <w:tc>
          <w:tcPr>
            <w:tcW w:type="dxa" w:w="851"/>
            <w:tcBorders>
              <w:bottom w:val="single" w:sz="8" w:space="0" w:color="000000"/>
            </w:tcBorders>
          </w:tcPr>
          <w:p>
            <w:r>
              <w:rPr>
                <w:rFonts w:ascii="Arial" w:hAnsi="Arial"/>
                <w:b/>
                <w:sz w:val="20"/>
              </w:rPr>
              <w:t>12 mg/kg</w:t>
            </w:r>
          </w:p>
        </w:tc>
        <w:tc>
          <w:tcPr>
            <w:tcW w:type="dxa" w:w="851"/>
            <w:tcBorders>
              <w:bottom w:val="single" w:sz="8" w:space="0" w:color="000000"/>
            </w:tcBorders>
          </w:tcPr>
          <w:p>
            <w:r>
              <w:rPr>
                <w:rFonts w:ascii="Arial" w:hAnsi="Arial"/>
                <w:b/>
                <w:sz w:val="20"/>
              </w:rPr>
              <w:t>37 mg/kg</w:t>
            </w:r>
          </w:p>
        </w:tc>
        <w:tc>
          <w:tcPr>
            <w:tcW w:type="dxa" w:w="851"/>
            <w:tcBorders>
              <w:bottom w:val="single" w:sz="8" w:space="0" w:color="000000"/>
            </w:tcBorders>
          </w:tcPr>
          <w:p>
            <w:r>
              <w:rPr>
                <w:rFonts w:ascii="Arial" w:hAnsi="Arial"/>
                <w:b/>
                <w:sz w:val="20"/>
              </w:rPr>
              <w:t>111 mg/kg</w:t>
            </w:r>
          </w:p>
        </w:tc>
        <w:tc>
          <w:tcPr>
            <w:tcW w:type="dxa" w:w="851"/>
            <w:tcBorders>
              <w:bottom w:val="single" w:sz="8" w:space="0" w:color="000000"/>
            </w:tcBorders>
          </w:tcPr>
          <w:p>
            <w:r>
              <w:rPr>
                <w:rFonts w:ascii="Arial" w:hAnsi="Arial"/>
                <w:b/>
                <w:sz w:val="20"/>
              </w:rPr>
              <w:t>333 mg/kg</w:t>
            </w:r>
          </w:p>
        </w:tc>
        <w:tc>
          <w:tcPr>
            <w:tcW w:type="dxa" w:w="851"/>
            <w:tcBorders>
              <w:bottom w:val="single" w:sz="8" w:space="0" w:color="000000"/>
            </w:tcBorders>
          </w:tcPr>
          <w:p>
            <w:r>
              <w:rPr>
                <w:rFonts w:ascii="Arial" w:hAnsi="Arial"/>
                <w:b/>
                <w:sz w:val="20"/>
              </w:rPr>
              <w:t>1000 mg/kg</w:t>
            </w:r>
          </w:p>
        </w:tc>
      </w:tr>
      <w:tr>
        <w:tc>
          <w:tcPr>
            <w:tcW w:type="dxa" w:w="9361"/>
            <w:gridSpan w:val="11"/>
          </w:tcPr>
          <w:p>
            <w:r>
              <w:rPr>
                <w:b/>
                <w:sz w:val="20"/>
              </w:rPr>
              <w:t>Female</w:t>
            </w:r>
          </w:p>
        </w:tc>
      </w:tr>
      <w:tr>
        <w:tc>
          <w:tcPr>
            <w:tcW w:type="dxa" w:w="851"/>
          </w:tcPr>
          <w:p>
            <w:r>
              <w:rPr>
                <w:sz w:val="20"/>
              </w:rPr>
              <w:t>Kidney</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r>
      <w:tr>
        <w:tc>
          <w:tcPr>
            <w:tcW w:type="dxa" w:w="851"/>
          </w:tcPr>
          <w:p>
            <w:r>
              <w:rPr>
                <w:sz w:val="20"/>
              </w:rPr>
              <w:t>Liver</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r>
      <w:tr>
        <w:tc>
          <w:tcPr>
            <w:tcW w:type="dxa" w:w="9361"/>
            <w:gridSpan w:val="11"/>
          </w:tcPr>
          <w:p>
            <w:r>
              <w:rPr>
                <w:b/>
                <w:sz w:val="20"/>
              </w:rPr>
              <w:t>Male</w:t>
            </w:r>
          </w:p>
        </w:tc>
      </w:tr>
      <w:tr>
        <w:tc>
          <w:tcPr>
            <w:tcW w:type="dxa" w:w="851"/>
          </w:tcPr>
          <w:p>
            <w:r>
              <w:rPr>
                <w:sz w:val="20"/>
              </w:rPr>
              <w:t>Kidney</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r>
      <w:tr>
        <w:tc>
          <w:tcPr>
            <w:tcW w:type="dxa" w:w="851"/>
          </w:tcPr>
          <w:p>
            <w:r>
              <w:rPr>
                <w:sz w:val="20"/>
              </w:rPr>
              <w:t>Liver</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r>
    </w:tbl>
    <w:p>
      <w:pPr>
        <w:pStyle w:val="3-04aHead3NoNumber"/>
        <w:jc w:val="both"/>
      </w:pPr>
      <w:bookmarkStart w:id="21" w:name="_Toc_mm-tx-norm"/>
      <w:r>
        <w:rPr>
          <w:rFonts w:ascii="Times New Roman" w:hAnsi="Times New Roman"/>
        </w:rPr>
        <w:t>Data Normalization</w:t>
      </w:r>
      <w:bookmarkEnd w:id="21"/>
    </w:p>
    <w:p>
      <w:pPr>
        <w:pStyle w:val="0-03Paragraph"/>
        <w:jc w:val="both"/>
      </w:pPr>
      <w:r>
        <w:rPr>
          <w:rFonts w:ascii="Times New Roman" w:hAnsi="Times New Roman"/>
        </w:rPr>
        <w:t>Raw gene-level read counts were normalized to account for differences in sequencing depth and library composition across samples. Normalization was performed using the median-of-ratios method implemented in the DESeq2 package (Love et al., 2014) in R, which calculates size factors for each sample based on the geometric mean of read counts across all genes. Normalized count data were used for all downstream differential expression analyses and benchmark dose modeling. Genes with very low expression levels across all samples, defined as a mean normalized count below a minimum expression threshold, were filtered prior to statistical analysis to reduce noise and improve the reliability of dose-response modeling.</w:t>
      </w:r>
    </w:p>
    <w:p>
      <w:pPr>
        <w:pStyle w:val="3-03aHead2NoNumber"/>
      </w:pPr>
      <w:bookmarkStart w:id="22" w:name="_Toc_mm-data-analysis"/>
      <w:r>
        <w:t>Data Analysis</w:t>
      </w:r>
      <w:bookmarkEnd w:id="22"/>
    </w:p>
    <w:p>
      <w:pPr>
        <w:pStyle w:val="3-04aHead3NoNumber"/>
        <w:jc w:val="both"/>
      </w:pPr>
      <w:bookmarkStart w:id="23" w:name="_Toc_mm-stat-apical"/>
      <w:r>
        <w:rPr>
          <w:rFonts w:ascii="Times New Roman" w:hAnsi="Times New Roman"/>
        </w:rPr>
        <w:t>Statistical Analysis of Body Weights, Organ Weights, and Clinical Pathology</w:t>
      </w:r>
      <w:bookmarkEnd w:id="23"/>
    </w:p>
    <w:p>
      <w:pPr>
        <w:pStyle w:val="0-03Paragraph"/>
        <w:jc w:val="both"/>
      </w:pPr>
      <w:r>
        <w:rPr>
          <w:rFonts w:ascii="Times New Roman" w:hAnsi="Times New Roman"/>
        </w:rPr>
        <w:t>Statistical analyses of apical endpoints, including body weights, organ weights, and clinical pathology parameters, were conducted using a tiered testing strategy consistent with NIEHS/NTP standard operating procedures. The Jonckheere–Terpstra trend test was first applied to assess the presence of a statistically significant monotonic dose-response relationship. If a significant trend was detected, pairwise comparisons between each treatment group and the vehicle control group were performed using Williams' test for normally distributed data meeting homogeneity of variance assumptions. If the dose-response was determined to be non-monotonic, Dunnett's test was used for pairwise comparisons. When data did not satisfy assumptions of normality or homogeneity of variance, the Shirley nonparametric test was applied for trend assessment, and Dunn's test was used for nonparametric pairwise comparisons against the vehicle control. A significance threshold of p &lt; 0.05 was applied for all statistical tests.</w:t>
      </w:r>
    </w:p>
    <w:p>
      <w:pPr>
        <w:pStyle w:val="3-04aHead3NoNumber"/>
        <w:jc w:val="both"/>
      </w:pPr>
      <w:bookmarkStart w:id="24" w:name="_Toc_mm-bmd-apical"/>
      <w:r>
        <w:rPr>
          <w:rFonts w:ascii="Times New Roman" w:hAnsi="Times New Roman"/>
        </w:rPr>
        <w:t>Benchmark Dose Analysis of Body Weights, Organ Weights, and Clinical Pathology</w:t>
      </w:r>
      <w:bookmarkEnd w:id="24"/>
    </w:p>
    <w:p>
      <w:pPr>
        <w:pStyle w:val="0-03Paragraph"/>
        <w:jc w:val="both"/>
      </w:pPr>
      <w:r>
        <w:rPr>
          <w:rFonts w:ascii="Times New Roman" w:hAnsi="Times New Roman"/>
        </w:rPr>
        <w:t>Benchmark dose (BMD) modeling of apical toxicological endpoints was performed using the U.S. Environmental Protection Agency's Benchmark Dose Software (BMDS, version 3.x). Continuous and dichotomous model suites were fit to dose-response data for each endpoint, as appropriate for the data type. Model selection was based on the lowest Akaike Information Criterion (AIC) among models meeting goodness-of-fit criteria, or Laplace model averaging was applied to derive model-averaged BMD estimates that account for model uncertainty. A benchmark response (BMR) of one standard deviation from the control mean was used as the default for continuous endpoints, and a 10% extra risk was used for dichotomous endpoints. BMD, BMDL (95% lower confidence limit), and BMDU (95% upper confidence limit) values were reported for each modeled endpoint.</w:t>
      </w:r>
    </w:p>
    <w:p>
      <w:pPr>
        <w:pStyle w:val="3-04aHead3NoNumber"/>
        <w:jc w:val="both"/>
      </w:pPr>
      <w:bookmarkStart w:id="25" w:name="_Toc_mm-bmd-tx"/>
      <w:r>
        <w:rPr>
          <w:rFonts w:ascii="Times New Roman" w:hAnsi="Times New Roman"/>
        </w:rPr>
        <w:t>Benchmark Dose Analysis of Transcriptomics Data</w:t>
      </w:r>
      <w:bookmarkEnd w:id="25"/>
    </w:p>
    <w:p>
      <w:pPr>
        <w:pStyle w:val="0-03Paragraph"/>
        <w:jc w:val="both"/>
      </w:pPr>
      <w:r>
        <w:rPr>
          <w:rFonts w:ascii="Times New Roman" w:hAnsi="Times New Roman"/>
        </w:rPr>
        <w:t>Benchmark dose modeling of transcriptomic data was performed using BMDExpress (version 2.x) in conjunction with EPA BMDS model libraries. Gene-level BMD values were derived by fitting a suite of dose-response models (linear, polynomial, power, Hill, and exponential models) to normalized expression data for each gene passing expression and quality filters. Model selection at the gene level was based on goodness-of-fit criteria and the lowest AIC. Genes were retained for pathway-level analysis if they met the following filtering criteria: goodness-of-fit p-value greater than 0.1, a ratio of BMDU to BMDL of 40 or less (indicating acceptable BMD confidence interval width), and a benchmark response factor within predefined bounds. Pathway and gene ontology (GO) term enrichment analyses were performed using the category analysis function in BMDExpress, which groups genes by biological annotation and derives pathway-level BMD summary statistics (median and fifth percentile BMD). Gene sets were required to have a minimum of 5% of annotated genes represented among the modeled genes to be included in pathway-level reporting.</w:t>
      </w:r>
    </w:p>
    <w:p>
      <w:pPr>
        <w:pStyle w:val="3-04aHead3NoNumber"/>
        <w:jc w:val="both"/>
      </w:pPr>
      <w:bookmarkStart w:id="26" w:name="_Toc_mm-fdr"/>
      <w:r>
        <w:rPr>
          <w:rFonts w:ascii="Times New Roman" w:hAnsi="Times New Roman"/>
        </w:rPr>
        <w:t>Empirical False Discovery Rate Determination for Genomic Dose-response Modeling</w:t>
      </w:r>
      <w:bookmarkEnd w:id="26"/>
    </w:p>
    <w:p>
      <w:pPr>
        <w:pStyle w:val="0-03Paragraph"/>
        <w:jc w:val="both"/>
      </w:pPr>
      <w:r>
        <w:rPr>
          <w:rFonts w:ascii="Times New Roman" w:hAnsi="Times New Roman"/>
        </w:rPr>
        <w:t>An empirical false discovery rate (eFDR) was estimated by a permutation-based approach to assess the reliability of pathway-level BMD findings. Dose group labels were randomly shuffled across samples to generate null datasets in which any observed dose-response signal was attributable to chance. The complete BMD analysis pipeline, including gene-level modeling, filtering, and pathway enrichment, was applied to each permuted dataset. A total of 1,000 permutations were performed for each tissue and sex combination. The eFDR at each BMD threshold was calculated as the ratio of the average number of pathways identified in the permuted datasets to the number of pathways identified in the observed data at the same threshold. Pathways with an eFDR below 10% were considered to have a low probability of being false positives and were prioritized for biological interpretation.</w:t>
      </w:r>
    </w:p>
    <w:p>
      <w:pPr>
        <w:pStyle w:val="3-04aHead3NoNumber"/>
        <w:jc w:val="both"/>
      </w:pPr>
      <w:bookmarkStart w:id="27" w:name="_Toc_mm-data-access"/>
      <w:r>
        <w:rPr>
          <w:rFonts w:ascii="Times New Roman" w:hAnsi="Times New Roman"/>
        </w:rPr>
        <w:t>Data Accessibility</w:t>
      </w:r>
      <w:bookmarkEnd w:id="27"/>
    </w:p>
    <w:p>
      <w:pPr>
        <w:pStyle w:val="0-03Paragraph"/>
        <w:jc w:val="both"/>
      </w:pPr>
      <w:r>
        <w:rPr>
          <w:rFonts w:ascii="Times New Roman" w:hAnsi="Times New Roman"/>
        </w:rPr>
        <w:t>All raw and processed data generated in this study, including raw sequencing files, count matrices, normalized expression data, clinical pathology results, body and organ weight data, and internal dose concentration measurements, are publicly available through the National Institute of Environmental Health Sciences (NIEHS) Chemical Effects in Biological Systems (CEBS) database (https://cebs.niehs.nih.gov) and/or the study's designated data repository. Raw sequencing data have been deposited in the NCBI Gene Expression Omnibus (GEO) or a comparable public repository. The accession number and digital object identifier (DOI) for the deposited datasets are provided in the study records and will be updated upon public release: [Accession Number/DOI: to be assigned upon data submission].</w:t>
      </w:r>
    </w:p>
    <w:p>
      <w:pPr>
        <w:pStyle w:val="3-02aHead1NoNumber"/>
        <w:pageBreakBefore/>
      </w:pPr>
      <w:bookmarkStart w:id="28" w:name="_Toc_results"/>
      <w:r>
        <w:t>Results</w:t>
      </w:r>
      <w:bookmarkEnd w:id="28"/>
    </w:p>
    <w:p>
      <w:pPr>
        <w:pStyle w:val="3-03aHead2NoNumber"/>
      </w:pPr>
      <w:bookmarkStart w:id="29" w:name="_Toc_animal-condition"/>
      <w:r>
        <w:t>Animal Condition, Body Weights, and Organ Weights</w:t>
      </w:r>
      <w:bookmarkEnd w:id="29"/>
    </w:p>
    <w:p>
      <w:r>
        <w:rPr>
          <w:i/>
        </w:rPr>
        <w:t>[Narrative pending: Animal Condition, Body Weights, and Organ Weights]</w:t>
      </w:r>
    </w:p>
    <w:p>
      <w:pPr>
        <w:sectPr>
          <w:pgSz w:w="12240" w:h="15840"/>
          <w:pgMar w:top="1440" w:right="1440" w:bottom="1440" w:left="1440" w:header="720" w:footer="720" w:gutter="0"/>
          <w:pgNumType w:start="1" w:fmt="decimal"/>
          <w:cols w:space="720"/>
          <w:docGrid w:linePitch="360"/>
        </w:sectPr>
      </w:pPr>
    </w:p>
    <w:p>
      <w:pPr>
        <w:pStyle w:val="0-25TableTitle"/>
      </w:pPr>
      <w:r>
        <w:t xml:space="preserve">Table </w:t>
      </w:r>
      <w:r>
        <w:fldChar w:fldCharType="begin"/>
        <w:instrText xml:space="preserve"> SEQ Table \* ARABIC </w:instrText>
        <w:fldChar w:fldCharType="separate"/>
      </w:r>
      <w:r>
        <w:t>2</w:t>
      </w:r>
      <w:r>
        <w:fldChar w:fldCharType="end"/>
      </w:r>
      <w:r>
        <w:t xml:space="preserve">. </w:t>
      </w:r>
      <w:r>
        <w:t>Summary of Body Weights of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997"/>
            <w:tcBorders>
              <w:bottom w:val="single" w:sz="8" w:space="0" w:color="000000"/>
            </w:tcBorders>
          </w:tcPr>
          <w:p>
            <w:r>
              <w:rPr>
                <w:rFonts w:ascii="Arial" w:hAnsi="Arial"/>
                <w:b/>
                <w:sz w:val="20"/>
              </w:rPr>
              <w:t>Study Day</w:t>
            </w:r>
          </w:p>
        </w:tc>
        <w:tc>
          <w:tcPr>
            <w:tcW w:type="dxa" w:w="997"/>
            <w:tcBorders>
              <w:bottom w:val="single" w:sz="8" w:space="0" w:color="000000"/>
            </w:tcBorders>
          </w:tcPr>
          <w:p>
            <w:r>
              <w:rPr>
                <w:rFonts w:ascii="Arial" w:hAnsi="Arial"/>
                <w:b/>
                <w:sz w:val="20"/>
              </w:rPr>
              <w:t>0 mg/kg</w:t>
            </w:r>
          </w:p>
        </w:tc>
        <w:tc>
          <w:tcPr>
            <w:tcW w:type="dxa" w:w="997"/>
            <w:tcBorders>
              <w:bottom w:val="single" w:sz="8" w:space="0" w:color="000000"/>
            </w:tcBorders>
          </w:tcPr>
          <w:p>
            <w:r>
              <w:rPr>
                <w:rFonts w:ascii="Arial" w:hAnsi="Arial"/>
                <w:b/>
                <w:sz w:val="20"/>
              </w:rPr>
              <w:t>0.15 mg/kg</w:t>
            </w:r>
          </w:p>
        </w:tc>
        <w:tc>
          <w:tcPr>
            <w:tcW w:type="dxa" w:w="997"/>
            <w:tcBorders>
              <w:bottom w:val="single" w:sz="8" w:space="0" w:color="000000"/>
            </w:tcBorders>
          </w:tcPr>
          <w:p>
            <w:r>
              <w:rPr>
                <w:rFonts w:ascii="Arial" w:hAnsi="Arial"/>
                <w:b/>
                <w:sz w:val="20"/>
              </w:rPr>
              <w:t>0.5 mg/kg</w:t>
            </w:r>
          </w:p>
        </w:tc>
        <w:tc>
          <w:tcPr>
            <w:tcW w:type="dxa" w:w="997"/>
            <w:tcBorders>
              <w:bottom w:val="single" w:sz="8" w:space="0" w:color="000000"/>
            </w:tcBorders>
          </w:tcPr>
          <w:p>
            <w:r>
              <w:rPr>
                <w:rFonts w:ascii="Arial" w:hAnsi="Arial"/>
                <w:b/>
                <w:sz w:val="20"/>
              </w:rPr>
              <w:t>1.4 mg/kg</w:t>
            </w:r>
          </w:p>
        </w:tc>
        <w:tc>
          <w:tcPr>
            <w:tcW w:type="dxa" w:w="997"/>
            <w:tcBorders>
              <w:bottom w:val="single" w:sz="8" w:space="0" w:color="000000"/>
            </w:tcBorders>
          </w:tcPr>
          <w:p>
            <w:r>
              <w:rPr>
                <w:rFonts w:ascii="Arial" w:hAnsi="Arial"/>
                <w:b/>
                <w:sz w:val="20"/>
              </w:rPr>
              <w:t>4 mg/kg</w:t>
            </w:r>
          </w:p>
        </w:tc>
        <w:tc>
          <w:tcPr>
            <w:tcW w:type="dxa" w:w="997"/>
            <w:tcBorders>
              <w:bottom w:val="single" w:sz="8" w:space="0" w:color="000000"/>
            </w:tcBorders>
          </w:tcPr>
          <w:p>
            <w:r>
              <w:rPr>
                <w:rFonts w:ascii="Arial" w:hAnsi="Arial"/>
                <w:b/>
                <w:sz w:val="20"/>
              </w:rPr>
              <w:t>12 mg/kg</w:t>
            </w:r>
          </w:p>
        </w:tc>
        <w:tc>
          <w:tcPr>
            <w:tcW w:type="dxa" w:w="997"/>
            <w:tcBorders>
              <w:bottom w:val="single" w:sz="8" w:space="0" w:color="000000"/>
            </w:tcBorders>
          </w:tcPr>
          <w:p>
            <w:r>
              <w:rPr>
                <w:rFonts w:ascii="Arial" w:hAnsi="Arial"/>
                <w:b/>
                <w:sz w:val="20"/>
              </w:rPr>
              <w:t>37 mg/kg</w:t>
            </w:r>
          </w:p>
        </w:tc>
        <w:tc>
          <w:tcPr>
            <w:tcW w:type="dxa" w:w="997"/>
            <w:tcBorders>
              <w:bottom w:val="single" w:sz="8" w:space="0" w:color="000000"/>
            </w:tcBorders>
          </w:tcPr>
          <w:p>
            <w:r>
              <w:rPr>
                <w:rFonts w:ascii="Arial" w:hAnsi="Arial"/>
                <w:b/>
                <w:sz w:val="20"/>
              </w:rPr>
              <w:t>111 mg/kg</w:t>
            </w:r>
          </w:p>
        </w:tc>
        <w:tc>
          <w:tcPr>
            <w:tcW w:type="dxa" w:w="997"/>
            <w:tcBorders>
              <w:bottom w:val="single" w:sz="8" w:space="0" w:color="000000"/>
            </w:tcBorders>
          </w:tcPr>
          <w:p>
            <w:r>
              <w:rPr>
                <w:rFonts w:ascii="Arial" w:hAnsi="Arial"/>
                <w:b/>
                <w:sz w:val="20"/>
              </w:rPr>
              <w:t>333 mg/kg</w:t>
            </w:r>
          </w:p>
        </w:tc>
        <w:tc>
          <w:tcPr>
            <w:tcW w:type="dxa" w:w="997"/>
            <w:tcBorders>
              <w:bottom w:val="single" w:sz="8" w:space="0" w:color="000000"/>
            </w:tcBorders>
          </w:tcPr>
          <w:p>
            <w:r>
              <w:rPr>
                <w:rFonts w:ascii="Arial" w:hAnsi="Arial"/>
                <w:b/>
                <w:sz w:val="20"/>
              </w:rPr>
              <w:t>1000 mg/kg</w:t>
            </w:r>
          </w:p>
        </w:tc>
        <w:tc>
          <w:tcPr>
            <w:tcW w:type="dxa" w:w="997"/>
            <w:tcBorders>
              <w:bottom w:val="single" w:sz="8" w:space="0" w:color="000000"/>
            </w:tcBorders>
          </w:tcPr>
          <w:p>
            <w:r>
              <w:rPr>
                <w:rFonts w:ascii="Arial" w:hAnsi="Arial"/>
                <w:b/>
                <w:sz w:val="20"/>
              </w:rPr>
              <w:t>BMD 1Std (mg/kg)</w:t>
            </w:r>
          </w:p>
        </w:tc>
        <w:tc>
          <w:tcPr>
            <w:tcW w:type="dxa" w:w="997"/>
            <w:tcBorders>
              <w:bottom w:val="single" w:sz="8" w:space="0" w:color="000000"/>
            </w:tcBorders>
          </w:tcPr>
          <w:p>
            <w:r>
              <w:rPr>
                <w:rFonts w:ascii="Arial" w:hAnsi="Arial"/>
                <w:b/>
                <w:sz w:val="20"/>
              </w:rPr>
              <w:t>BMDL 1Std (mg/kg)</w:t>
            </w:r>
          </w:p>
        </w:tc>
      </w:tr>
      <w:tr>
        <w:tc>
          <w:tcPr>
            <w:tcW w:type="dxa" w:w="12961"/>
            <w:gridSpan w:val="13"/>
          </w:tcPr>
          <w:p>
            <w:r>
              <w:rPr>
                <w:b/>
                <w:sz w:val="20"/>
              </w:rPr>
              <w:t>Male</w:t>
            </w:r>
          </w:p>
        </w:tc>
      </w:tr>
      <w:tr>
        <w:tc>
          <w:tcPr>
            <w:tcW w:type="dxa" w:w="997"/>
          </w:tcPr>
          <w:p>
            <w:r>
              <w:rPr>
                <w:sz w:val="20"/>
              </w:rPr>
              <w:t>n</w:t>
            </w:r>
          </w:p>
        </w:tc>
        <w:tc>
          <w:tcPr>
            <w:tcW w:type="dxa" w:w="997"/>
          </w:tcPr>
          <w:p>
            <w:r>
              <w:rPr>
                <w:sz w:val="20"/>
              </w:rPr>
              <w:t>10</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4</w:t>
            </w:r>
          </w:p>
        </w:tc>
        <w:tc>
          <w:tcPr>
            <w:tcW w:type="dxa" w:w="997"/>
          </w:tcPr>
          <w:p>
            <w:r>
              <w:rPr>
                <w:sz w:val="20"/>
              </w:rPr>
              <w:t>NA</w:t>
            </w:r>
          </w:p>
        </w:tc>
        <w:tc>
          <w:tcPr>
            <w:tcW w:type="dxa" w:w="997"/>
          </w:tcPr>
          <w:p>
            <w:r>
              <w:rPr>
                <w:sz w:val="20"/>
              </w:rPr>
              <w:t>NA</w:t>
            </w:r>
          </w:p>
        </w:tc>
      </w:tr>
      <w:tr>
        <w:tc>
          <w:tcPr>
            <w:tcW w:type="dxa" w:w="997"/>
          </w:tcPr>
          <w:p>
            <w:r>
              <w:rPr>
                <w:sz w:val="20"/>
              </w:rPr>
              <w:t>0</w:t>
            </w:r>
          </w:p>
        </w:tc>
        <w:tc>
          <w:tcPr>
            <w:tcW w:type="dxa" w:w="997"/>
          </w:tcPr>
          <w:p>
            <w:r>
              <w:rPr>
                <w:sz w:val="20"/>
              </w:rPr>
              <w:t>296.5 ± 4.4</w:t>
            </w:r>
          </w:p>
        </w:tc>
        <w:tc>
          <w:tcPr>
            <w:tcW w:type="dxa" w:w="997"/>
          </w:tcPr>
          <w:p>
            <w:r>
              <w:rPr>
                <w:sz w:val="20"/>
              </w:rPr>
              <w:t>297.3 ± 4.5</w:t>
            </w:r>
          </w:p>
        </w:tc>
        <w:tc>
          <w:tcPr>
            <w:tcW w:type="dxa" w:w="997"/>
          </w:tcPr>
          <w:p>
            <w:r>
              <w:rPr>
                <w:sz w:val="20"/>
              </w:rPr>
              <w:t>295.9 ± 1.6</w:t>
            </w:r>
          </w:p>
        </w:tc>
        <w:tc>
          <w:tcPr>
            <w:tcW w:type="dxa" w:w="997"/>
          </w:tcPr>
          <w:p>
            <w:r>
              <w:rPr>
                <w:sz w:val="20"/>
              </w:rPr>
              <w:t>303.7 ± 5.0</w:t>
            </w:r>
          </w:p>
        </w:tc>
        <w:tc>
          <w:tcPr>
            <w:tcW w:type="dxa" w:w="997"/>
          </w:tcPr>
          <w:p>
            <w:r>
              <w:rPr>
                <w:sz w:val="20"/>
              </w:rPr>
              <w:t>292.6 ± 3.8</w:t>
            </w:r>
          </w:p>
        </w:tc>
        <w:tc>
          <w:tcPr>
            <w:tcW w:type="dxa" w:w="997"/>
          </w:tcPr>
          <w:p>
            <w:r>
              <w:rPr>
                <w:sz w:val="20"/>
              </w:rPr>
              <w:t>304.1 ± 3.0</w:t>
            </w:r>
          </w:p>
        </w:tc>
        <w:tc>
          <w:tcPr>
            <w:tcW w:type="dxa" w:w="997"/>
          </w:tcPr>
          <w:p>
            <w:r>
              <w:rPr>
                <w:sz w:val="20"/>
              </w:rPr>
              <w:t>293.2 ± 4.0</w:t>
            </w:r>
          </w:p>
        </w:tc>
        <w:tc>
          <w:tcPr>
            <w:tcW w:type="dxa" w:w="997"/>
          </w:tcPr>
          <w:p>
            <w:r>
              <w:rPr>
                <w:sz w:val="20"/>
              </w:rPr>
              <w:t>298.5 ± 6.0</w:t>
            </w:r>
          </w:p>
        </w:tc>
        <w:tc>
          <w:tcPr>
            <w:tcW w:type="dxa" w:w="997"/>
          </w:tcPr>
          <w:p>
            <w:r>
              <w:rPr>
                <w:sz w:val="20"/>
              </w:rPr>
              <w:t>298.6 ± 3.4</w:t>
            </w:r>
          </w:p>
        </w:tc>
        <w:tc>
          <w:tcPr>
            <w:tcW w:type="dxa" w:w="997"/>
          </w:tcPr>
          <w:p>
            <w:r>
              <w:rPr>
                <w:sz w:val="20"/>
              </w:rPr>
              <w:t>293.8 ± 4.5</w:t>
            </w:r>
          </w:p>
        </w:tc>
        <w:tc>
          <w:tcPr>
            <w:tcW w:type="dxa" w:w="997"/>
          </w:tcPr>
          <w:p>
            <w:r>
              <w:rPr>
                <w:sz w:val="20"/>
              </w:rPr>
              <w:t>ND</w:t>
            </w:r>
          </w:p>
        </w:tc>
        <w:tc>
          <w:tcPr>
            <w:tcW w:type="dxa" w:w="997"/>
          </w:tcPr>
          <w:p>
            <w:r>
              <w:rPr>
                <w:sz w:val="20"/>
              </w:rPr>
              <w:t>ND</w:t>
            </w:r>
          </w:p>
        </w:tc>
      </w:tr>
      <w:tr>
        <w:tc>
          <w:tcPr>
            <w:tcW w:type="dxa" w:w="997"/>
          </w:tcPr>
          <w:p>
            <w:r>
              <w:rPr>
                <w:sz w:val="20"/>
              </w:rPr>
              <w:t>5</w:t>
            </w:r>
          </w:p>
        </w:tc>
        <w:tc>
          <w:tcPr>
            <w:tcW w:type="dxa" w:w="997"/>
          </w:tcPr>
          <w:p>
            <w:r>
              <w:rPr>
                <w:sz w:val="20"/>
              </w:rPr>
              <w:t>311.0 ± 5.2</w:t>
            </w:r>
          </w:p>
        </w:tc>
        <w:tc>
          <w:tcPr>
            <w:tcW w:type="dxa" w:w="997"/>
          </w:tcPr>
          <w:p>
            <w:r>
              <w:rPr>
                <w:sz w:val="20"/>
              </w:rPr>
              <w:t>314.0 ± 5.1</w:t>
            </w:r>
          </w:p>
        </w:tc>
        <w:tc>
          <w:tcPr>
            <w:tcW w:type="dxa" w:w="997"/>
          </w:tcPr>
          <w:p>
            <w:r>
              <w:rPr>
                <w:sz w:val="20"/>
              </w:rPr>
              <w:t>315.5 ± 1.4</w:t>
            </w:r>
          </w:p>
        </w:tc>
        <w:tc>
          <w:tcPr>
            <w:tcW w:type="dxa" w:w="997"/>
          </w:tcPr>
          <w:p>
            <w:r>
              <w:rPr>
                <w:sz w:val="20"/>
              </w:rPr>
              <w:t>320.1 ± 4.8</w:t>
            </w:r>
          </w:p>
        </w:tc>
        <w:tc>
          <w:tcPr>
            <w:tcW w:type="dxa" w:w="997"/>
          </w:tcPr>
          <w:p>
            <w:r>
              <w:rPr>
                <w:sz w:val="20"/>
              </w:rPr>
              <w:t>308.2 ± 4.4</w:t>
            </w:r>
          </w:p>
        </w:tc>
        <w:tc>
          <w:tcPr>
            <w:tcW w:type="dxa" w:w="997"/>
          </w:tcPr>
          <w:p>
            <w:r>
              <w:rPr>
                <w:sz w:val="20"/>
              </w:rPr>
              <w:t>325.9 ± 4.7</w:t>
            </w:r>
          </w:p>
        </w:tc>
        <w:tc>
          <w:tcPr>
            <w:tcW w:type="dxa" w:w="997"/>
          </w:tcPr>
          <w:p>
            <w:r>
              <w:rPr>
                <w:sz w:val="20"/>
              </w:rPr>
              <w:t>308.6 ± 4.2</w:t>
            </w:r>
          </w:p>
        </w:tc>
        <w:tc>
          <w:tcPr>
            <w:tcW w:type="dxa" w:w="997"/>
          </w:tcPr>
          <w:p>
            <w:r>
              <w:rPr>
                <w:sz w:val="20"/>
              </w:rPr>
              <w:t>308.6 ± 3.9</w:t>
            </w:r>
          </w:p>
        </w:tc>
        <w:tc>
          <w:tcPr>
            <w:tcW w:type="dxa" w:w="997"/>
          </w:tcPr>
          <w:p>
            <w:r>
              <w:rPr>
                <w:sz w:val="20"/>
              </w:rPr>
              <w:t>–</w:t>
            </w:r>
          </w:p>
        </w:tc>
        <w:tc>
          <w:tcPr>
            <w:tcW w:type="dxa" w:w="997"/>
          </w:tcPr>
          <w:p>
            <w:r>
              <w:rPr>
                <w:sz w:val="20"/>
              </w:rPr>
              <w:t>–</w:t>
            </w:r>
          </w:p>
        </w:tc>
        <w:tc>
          <w:tcPr>
            <w:tcW w:type="dxa" w:w="997"/>
          </w:tcPr>
          <w:p>
            <w:r>
              <w:rPr>
                <w:sz w:val="20"/>
              </w:rPr>
              <w:t>ND</w:t>
            </w:r>
          </w:p>
        </w:tc>
        <w:tc>
          <w:tcPr>
            <w:tcW w:type="dxa" w:w="997"/>
          </w:tcPr>
          <w:p>
            <w:r>
              <w:rPr>
                <w:sz w:val="20"/>
              </w:rPr>
              <w:t>ND</w:t>
            </w:r>
          </w:p>
        </w:tc>
      </w:tr>
      <w:tr>
        <w:tc>
          <w:tcPr>
            <w:tcW w:type="dxa" w:w="12961"/>
            <w:gridSpan w:val="13"/>
          </w:tcPr>
          <w:p>
            <w:r>
              <w:rPr>
                <w:b/>
                <w:sz w:val="20"/>
              </w:rPr>
              <w:t>Female</w:t>
            </w:r>
          </w:p>
        </w:tc>
      </w:tr>
      <w:tr>
        <w:tc>
          <w:tcPr>
            <w:tcW w:type="dxa" w:w="997"/>
          </w:tcPr>
          <w:p>
            <w:r>
              <w:rPr>
                <w:sz w:val="20"/>
              </w:rPr>
              <w:t>n</w:t>
            </w:r>
          </w:p>
        </w:tc>
        <w:tc>
          <w:tcPr>
            <w:tcW w:type="dxa" w:w="997"/>
          </w:tcPr>
          <w:p>
            <w:r>
              <w:rPr>
                <w:sz w:val="20"/>
              </w:rPr>
              <w:t>10</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NA</w:t>
            </w:r>
          </w:p>
        </w:tc>
        <w:tc>
          <w:tcPr>
            <w:tcW w:type="dxa" w:w="997"/>
          </w:tcPr>
          <w:p>
            <w:r>
              <w:rPr>
                <w:sz w:val="20"/>
              </w:rPr>
              <w:t>NA</w:t>
            </w:r>
          </w:p>
        </w:tc>
      </w:tr>
      <w:tr>
        <w:tc>
          <w:tcPr>
            <w:tcW w:type="dxa" w:w="997"/>
          </w:tcPr>
          <w:p>
            <w:r>
              <w:rPr>
                <w:sz w:val="20"/>
              </w:rPr>
              <w:t>0</w:t>
            </w:r>
          </w:p>
        </w:tc>
        <w:tc>
          <w:tcPr>
            <w:tcW w:type="dxa" w:w="997"/>
          </w:tcPr>
          <w:p>
            <w:r>
              <w:rPr>
                <w:sz w:val="20"/>
              </w:rPr>
              <w:t>210.1 ± 5.4</w:t>
            </w:r>
          </w:p>
        </w:tc>
        <w:tc>
          <w:tcPr>
            <w:tcW w:type="dxa" w:w="997"/>
          </w:tcPr>
          <w:p>
            <w:r>
              <w:rPr>
                <w:sz w:val="20"/>
              </w:rPr>
              <w:t>209.1 ± 6.6</w:t>
            </w:r>
          </w:p>
        </w:tc>
        <w:tc>
          <w:tcPr>
            <w:tcW w:type="dxa" w:w="997"/>
          </w:tcPr>
          <w:p>
            <w:r>
              <w:rPr>
                <w:sz w:val="20"/>
              </w:rPr>
              <w:t>206.7 ± 3.9</w:t>
            </w:r>
          </w:p>
        </w:tc>
        <w:tc>
          <w:tcPr>
            <w:tcW w:type="dxa" w:w="997"/>
          </w:tcPr>
          <w:p>
            <w:r>
              <w:rPr>
                <w:sz w:val="20"/>
              </w:rPr>
              <w:t>205.2 ± 4.2</w:t>
            </w:r>
          </w:p>
        </w:tc>
        <w:tc>
          <w:tcPr>
            <w:tcW w:type="dxa" w:w="997"/>
          </w:tcPr>
          <w:p>
            <w:r>
              <w:rPr>
                <w:sz w:val="20"/>
              </w:rPr>
              <w:t>212.9 ± 7.1</w:t>
            </w:r>
          </w:p>
        </w:tc>
        <w:tc>
          <w:tcPr>
            <w:tcW w:type="dxa" w:w="997"/>
          </w:tcPr>
          <w:p>
            <w:r>
              <w:rPr>
                <w:sz w:val="20"/>
              </w:rPr>
              <w:t>206.8 ± 3.9</w:t>
            </w:r>
          </w:p>
        </w:tc>
        <w:tc>
          <w:tcPr>
            <w:tcW w:type="dxa" w:w="997"/>
          </w:tcPr>
          <w:p>
            <w:r>
              <w:rPr>
                <w:sz w:val="20"/>
              </w:rPr>
              <w:t>203.6 ± 4.6</w:t>
            </w:r>
          </w:p>
        </w:tc>
        <w:tc>
          <w:tcPr>
            <w:tcW w:type="dxa" w:w="997"/>
          </w:tcPr>
          <w:p>
            <w:r>
              <w:rPr>
                <w:sz w:val="20"/>
              </w:rPr>
              <w:t>207.0 ± 3.9</w:t>
            </w:r>
          </w:p>
        </w:tc>
        <w:tc>
          <w:tcPr>
            <w:tcW w:type="dxa" w:w="997"/>
          </w:tcPr>
          <w:p>
            <w:r>
              <w:rPr>
                <w:sz w:val="20"/>
              </w:rPr>
              <w:t>204.9 ± 4.4</w:t>
            </w:r>
          </w:p>
        </w:tc>
        <w:tc>
          <w:tcPr>
            <w:tcW w:type="dxa" w:w="997"/>
          </w:tcPr>
          <w:p>
            <w:r>
              <w:rPr>
                <w:sz w:val="20"/>
              </w:rPr>
              <w:t>203.6 ± 4.5</w:t>
            </w:r>
          </w:p>
        </w:tc>
        <w:tc>
          <w:tcPr>
            <w:tcW w:type="dxa" w:w="997"/>
          </w:tcPr>
          <w:p>
            <w:r>
              <w:rPr>
                <w:sz w:val="20"/>
              </w:rPr>
              <w:t>ND</w:t>
            </w:r>
          </w:p>
        </w:tc>
        <w:tc>
          <w:tcPr>
            <w:tcW w:type="dxa" w:w="997"/>
          </w:tcPr>
          <w:p>
            <w:r>
              <w:rPr>
                <w:sz w:val="20"/>
              </w:rPr>
              <w:t>ND</w:t>
            </w:r>
          </w:p>
        </w:tc>
      </w:tr>
      <w:tr>
        <w:tc>
          <w:tcPr>
            <w:tcW w:type="dxa" w:w="997"/>
          </w:tcPr>
          <w:p>
            <w:r>
              <w:rPr>
                <w:sz w:val="20"/>
              </w:rPr>
              <w:t>5</w:t>
            </w:r>
          </w:p>
        </w:tc>
        <w:tc>
          <w:tcPr>
            <w:tcW w:type="dxa" w:w="997"/>
          </w:tcPr>
          <w:p>
            <w:r>
              <w:rPr>
                <w:sz w:val="20"/>
              </w:rPr>
              <w:t>221.0 ± 5.4</w:t>
            </w:r>
          </w:p>
        </w:tc>
        <w:tc>
          <w:tcPr>
            <w:tcW w:type="dxa" w:w="997"/>
          </w:tcPr>
          <w:p>
            <w:r>
              <w:rPr>
                <w:sz w:val="20"/>
              </w:rPr>
              <w:t>215.4 ± 7.5</w:t>
            </w:r>
          </w:p>
        </w:tc>
        <w:tc>
          <w:tcPr>
            <w:tcW w:type="dxa" w:w="997"/>
          </w:tcPr>
          <w:p>
            <w:r>
              <w:rPr>
                <w:sz w:val="20"/>
              </w:rPr>
              <w:t>211.0 ± 4.0</w:t>
            </w:r>
          </w:p>
        </w:tc>
        <w:tc>
          <w:tcPr>
            <w:tcW w:type="dxa" w:w="997"/>
          </w:tcPr>
          <w:p>
            <w:r>
              <w:rPr>
                <w:sz w:val="20"/>
              </w:rPr>
              <w:t>213.0 ± 6.5</w:t>
            </w:r>
          </w:p>
        </w:tc>
        <w:tc>
          <w:tcPr>
            <w:tcW w:type="dxa" w:w="997"/>
          </w:tcPr>
          <w:p>
            <w:r>
              <w:rPr>
                <w:sz w:val="20"/>
              </w:rPr>
              <w:t>219.0 ± 7.4</w:t>
            </w:r>
          </w:p>
        </w:tc>
        <w:tc>
          <w:tcPr>
            <w:tcW w:type="dxa" w:w="997"/>
          </w:tcPr>
          <w:p>
            <w:r>
              <w:rPr>
                <w:sz w:val="20"/>
              </w:rPr>
              <w:t>216.3 ± 6.2</w:t>
            </w:r>
          </w:p>
        </w:tc>
        <w:tc>
          <w:tcPr>
            <w:tcW w:type="dxa" w:w="997"/>
          </w:tcPr>
          <w:p>
            <w:r>
              <w:rPr>
                <w:sz w:val="20"/>
              </w:rPr>
              <w:t>208.2 ± 5.5</w:t>
            </w:r>
          </w:p>
        </w:tc>
        <w:tc>
          <w:tcPr>
            <w:tcW w:type="dxa" w:w="997"/>
          </w:tcPr>
          <w:p>
            <w:r>
              <w:rPr>
                <w:sz w:val="20"/>
              </w:rPr>
              <w:t>213.2 ± 4.0</w:t>
            </w:r>
          </w:p>
        </w:tc>
        <w:tc>
          <w:tcPr>
            <w:tcW w:type="dxa" w:w="997"/>
          </w:tcPr>
          <w:p>
            <w:r>
              <w:rPr>
                <w:sz w:val="20"/>
              </w:rPr>
              <w:t>–</w:t>
            </w:r>
          </w:p>
        </w:tc>
        <w:tc>
          <w:tcPr>
            <w:tcW w:type="dxa" w:w="997"/>
          </w:tcPr>
          <w:p>
            <w:r>
              <w:rPr>
                <w:sz w:val="20"/>
              </w:rPr>
              <w:t>–</w:t>
            </w:r>
          </w:p>
        </w:tc>
        <w:tc>
          <w:tcPr>
            <w:tcW w:type="dxa" w:w="997"/>
          </w:tcPr>
          <w:p>
            <w:r>
              <w:rPr>
                <w:sz w:val="20"/>
              </w:rPr>
              <w:t>ND</w:t>
            </w:r>
          </w:p>
        </w:tc>
        <w:tc>
          <w:tcPr>
            <w:tcW w:type="dxa" w:w="997"/>
          </w:tcPr>
          <w:p>
            <w:r>
              <w:rPr>
                <w:sz w:val="20"/>
              </w:rPr>
              <w:t>ND</w:t>
            </w:r>
          </w:p>
        </w:tc>
      </w:tr>
    </w:tbl>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 body weight data are presented in grams.</w:t>
      </w:r>
    </w:p>
    <w:p>
      <w:r>
        <w:rPr>
          <w:sz w:val="16"/>
          <w:vertAlign w:val="superscript"/>
        </w:rPr>
        <w:t xml:space="preserve">b </w:t>
      </w:r>
      <w:r>
        <w:rPr>
          <w:sz w:val="16"/>
        </w:rPr>
        <w:t>Statistical analysis performed by the Jonckheere (trend) and Williams or Dunnett (pairwise) tests.</w:t>
      </w:r>
    </w:p>
    <w:p>
      <w:r>
        <w:rPr>
          <w:sz w:val="16"/>
          <w:vertAlign w:val="superscript"/>
        </w:rPr>
        <w:t xml:space="preserve">c </w:t>
      </w:r>
      <w:r>
        <w:rPr>
          <w:sz w:val="16"/>
        </w:rPr>
        <w:t>One male rat was found dead on study day 0.</w:t>
      </w:r>
    </w:p>
    <w:p>
      <w:r>
        <w:rPr>
          <w:sz w:val="16"/>
          <w:vertAlign w:val="superscript"/>
        </w:rPr>
        <w:t xml:space="preserve">d </w:t>
      </w:r>
      <w:r>
        <w:rPr>
          <w:sz w:val="16"/>
        </w:rPr>
        <w:t>All male and female 333 and 1,000 mg/kg rats were found dead or moribund and euthanized by study day 1.</w:t>
      </w:r>
    </w:p>
    <w:p>
      <w:pPr>
        <w:pStyle w:val="0-25TableTitle"/>
        <w:pageBreakBefore/>
      </w:pPr>
      <w:r>
        <w:t xml:space="preserve">Table </w:t>
      </w:r>
      <w:r>
        <w:fldChar w:fldCharType="begin"/>
        <w:instrText xml:space="preserve"> SEQ Table \* ARABIC </w:instrText>
        <w:fldChar w:fldCharType="separate"/>
      </w:r>
      <w:r>
        <w:t>3</w:t>
      </w:r>
      <w:r>
        <w:fldChar w:fldCharType="end"/>
      </w:r>
      <w:r>
        <w:t xml:space="preserve">. </w:t>
      </w:r>
      <w:r>
        <w:t>Summary of Liver Weights of 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997"/>
            <w:tcBorders>
              <w:bottom w:val="single" w:sz="8" w:space="0" w:color="000000"/>
            </w:tcBorders>
          </w:tcPr>
          <w:p>
            <w:r>
              <w:rPr>
                <w:rFonts w:ascii="Arial" w:hAnsi="Arial"/>
                <w:b/>
                <w:sz w:val="20"/>
              </w:rPr>
              <w:t>Endpoint</w:t>
            </w:r>
          </w:p>
        </w:tc>
        <w:tc>
          <w:tcPr>
            <w:tcW w:type="dxa" w:w="997"/>
            <w:tcBorders>
              <w:bottom w:val="single" w:sz="8" w:space="0" w:color="000000"/>
            </w:tcBorders>
          </w:tcPr>
          <w:p>
            <w:r>
              <w:rPr>
                <w:rFonts w:ascii="Arial" w:hAnsi="Arial"/>
                <w:b/>
                <w:sz w:val="20"/>
              </w:rPr>
              <w:t>0 mg/kg</w:t>
            </w:r>
          </w:p>
        </w:tc>
        <w:tc>
          <w:tcPr>
            <w:tcW w:type="dxa" w:w="997"/>
            <w:tcBorders>
              <w:bottom w:val="single" w:sz="8" w:space="0" w:color="000000"/>
            </w:tcBorders>
          </w:tcPr>
          <w:p>
            <w:r>
              <w:rPr>
                <w:rFonts w:ascii="Arial" w:hAnsi="Arial"/>
                <w:b/>
                <w:sz w:val="20"/>
              </w:rPr>
              <w:t>0.15 mg/kg</w:t>
            </w:r>
          </w:p>
        </w:tc>
        <w:tc>
          <w:tcPr>
            <w:tcW w:type="dxa" w:w="997"/>
            <w:tcBorders>
              <w:bottom w:val="single" w:sz="8" w:space="0" w:color="000000"/>
            </w:tcBorders>
          </w:tcPr>
          <w:p>
            <w:r>
              <w:rPr>
                <w:rFonts w:ascii="Arial" w:hAnsi="Arial"/>
                <w:b/>
                <w:sz w:val="20"/>
              </w:rPr>
              <w:t>0.5 mg/kg</w:t>
            </w:r>
          </w:p>
        </w:tc>
        <w:tc>
          <w:tcPr>
            <w:tcW w:type="dxa" w:w="997"/>
            <w:tcBorders>
              <w:bottom w:val="single" w:sz="8" w:space="0" w:color="000000"/>
            </w:tcBorders>
          </w:tcPr>
          <w:p>
            <w:r>
              <w:rPr>
                <w:rFonts w:ascii="Arial" w:hAnsi="Arial"/>
                <w:b/>
                <w:sz w:val="20"/>
              </w:rPr>
              <w:t>1.4 mg/kg</w:t>
            </w:r>
          </w:p>
        </w:tc>
        <w:tc>
          <w:tcPr>
            <w:tcW w:type="dxa" w:w="997"/>
            <w:tcBorders>
              <w:bottom w:val="single" w:sz="8" w:space="0" w:color="000000"/>
            </w:tcBorders>
          </w:tcPr>
          <w:p>
            <w:r>
              <w:rPr>
                <w:rFonts w:ascii="Arial" w:hAnsi="Arial"/>
                <w:b/>
                <w:sz w:val="20"/>
              </w:rPr>
              <w:t>4 mg/kg</w:t>
            </w:r>
          </w:p>
        </w:tc>
        <w:tc>
          <w:tcPr>
            <w:tcW w:type="dxa" w:w="997"/>
            <w:tcBorders>
              <w:bottom w:val="single" w:sz="8" w:space="0" w:color="000000"/>
            </w:tcBorders>
          </w:tcPr>
          <w:p>
            <w:r>
              <w:rPr>
                <w:rFonts w:ascii="Arial" w:hAnsi="Arial"/>
                <w:b/>
                <w:sz w:val="20"/>
              </w:rPr>
              <w:t>12 mg/kg</w:t>
            </w:r>
          </w:p>
        </w:tc>
        <w:tc>
          <w:tcPr>
            <w:tcW w:type="dxa" w:w="997"/>
            <w:tcBorders>
              <w:bottom w:val="single" w:sz="8" w:space="0" w:color="000000"/>
            </w:tcBorders>
          </w:tcPr>
          <w:p>
            <w:r>
              <w:rPr>
                <w:rFonts w:ascii="Arial" w:hAnsi="Arial"/>
                <w:b/>
                <w:sz w:val="20"/>
              </w:rPr>
              <w:t>37 mg/kg</w:t>
            </w:r>
          </w:p>
        </w:tc>
        <w:tc>
          <w:tcPr>
            <w:tcW w:type="dxa" w:w="997"/>
            <w:tcBorders>
              <w:bottom w:val="single" w:sz="8" w:space="0" w:color="000000"/>
            </w:tcBorders>
          </w:tcPr>
          <w:p>
            <w:r>
              <w:rPr>
                <w:rFonts w:ascii="Arial" w:hAnsi="Arial"/>
                <w:b/>
                <w:sz w:val="20"/>
              </w:rPr>
              <w:t>111 mg/kg</w:t>
            </w:r>
          </w:p>
        </w:tc>
        <w:tc>
          <w:tcPr>
            <w:tcW w:type="dxa" w:w="997"/>
            <w:tcBorders>
              <w:bottom w:val="single" w:sz="8" w:space="0" w:color="000000"/>
            </w:tcBorders>
          </w:tcPr>
          <w:p>
            <w:r>
              <w:rPr>
                <w:rFonts w:ascii="Arial" w:hAnsi="Arial"/>
                <w:b/>
                <w:sz w:val="20"/>
              </w:rPr>
              <w:t>333 mg/kg</w:t>
            </w:r>
          </w:p>
        </w:tc>
        <w:tc>
          <w:tcPr>
            <w:tcW w:type="dxa" w:w="997"/>
            <w:tcBorders>
              <w:bottom w:val="single" w:sz="8" w:space="0" w:color="000000"/>
            </w:tcBorders>
          </w:tcPr>
          <w:p>
            <w:r>
              <w:rPr>
                <w:rFonts w:ascii="Arial" w:hAnsi="Arial"/>
                <w:b/>
                <w:sz w:val="20"/>
              </w:rPr>
              <w:t>1000 mg/kg</w:t>
            </w:r>
          </w:p>
        </w:tc>
        <w:tc>
          <w:tcPr>
            <w:tcW w:type="dxa" w:w="997"/>
            <w:tcBorders>
              <w:bottom w:val="single" w:sz="8" w:space="0" w:color="000000"/>
            </w:tcBorders>
          </w:tcPr>
          <w:p>
            <w:r>
              <w:rPr>
                <w:rFonts w:ascii="Arial" w:hAnsi="Arial"/>
                <w:b/>
                <w:sz w:val="20"/>
              </w:rPr>
              <w:t>BMD 1Std (mg/kg)</w:t>
            </w:r>
          </w:p>
        </w:tc>
        <w:tc>
          <w:tcPr>
            <w:tcW w:type="dxa" w:w="997"/>
            <w:tcBorders>
              <w:bottom w:val="single" w:sz="8" w:space="0" w:color="000000"/>
            </w:tcBorders>
          </w:tcPr>
          <w:p>
            <w:r>
              <w:rPr>
                <w:rFonts w:ascii="Arial" w:hAnsi="Arial"/>
                <w:b/>
                <w:sz w:val="20"/>
              </w:rPr>
              <w:t>BMDL 1Std (mg/kg)</w:t>
            </w:r>
          </w:p>
        </w:tc>
      </w:tr>
      <w:tr>
        <w:tc>
          <w:tcPr>
            <w:tcW w:type="dxa" w:w="12961"/>
            <w:gridSpan w:val="13"/>
          </w:tcPr>
          <w:p>
            <w:r>
              <w:rPr>
                <w:b/>
                <w:sz w:val="20"/>
              </w:rPr>
              <w:t>Male</w:t>
            </w:r>
          </w:p>
        </w:tc>
      </w:tr>
      <w:tr>
        <w:tc>
          <w:tcPr>
            <w:tcW w:type="dxa" w:w="997"/>
          </w:tcPr>
          <w:p>
            <w:r>
              <w:rPr>
                <w:sz w:val="20"/>
              </w:rPr>
              <w:t>n</w:t>
            </w:r>
          </w:p>
        </w:tc>
        <w:tc>
          <w:tcPr>
            <w:tcW w:type="dxa" w:w="997"/>
          </w:tcPr>
          <w:p>
            <w:r>
              <w:rPr>
                <w:sz w:val="20"/>
              </w:rPr>
              <w:t>10</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5</w:t>
            </w:r>
          </w:p>
        </w:tc>
        <w:tc>
          <w:tcPr>
            <w:tcW w:type="dxa" w:w="997"/>
          </w:tcPr>
          <w:p>
            <w:r>
              <w:rPr>
                <w:sz w:val="20"/>
              </w:rPr>
              <w:t>–</w:t>
            </w:r>
          </w:p>
        </w:tc>
        <w:tc>
          <w:tcPr>
            <w:tcW w:type="dxa" w:w="997"/>
          </w:tcPr>
          <w:p>
            <w:r>
              <w:rPr>
                <w:sz w:val="20"/>
              </w:rPr>
              <w:t>–</w:t>
            </w:r>
          </w:p>
        </w:tc>
        <w:tc>
          <w:tcPr>
            <w:tcW w:type="dxa" w:w="997"/>
          </w:tcPr>
          <w:p>
            <w:r>
              <w:rPr>
                <w:sz w:val="20"/>
              </w:rPr>
              <w:t>NA</w:t>
            </w:r>
          </w:p>
        </w:tc>
        <w:tc>
          <w:tcPr>
            <w:tcW w:type="dxa" w:w="997"/>
          </w:tcPr>
          <w:p>
            <w:r>
              <w:rPr>
                <w:sz w:val="20"/>
              </w:rPr>
              <w:t>NA</w:t>
            </w:r>
          </w:p>
        </w:tc>
      </w:tr>
      <w:tr>
        <w:tc>
          <w:tcPr>
            <w:tcW w:type="dxa" w:w="997"/>
          </w:tcPr>
          <w:p>
            <w:r>
              <w:rPr>
                <w:sz w:val="20"/>
              </w:rPr>
              <w:t>Terminal Body Weight (g)</w:t>
            </w:r>
          </w:p>
        </w:tc>
        <w:tc>
          <w:tcPr>
            <w:tcW w:type="dxa" w:w="997"/>
          </w:tcPr>
          <w:p>
            <w:r>
              <w:rPr>
                <w:sz w:val="20"/>
              </w:rPr>
              <w:t>311.0 ± 5.2</w:t>
            </w:r>
          </w:p>
        </w:tc>
        <w:tc>
          <w:tcPr>
            <w:tcW w:type="dxa" w:w="997"/>
          </w:tcPr>
          <w:p>
            <w:r>
              <w:rPr>
                <w:sz w:val="20"/>
              </w:rPr>
              <w:t>314.0 ± 5.1</w:t>
            </w:r>
          </w:p>
        </w:tc>
        <w:tc>
          <w:tcPr>
            <w:tcW w:type="dxa" w:w="997"/>
          </w:tcPr>
          <w:p>
            <w:r>
              <w:rPr>
                <w:sz w:val="20"/>
              </w:rPr>
              <w:t>315.5 ± 1.4</w:t>
            </w:r>
          </w:p>
        </w:tc>
        <w:tc>
          <w:tcPr>
            <w:tcW w:type="dxa" w:w="997"/>
          </w:tcPr>
          <w:p>
            <w:r>
              <w:rPr>
                <w:sz w:val="20"/>
              </w:rPr>
              <w:t>320.1 ± 4.8</w:t>
            </w:r>
          </w:p>
        </w:tc>
        <w:tc>
          <w:tcPr>
            <w:tcW w:type="dxa" w:w="997"/>
          </w:tcPr>
          <w:p>
            <w:r>
              <w:rPr>
                <w:sz w:val="20"/>
              </w:rPr>
              <w:t>308.2 ± 4.4</w:t>
            </w:r>
          </w:p>
        </w:tc>
        <w:tc>
          <w:tcPr>
            <w:tcW w:type="dxa" w:w="997"/>
          </w:tcPr>
          <w:p>
            <w:r>
              <w:rPr>
                <w:sz w:val="20"/>
              </w:rPr>
              <w:t>325.9 ± 4.7</w:t>
            </w:r>
          </w:p>
        </w:tc>
        <w:tc>
          <w:tcPr>
            <w:tcW w:type="dxa" w:w="997"/>
          </w:tcPr>
          <w:p>
            <w:r>
              <w:rPr>
                <w:sz w:val="20"/>
              </w:rPr>
              <w:t>308.6 ± 4.2</w:t>
            </w:r>
          </w:p>
        </w:tc>
        <w:tc>
          <w:tcPr>
            <w:tcW w:type="dxa" w:w="997"/>
          </w:tcPr>
          <w:p>
            <w:r>
              <w:rPr>
                <w:sz w:val="20"/>
              </w:rPr>
              <w:t>308.6 ± 3.9</w:t>
            </w:r>
          </w:p>
        </w:tc>
        <w:tc>
          <w:tcPr>
            <w:tcW w:type="dxa" w:w="997"/>
          </w:tcPr>
          <w:p>
            <w:r>
              <w:rPr>
                <w:sz w:val="20"/>
              </w:rPr>
              <w:t>–</w:t>
            </w:r>
          </w:p>
        </w:tc>
        <w:tc>
          <w:tcPr>
            <w:tcW w:type="dxa" w:w="997"/>
          </w:tcPr>
          <w:p>
            <w:r>
              <w:rPr>
                <w:sz w:val="20"/>
              </w:rPr>
              <w:t>–</w:t>
            </w:r>
          </w:p>
        </w:tc>
        <w:tc>
          <w:tcPr>
            <w:tcW w:type="dxa" w:w="997"/>
          </w:tcPr>
          <w:p>
            <w:r>
              <w:rPr>
                <w:sz w:val="20"/>
              </w:rPr>
              <w:t>ND</w:t>
            </w:r>
          </w:p>
        </w:tc>
        <w:tc>
          <w:tcPr>
            <w:tcW w:type="dxa" w:w="997"/>
          </w:tcPr>
          <w:p>
            <w:r>
              <w:rPr>
                <w:sz w:val="20"/>
              </w:rPr>
              <w:t>ND</w:t>
            </w:r>
          </w:p>
        </w:tc>
      </w:tr>
      <w:tr>
        <w:tc>
          <w:tcPr>
            <w:tcW w:type="dxa" w:w="997"/>
          </w:tcPr>
          <w:p>
            <w:r>
              <w:rPr>
                <w:sz w:val="20"/>
              </w:rPr>
              <w:t>Liver Absolute (g)</w:t>
            </w:r>
          </w:p>
        </w:tc>
        <w:tc>
          <w:tcPr>
            <w:tcW w:type="dxa" w:w="997"/>
          </w:tcPr>
          <w:p>
            <w:r>
              <w:rPr>
                <w:sz w:val="20"/>
              </w:rPr>
              <w:t>11.48 ± 0.31**</w:t>
            </w:r>
          </w:p>
        </w:tc>
        <w:tc>
          <w:tcPr>
            <w:tcW w:type="dxa" w:w="997"/>
          </w:tcPr>
          <w:p>
            <w:r>
              <w:rPr>
                <w:sz w:val="20"/>
              </w:rPr>
              <w:t>12.00 ± 0.37</w:t>
            </w:r>
          </w:p>
        </w:tc>
        <w:tc>
          <w:tcPr>
            <w:tcW w:type="dxa" w:w="997"/>
          </w:tcPr>
          <w:p>
            <w:r>
              <w:rPr>
                <w:sz w:val="20"/>
              </w:rPr>
              <w:t>12.31 ± 0.30</w:t>
            </w:r>
          </w:p>
        </w:tc>
        <w:tc>
          <w:tcPr>
            <w:tcW w:type="dxa" w:w="997"/>
          </w:tcPr>
          <w:p>
            <w:r>
              <w:rPr>
                <w:sz w:val="20"/>
              </w:rPr>
              <w:t>12.48 ± 0.35</w:t>
            </w:r>
          </w:p>
        </w:tc>
        <w:tc>
          <w:tcPr>
            <w:tcW w:type="dxa" w:w="997"/>
          </w:tcPr>
          <w:p>
            <w:r>
              <w:rPr>
                <w:sz w:val="20"/>
              </w:rPr>
              <w:t>11.80 ± 0.35</w:t>
            </w:r>
          </w:p>
        </w:tc>
        <w:tc>
          <w:tcPr>
            <w:tcW w:type="dxa" w:w="997"/>
          </w:tcPr>
          <w:p>
            <w:r>
              <w:rPr>
                <w:sz w:val="20"/>
              </w:rPr>
              <w:t>13.14 ± 0.41**</w:t>
            </w:r>
          </w:p>
        </w:tc>
        <w:tc>
          <w:tcPr>
            <w:tcW w:type="dxa" w:w="997"/>
          </w:tcPr>
          <w:p>
            <w:r>
              <w:rPr>
                <w:sz w:val="20"/>
              </w:rPr>
              <w:t>12.75 ± 0.30**</w:t>
            </w:r>
          </w:p>
        </w:tc>
        <w:tc>
          <w:tcPr>
            <w:tcW w:type="dxa" w:w="997"/>
          </w:tcPr>
          <w:p>
            <w:r>
              <w:rPr>
                <w:sz w:val="20"/>
              </w:rPr>
              <w:t>14.31 ± 0.11</w:t>
            </w:r>
          </w:p>
        </w:tc>
        <w:tc>
          <w:tcPr>
            <w:tcW w:type="dxa" w:w="997"/>
          </w:tcPr>
          <w:p>
            <w:r>
              <w:rPr>
                <w:sz w:val="20"/>
              </w:rPr>
              <w:t>—</w:t>
            </w:r>
          </w:p>
        </w:tc>
        <w:tc>
          <w:tcPr>
            <w:tcW w:type="dxa" w:w="997"/>
          </w:tcPr>
          <w:p>
            <w:r>
              <w:rPr>
                <w:sz w:val="20"/>
              </w:rPr>
              <w:t>—</w:t>
            </w:r>
          </w:p>
        </w:tc>
        <w:tc>
          <w:tcPr>
            <w:tcW w:type="dxa" w:w="997"/>
          </w:tcPr>
          <w:p>
            <w:r>
              <w:rPr>
                <w:sz w:val="20"/>
              </w:rPr>
              <w:t>20.5</w:t>
            </w:r>
          </w:p>
        </w:tc>
        <w:tc>
          <w:tcPr>
            <w:tcW w:type="dxa" w:w="997"/>
          </w:tcPr>
          <w:p>
            <w:r>
              <w:rPr>
                <w:sz w:val="20"/>
              </w:rPr>
              <w:t>3.04</w:t>
            </w:r>
          </w:p>
        </w:tc>
      </w:tr>
      <w:tr>
        <w:tc>
          <w:tcPr>
            <w:tcW w:type="dxa" w:w="997"/>
          </w:tcPr>
          <w:p>
            <w:r>
              <w:rPr>
                <w:sz w:val="20"/>
              </w:rPr>
              <w:t>Liver Relative (mg/g)</w:t>
            </w:r>
          </w:p>
        </w:tc>
        <w:tc>
          <w:tcPr>
            <w:tcW w:type="dxa" w:w="997"/>
          </w:tcPr>
          <w:p>
            <w:r>
              <w:rPr>
                <w:sz w:val="20"/>
              </w:rPr>
              <w:t>36.88 ± 0.52</w:t>
            </w:r>
          </w:p>
        </w:tc>
        <w:tc>
          <w:tcPr>
            <w:tcW w:type="dxa" w:w="997"/>
          </w:tcPr>
          <w:p>
            <w:r>
              <w:rPr>
                <w:sz w:val="20"/>
              </w:rPr>
              <w:t>38.21 ± 0.78</w:t>
            </w:r>
          </w:p>
        </w:tc>
        <w:tc>
          <w:tcPr>
            <w:tcW w:type="dxa" w:w="997"/>
          </w:tcPr>
          <w:p>
            <w:r>
              <w:rPr>
                <w:sz w:val="20"/>
              </w:rPr>
              <w:t>39.03 ± 0.85</w:t>
            </w:r>
          </w:p>
        </w:tc>
        <w:tc>
          <w:tcPr>
            <w:tcW w:type="dxa" w:w="997"/>
          </w:tcPr>
          <w:p>
            <w:r>
              <w:rPr>
                <w:sz w:val="20"/>
              </w:rPr>
              <w:t>39.01 ± 1.22</w:t>
            </w:r>
          </w:p>
        </w:tc>
        <w:tc>
          <w:tcPr>
            <w:tcW w:type="dxa" w:w="997"/>
          </w:tcPr>
          <w:p>
            <w:r>
              <w:rPr>
                <w:sz w:val="20"/>
              </w:rPr>
              <w:t>38.26 ± 0.77</w:t>
            </w:r>
          </w:p>
        </w:tc>
        <w:tc>
          <w:tcPr>
            <w:tcW w:type="dxa" w:w="997"/>
          </w:tcPr>
          <w:p>
            <w:r>
              <w:rPr>
                <w:sz w:val="20"/>
              </w:rPr>
              <w:t>40.28 ± 0.78</w:t>
            </w:r>
          </w:p>
        </w:tc>
        <w:tc>
          <w:tcPr>
            <w:tcW w:type="dxa" w:w="997"/>
          </w:tcPr>
          <w:p>
            <w:r>
              <w:rPr>
                <w:sz w:val="20"/>
              </w:rPr>
              <w:t>41.33 ± 1.00</w:t>
            </w:r>
          </w:p>
        </w:tc>
        <w:tc>
          <w:tcPr>
            <w:tcW w:type="dxa" w:w="997"/>
          </w:tcPr>
          <w:p>
            <w:r>
              <w:rPr>
                <w:sz w:val="20"/>
              </w:rPr>
              <w:t>46.42 ± 0.86</w:t>
            </w:r>
          </w:p>
        </w:tc>
        <w:tc>
          <w:tcPr>
            <w:tcW w:type="dxa" w:w="997"/>
          </w:tcPr>
          <w:p>
            <w:r>
              <w:rPr>
                <w:sz w:val="20"/>
              </w:rPr>
              <w:t>–</w:t>
            </w:r>
          </w:p>
        </w:tc>
        <w:tc>
          <w:tcPr>
            <w:tcW w:type="dxa" w:w="997"/>
          </w:tcPr>
          <w:p>
            <w:r>
              <w:rPr>
                <w:sz w:val="20"/>
              </w:rPr>
              <w:t>–</w:t>
            </w:r>
          </w:p>
        </w:tc>
        <w:tc>
          <w:tcPr>
            <w:tcW w:type="dxa" w:w="997"/>
          </w:tcPr>
          <w:p>
            <w:r>
              <w:rPr>
                <w:sz w:val="20"/>
              </w:rPr>
              <w:t>ND</w:t>
            </w:r>
          </w:p>
        </w:tc>
        <w:tc>
          <w:tcPr>
            <w:tcW w:type="dxa" w:w="997"/>
          </w:tcPr>
          <w:p>
            <w:r>
              <w:rPr>
                <w:sz w:val="20"/>
              </w:rPr>
              <w:t>ND</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Williams or Dunnett (pairwise) tests.</w:t>
      </w:r>
    </w:p>
    <w:p>
      <w:r>
        <w:rPr>
          <w:sz w:val="16"/>
          <w:vertAlign w:val="superscript"/>
        </w:rPr>
        <w:t xml:space="preserve">c </w:t>
      </w:r>
      <w:r>
        <w:rPr>
          <w:sz w:val="16"/>
        </w:rPr>
        <w:t>Relative organ weights (organ weight-to-body weight ratios) are given as mg organ weight/g body weight.</w:t>
      </w:r>
    </w:p>
    <w:p>
      <w:pPr>
        <w:sectPr>
          <w:pgSz w:w="15840" w:h="12240" w:orient="landscape"/>
          <w:pgMar w:top="1440" w:right="1440" w:bottom="1440" w:left="1440" w:header="720" w:footer="720" w:gutter="0"/>
          <w:cols w:space="720"/>
          <w:docGrid w:linePitch="360"/>
        </w:sectPr>
      </w:pPr>
    </w:p>
    <w:p>
      <w:pPr>
        <w:pStyle w:val="3-03aHead2NoNumber"/>
      </w:pPr>
      <w:bookmarkStart w:id="30" w:name="_Toc_clinical-path"/>
      <w:r>
        <w:t>Clinical Pathology</w:t>
      </w:r>
      <w:bookmarkEnd w:id="30"/>
    </w:p>
    <w:p>
      <w:pPr>
        <w:pStyle w:val="0-03Paragraph"/>
      </w:pPr>
      <w:r>
        <w:t>In male rats, no clinical chemistry endpoints exhibited significant trend and pairwise comparisons.</w:t>
      </w:r>
    </w:p>
    <w:p>
      <w:pPr>
        <w:pStyle w:val="0-03Paragraph"/>
      </w:pPr>
      <w:r>
        <w:t>In female rats, Aspartate Aminotransferase was significantly decreased at ≥111 mg/kg with a negative trend. The BMD and BMDL were 193 and 127 mg/kg, respectively. Sorbitol dehydrogenase was significantly decreased at ≥37 mg/kg with a negative trend. The BMD and BMDL were 126 and 69.8 mg/kg, respectively.</w:t>
      </w:r>
    </w:p>
    <w:p>
      <w:pPr>
        <w:pStyle w:val="0-03Paragraph"/>
      </w:pPr>
      <w:r>
        <w:t>In male rats, Neutrophil Count was significantly increased at ≥4 mg/kg with a positive trend. The BMD and BMDL were NVM and NVM mg/kg, respectively.</w:t>
      </w:r>
    </w:p>
    <w:p>
      <w:pPr>
        <w:pStyle w:val="0-03Paragraph"/>
      </w:pPr>
      <w:r>
        <w:t>In female rats, no hematology endpoints exhibited significant trend and pairwise comparisons.</w:t>
      </w:r>
    </w:p>
    <w:p>
      <w:pPr>
        <w:pStyle w:val="0-03Paragraph"/>
      </w:pPr>
      <w:r>
        <w:t>In male rats, Total Thyroxine was significantly decreased at ≥37 mg/kg with a negative trend. The BMD and BMDL were 8.54 and 3.59 mg/kg, respectively. Triiodothyronine was significantly decreased at ≥111 mg/kg with a negative trend. The BMD and BMDL were — and — mg/kg, respectively.</w:t>
      </w:r>
    </w:p>
    <w:p>
      <w:pPr>
        <w:pStyle w:val="0-03Paragraph"/>
      </w:pPr>
      <w:r>
        <w:t>In female rats, Total Thyroxine was significantly decreased at ≥37 mg/kg with a negative trend. The BMD and BMDL were 14.8 and 6.76 mg/kg, respectively.</w:t>
      </w:r>
    </w:p>
    <w:p>
      <w:pPr>
        <w:sectPr>
          <w:pgSz w:w="12240" w:h="15840"/>
          <w:pgMar w:top="1440" w:right="1440" w:bottom="1440" w:left="1440" w:header="720" w:footer="720" w:gutter="0"/>
          <w:cols w:space="720"/>
          <w:docGrid w:linePitch="360"/>
        </w:sectPr>
      </w:pPr>
    </w:p>
    <w:p>
      <w:pPr>
        <w:pStyle w:val="0-25TableTitle"/>
      </w:pPr>
      <w:r>
        <w:t xml:space="preserve">Table </w:t>
      </w:r>
      <w:r>
        <w:fldChar w:fldCharType="begin"/>
        <w:instrText xml:space="preserve"> SEQ Table \* ARABIC </w:instrText>
        <w:fldChar w:fldCharType="separate"/>
      </w:r>
      <w:r>
        <w:t>4</w:t>
      </w:r>
      <w:r>
        <w:fldChar w:fldCharType="end"/>
      </w:r>
      <w:r>
        <w:t xml:space="preserve">. </w:t>
      </w:r>
      <w:r>
        <w:t>Summary of Select Clinical Chemistry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178"/>
        <w:gridCol w:w="1178"/>
        <w:gridCol w:w="1178"/>
        <w:gridCol w:w="1178"/>
        <w:gridCol w:w="1178"/>
        <w:gridCol w:w="1178"/>
        <w:gridCol w:w="1178"/>
        <w:gridCol w:w="1178"/>
        <w:gridCol w:w="1178"/>
        <w:gridCol w:w="1178"/>
        <w:gridCol w:w="1178"/>
      </w:tblGrid>
      <w:tr>
        <w:trPr>
          <w:tblHeader w:val="true"/>
        </w:trPr>
        <w:tc>
          <w:tcPr>
            <w:tcW w:type="dxa" w:w="1178"/>
            <w:tcBorders>
              <w:bottom w:val="single" w:sz="8" w:space="0" w:color="000000"/>
            </w:tcBorders>
          </w:tcPr>
          <w:p>
            <w:r>
              <w:rPr>
                <w:rFonts w:ascii="Arial" w:hAnsi="Arial"/>
                <w:b/>
                <w:sz w:val="20"/>
              </w:rPr>
              <w:t>Endpoint</w:t>
            </w:r>
          </w:p>
        </w:tc>
        <w:tc>
          <w:tcPr>
            <w:tcW w:type="dxa" w:w="1178"/>
            <w:tcBorders>
              <w:bottom w:val="single" w:sz="8" w:space="0" w:color="000000"/>
            </w:tcBorders>
          </w:tcPr>
          <w:p>
            <w:r>
              <w:rPr>
                <w:rFonts w:ascii="Arial" w:hAnsi="Arial"/>
                <w:b/>
                <w:sz w:val="20"/>
              </w:rPr>
              <w:t>0 mg/kg</w:t>
            </w:r>
          </w:p>
        </w:tc>
        <w:tc>
          <w:tcPr>
            <w:tcW w:type="dxa" w:w="1178"/>
            <w:tcBorders>
              <w:bottom w:val="single" w:sz="8" w:space="0" w:color="000000"/>
            </w:tcBorders>
          </w:tcPr>
          <w:p>
            <w:r>
              <w:rPr>
                <w:rFonts w:ascii="Arial" w:hAnsi="Arial"/>
                <w:b/>
                <w:sz w:val="20"/>
              </w:rPr>
              <w:t>0.15 mg/kg</w:t>
            </w:r>
          </w:p>
        </w:tc>
        <w:tc>
          <w:tcPr>
            <w:tcW w:type="dxa" w:w="1178"/>
            <w:tcBorders>
              <w:bottom w:val="single" w:sz="8" w:space="0" w:color="000000"/>
            </w:tcBorders>
          </w:tcPr>
          <w:p>
            <w:r>
              <w:rPr>
                <w:rFonts w:ascii="Arial" w:hAnsi="Arial"/>
                <w:b/>
                <w:sz w:val="20"/>
              </w:rPr>
              <w:t>0.5 mg/kg</w:t>
            </w:r>
          </w:p>
        </w:tc>
        <w:tc>
          <w:tcPr>
            <w:tcW w:type="dxa" w:w="1178"/>
            <w:tcBorders>
              <w:bottom w:val="single" w:sz="8" w:space="0" w:color="000000"/>
            </w:tcBorders>
          </w:tcPr>
          <w:p>
            <w:r>
              <w:rPr>
                <w:rFonts w:ascii="Arial" w:hAnsi="Arial"/>
                <w:b/>
                <w:sz w:val="20"/>
              </w:rPr>
              <w:t>1.4 mg/kg</w:t>
            </w:r>
          </w:p>
        </w:tc>
        <w:tc>
          <w:tcPr>
            <w:tcW w:type="dxa" w:w="1178"/>
            <w:tcBorders>
              <w:bottom w:val="single" w:sz="8" w:space="0" w:color="000000"/>
            </w:tcBorders>
          </w:tcPr>
          <w:p>
            <w:r>
              <w:rPr>
                <w:rFonts w:ascii="Arial" w:hAnsi="Arial"/>
                <w:b/>
                <w:sz w:val="20"/>
              </w:rPr>
              <w:t>4 mg/kg</w:t>
            </w:r>
          </w:p>
        </w:tc>
        <w:tc>
          <w:tcPr>
            <w:tcW w:type="dxa" w:w="1178"/>
            <w:tcBorders>
              <w:bottom w:val="single" w:sz="8" w:space="0" w:color="000000"/>
            </w:tcBorders>
          </w:tcPr>
          <w:p>
            <w:r>
              <w:rPr>
                <w:rFonts w:ascii="Arial" w:hAnsi="Arial"/>
                <w:b/>
                <w:sz w:val="20"/>
              </w:rPr>
              <w:t>12 mg/kg</w:t>
            </w:r>
          </w:p>
        </w:tc>
        <w:tc>
          <w:tcPr>
            <w:tcW w:type="dxa" w:w="1178"/>
            <w:tcBorders>
              <w:bottom w:val="single" w:sz="8" w:space="0" w:color="000000"/>
            </w:tcBorders>
          </w:tcPr>
          <w:p>
            <w:r>
              <w:rPr>
                <w:rFonts w:ascii="Arial" w:hAnsi="Arial"/>
                <w:b/>
                <w:sz w:val="20"/>
              </w:rPr>
              <w:t>37 mg/kg</w:t>
            </w:r>
          </w:p>
        </w:tc>
        <w:tc>
          <w:tcPr>
            <w:tcW w:type="dxa" w:w="1178"/>
            <w:tcBorders>
              <w:bottom w:val="single" w:sz="8" w:space="0" w:color="000000"/>
            </w:tcBorders>
          </w:tcPr>
          <w:p>
            <w:r>
              <w:rPr>
                <w:rFonts w:ascii="Arial" w:hAnsi="Arial"/>
                <w:b/>
                <w:sz w:val="20"/>
              </w:rPr>
              <w:t>111 mg/kg</w:t>
            </w:r>
          </w:p>
        </w:tc>
        <w:tc>
          <w:tcPr>
            <w:tcW w:type="dxa" w:w="1178"/>
            <w:tcBorders>
              <w:bottom w:val="single" w:sz="8" w:space="0" w:color="000000"/>
            </w:tcBorders>
          </w:tcPr>
          <w:p>
            <w:r>
              <w:rPr>
                <w:rFonts w:ascii="Arial" w:hAnsi="Arial"/>
                <w:b/>
                <w:sz w:val="20"/>
              </w:rPr>
              <w:t>BMD 1Std (mg/kg)</w:t>
            </w:r>
          </w:p>
        </w:tc>
        <w:tc>
          <w:tcPr>
            <w:tcW w:type="dxa" w:w="1178"/>
            <w:tcBorders>
              <w:bottom w:val="single" w:sz="8" w:space="0" w:color="000000"/>
            </w:tcBorders>
          </w:tcPr>
          <w:p>
            <w:r>
              <w:rPr>
                <w:rFonts w:ascii="Arial" w:hAnsi="Arial"/>
                <w:b/>
                <w:sz w:val="20"/>
              </w:rPr>
              <w:t>BMDL 1Std (mg/kg)</w:t>
            </w:r>
          </w:p>
        </w:tc>
      </w:tr>
      <w:tr>
        <w:tc>
          <w:tcPr>
            <w:tcW w:type="dxa" w:w="12958"/>
            <w:gridSpan w:val="11"/>
          </w:tcPr>
          <w:p>
            <w:r>
              <w:rPr>
                <w:b/>
                <w:sz w:val="20"/>
              </w:rPr>
              <w:t>Male</w:t>
            </w:r>
          </w:p>
        </w:tc>
      </w:tr>
      <w:tr>
        <w:tc>
          <w:tcPr>
            <w:tcW w:type="dxa" w:w="1178"/>
          </w:tcPr>
          <w:p>
            <w:r>
              <w:rPr>
                <w:sz w:val="20"/>
              </w:rPr>
              <w:t>n</w:t>
            </w:r>
          </w:p>
        </w:tc>
        <w:tc>
          <w:tcPr>
            <w:tcW w:type="dxa" w:w="1178"/>
          </w:tcPr>
          <w:p>
            <w:r>
              <w:rPr>
                <w:sz w:val="20"/>
              </w:rPr>
              <w:t>9</w:t>
            </w:r>
          </w:p>
        </w:tc>
        <w:tc>
          <w:tcPr>
            <w:tcW w:type="dxa" w:w="1178"/>
          </w:tcPr>
          <w:p>
            <w:r>
              <w:rPr>
                <w:sz w:val="20"/>
              </w:rPr>
              <w:t>5</w:t>
            </w:r>
          </w:p>
        </w:tc>
        <w:tc>
          <w:tcPr>
            <w:tcW w:type="dxa" w:w="1178"/>
          </w:tcPr>
          <w:p>
            <w:r>
              <w:rPr>
                <w:sz w:val="20"/>
              </w:rPr>
              <w:t>5</w:t>
            </w:r>
          </w:p>
        </w:tc>
        <w:tc>
          <w:tcPr>
            <w:tcW w:type="dxa" w:w="1178"/>
          </w:tcPr>
          <w:p>
            <w:r>
              <w:rPr>
                <w:sz w:val="20"/>
              </w:rPr>
              <w:t>5</w:t>
            </w:r>
          </w:p>
        </w:tc>
        <w:tc>
          <w:tcPr>
            <w:tcW w:type="dxa" w:w="1178"/>
          </w:tcPr>
          <w:p>
            <w:r>
              <w:rPr>
                <w:sz w:val="20"/>
              </w:rPr>
              <w:t>5</w:t>
            </w:r>
          </w:p>
        </w:tc>
        <w:tc>
          <w:tcPr>
            <w:tcW w:type="dxa" w:w="1178"/>
          </w:tcPr>
          <w:p>
            <w:r>
              <w:rPr>
                <w:sz w:val="20"/>
              </w:rPr>
              <w:t>5</w:t>
            </w:r>
          </w:p>
        </w:tc>
        <w:tc>
          <w:tcPr>
            <w:tcW w:type="dxa" w:w="1178"/>
          </w:tcPr>
          <w:p>
            <w:r>
              <w:rPr>
                <w:sz w:val="20"/>
              </w:rPr>
              <w:t>5</w:t>
            </w:r>
          </w:p>
        </w:tc>
        <w:tc>
          <w:tcPr>
            <w:tcW w:type="dxa" w:w="1178"/>
          </w:tcPr>
          <w:p>
            <w:r>
              <w:rPr>
                <w:sz w:val="20"/>
              </w:rPr>
              <w:t>5</w:t>
            </w:r>
          </w:p>
        </w:tc>
        <w:tc>
          <w:tcPr>
            <w:tcW w:type="dxa" w:w="1178"/>
          </w:tcPr>
          <w:p>
            <w:r>
              <w:rPr>
                <w:sz w:val="20"/>
              </w:rPr>
              <w:t>NA</w:t>
            </w:r>
          </w:p>
        </w:tc>
        <w:tc>
          <w:tcPr>
            <w:tcW w:type="dxa" w:w="1178"/>
          </w:tcPr>
          <w:p>
            <w:r>
              <w:rPr>
                <w:sz w:val="20"/>
              </w:rPr>
              <w:t>NA</w:t>
            </w:r>
          </w:p>
        </w:tc>
      </w:tr>
      <w:tr>
        <w:tc>
          <w:tcPr>
            <w:tcW w:type="dxa" w:w="1178"/>
          </w:tcPr>
          <w:p>
            <w:r>
              <w:rPr>
                <w:sz w:val="20"/>
              </w:rPr>
              <w:t>Cholesterol</w:t>
            </w:r>
          </w:p>
        </w:tc>
        <w:tc>
          <w:tcPr>
            <w:tcW w:type="dxa" w:w="1178"/>
          </w:tcPr>
          <w:p>
            <w:r>
              <w:rPr>
                <w:sz w:val="20"/>
              </w:rPr>
              <w:t>103.3 ± 4.4*</w:t>
            </w:r>
          </w:p>
        </w:tc>
        <w:tc>
          <w:tcPr>
            <w:tcW w:type="dxa" w:w="1178"/>
          </w:tcPr>
          <w:p>
            <w:r>
              <w:rPr>
                <w:sz w:val="20"/>
              </w:rPr>
              <w:t>102.2 ± 4.0</w:t>
            </w:r>
          </w:p>
        </w:tc>
        <w:tc>
          <w:tcPr>
            <w:tcW w:type="dxa" w:w="1178"/>
          </w:tcPr>
          <w:p>
            <w:r>
              <w:rPr>
                <w:sz w:val="20"/>
              </w:rPr>
              <w:t>123.0 ± 12.6</w:t>
            </w:r>
          </w:p>
        </w:tc>
        <w:tc>
          <w:tcPr>
            <w:tcW w:type="dxa" w:w="1178"/>
          </w:tcPr>
          <w:p>
            <w:r>
              <w:rPr>
                <w:sz w:val="20"/>
              </w:rPr>
              <w:t>115.0 ± 12.1</w:t>
            </w:r>
          </w:p>
        </w:tc>
        <w:tc>
          <w:tcPr>
            <w:tcW w:type="dxa" w:w="1178"/>
          </w:tcPr>
          <w:p>
            <w:r>
              <w:rPr>
                <w:sz w:val="20"/>
              </w:rPr>
              <w:t>109.2 ± 4.5</w:t>
            </w:r>
          </w:p>
        </w:tc>
        <w:tc>
          <w:tcPr>
            <w:tcW w:type="dxa" w:w="1178"/>
          </w:tcPr>
          <w:p>
            <w:r>
              <w:rPr>
                <w:sz w:val="20"/>
              </w:rPr>
              <w:t>108.4 ± 6.3</w:t>
            </w:r>
          </w:p>
        </w:tc>
        <w:tc>
          <w:tcPr>
            <w:tcW w:type="dxa" w:w="1178"/>
          </w:tcPr>
          <w:p>
            <w:r>
              <w:rPr>
                <w:sz w:val="20"/>
              </w:rPr>
              <w:t>90.20 ± 4.80</w:t>
            </w:r>
          </w:p>
        </w:tc>
        <w:tc>
          <w:tcPr>
            <w:tcW w:type="dxa" w:w="1178"/>
          </w:tcPr>
          <w:p>
            <w:r>
              <w:rPr>
                <w:sz w:val="20"/>
              </w:rPr>
              <w:t>79.80 ± 4.00</w:t>
            </w:r>
          </w:p>
        </w:tc>
        <w:tc>
          <w:tcPr>
            <w:tcW w:type="dxa" w:w="1178"/>
          </w:tcPr>
          <w:p>
            <w:r>
              <w:rPr>
                <w:sz w:val="20"/>
              </w:rPr>
              <w:t>101</w:t>
            </w:r>
          </w:p>
        </w:tc>
        <w:tc>
          <w:tcPr>
            <w:tcW w:type="dxa" w:w="1178"/>
          </w:tcPr>
          <w:p>
            <w:r>
              <w:rPr>
                <w:sz w:val="20"/>
              </w:rPr>
              <w:t>61.4</w:t>
            </w:r>
          </w:p>
        </w:tc>
      </w:tr>
      <w:tr>
        <w:tc>
          <w:tcPr>
            <w:tcW w:type="dxa" w:w="12958"/>
            <w:gridSpan w:val="11"/>
          </w:tcPr>
          <w:p>
            <w:r>
              <w:rPr>
                <w:b/>
                <w:sz w:val="20"/>
              </w:rPr>
              <w:t>Female</w:t>
            </w:r>
          </w:p>
        </w:tc>
      </w:tr>
      <w:tr>
        <w:tc>
          <w:tcPr>
            <w:tcW w:type="dxa" w:w="1178"/>
          </w:tcPr>
          <w:p>
            <w:r>
              <w:rPr>
                <w:sz w:val="20"/>
              </w:rPr>
              <w:t>n</w:t>
            </w:r>
          </w:p>
        </w:tc>
        <w:tc>
          <w:tcPr>
            <w:tcW w:type="dxa" w:w="1178"/>
          </w:tcPr>
          <w:p>
            <w:r>
              <w:rPr>
                <w:sz w:val="20"/>
              </w:rPr>
              <w:t>10</w:t>
            </w:r>
          </w:p>
        </w:tc>
        <w:tc>
          <w:tcPr>
            <w:tcW w:type="dxa" w:w="1178"/>
          </w:tcPr>
          <w:p>
            <w:r>
              <w:rPr>
                <w:sz w:val="20"/>
              </w:rPr>
              <w:t>5</w:t>
            </w:r>
          </w:p>
        </w:tc>
        <w:tc>
          <w:tcPr>
            <w:tcW w:type="dxa" w:w="1178"/>
          </w:tcPr>
          <w:p>
            <w:r>
              <w:rPr>
                <w:sz w:val="20"/>
              </w:rPr>
              <w:t>5</w:t>
            </w:r>
          </w:p>
        </w:tc>
        <w:tc>
          <w:tcPr>
            <w:tcW w:type="dxa" w:w="1178"/>
          </w:tcPr>
          <w:p>
            <w:r>
              <w:rPr>
                <w:sz w:val="20"/>
              </w:rPr>
              <w:t>5</w:t>
            </w:r>
          </w:p>
        </w:tc>
        <w:tc>
          <w:tcPr>
            <w:tcW w:type="dxa" w:w="1178"/>
          </w:tcPr>
          <w:p>
            <w:r>
              <w:rPr>
                <w:sz w:val="20"/>
              </w:rPr>
              <w:t>5</w:t>
            </w:r>
          </w:p>
        </w:tc>
        <w:tc>
          <w:tcPr>
            <w:tcW w:type="dxa" w:w="1178"/>
          </w:tcPr>
          <w:p>
            <w:r>
              <w:rPr>
                <w:sz w:val="20"/>
              </w:rPr>
              <w:t>5</w:t>
            </w:r>
          </w:p>
        </w:tc>
        <w:tc>
          <w:tcPr>
            <w:tcW w:type="dxa" w:w="1178"/>
          </w:tcPr>
          <w:p>
            <w:r>
              <w:rPr>
                <w:sz w:val="20"/>
              </w:rPr>
              <w:t>5</w:t>
            </w:r>
          </w:p>
        </w:tc>
        <w:tc>
          <w:tcPr>
            <w:tcW w:type="dxa" w:w="1178"/>
          </w:tcPr>
          <w:p>
            <w:r>
              <w:rPr>
                <w:sz w:val="20"/>
              </w:rPr>
              <w:t>5</w:t>
            </w:r>
          </w:p>
        </w:tc>
        <w:tc>
          <w:tcPr>
            <w:tcW w:type="dxa" w:w="1178"/>
          </w:tcPr>
          <w:p>
            <w:r>
              <w:rPr>
                <w:sz w:val="20"/>
              </w:rPr>
              <w:t>NA</w:t>
            </w:r>
          </w:p>
        </w:tc>
        <w:tc>
          <w:tcPr>
            <w:tcW w:type="dxa" w:w="1178"/>
          </w:tcPr>
          <w:p>
            <w:r>
              <w:rPr>
                <w:sz w:val="20"/>
              </w:rPr>
              <w:t>NA</w:t>
            </w:r>
          </w:p>
        </w:tc>
      </w:tr>
      <w:tr>
        <w:tc>
          <w:tcPr>
            <w:tcW w:type="dxa" w:w="1178"/>
          </w:tcPr>
          <w:p>
            <w:r>
              <w:rPr>
                <w:sz w:val="20"/>
              </w:rPr>
              <w:t>Aspartate Aminotransferase</w:t>
            </w:r>
          </w:p>
        </w:tc>
        <w:tc>
          <w:tcPr>
            <w:tcW w:type="dxa" w:w="1178"/>
          </w:tcPr>
          <w:p>
            <w:r>
              <w:rPr>
                <w:sz w:val="20"/>
              </w:rPr>
              <w:t>82.20 ± 1.90**</w:t>
            </w:r>
          </w:p>
        </w:tc>
        <w:tc>
          <w:tcPr>
            <w:tcW w:type="dxa" w:w="1178"/>
          </w:tcPr>
          <w:p>
            <w:r>
              <w:rPr>
                <w:sz w:val="20"/>
              </w:rPr>
              <w:t>80.60 ± 1.20</w:t>
            </w:r>
          </w:p>
        </w:tc>
        <w:tc>
          <w:tcPr>
            <w:tcW w:type="dxa" w:w="1178"/>
          </w:tcPr>
          <w:p>
            <w:r>
              <w:rPr>
                <w:sz w:val="20"/>
              </w:rPr>
              <w:t>72.40 ± 2.60</w:t>
            </w:r>
          </w:p>
        </w:tc>
        <w:tc>
          <w:tcPr>
            <w:tcW w:type="dxa" w:w="1178"/>
          </w:tcPr>
          <w:p>
            <w:r>
              <w:rPr>
                <w:sz w:val="20"/>
              </w:rPr>
              <w:t>74.40 ± 3.10</w:t>
            </w:r>
          </w:p>
        </w:tc>
        <w:tc>
          <w:tcPr>
            <w:tcW w:type="dxa" w:w="1178"/>
          </w:tcPr>
          <w:p>
            <w:r>
              <w:rPr>
                <w:sz w:val="20"/>
              </w:rPr>
              <w:t>77.60 ± 4.50</w:t>
            </w:r>
          </w:p>
        </w:tc>
        <w:tc>
          <w:tcPr>
            <w:tcW w:type="dxa" w:w="1178"/>
          </w:tcPr>
          <w:p>
            <w:r>
              <w:rPr>
                <w:sz w:val="20"/>
              </w:rPr>
              <w:t>82.00 ± 2.90</w:t>
            </w:r>
          </w:p>
        </w:tc>
        <w:tc>
          <w:tcPr>
            <w:tcW w:type="dxa" w:w="1178"/>
          </w:tcPr>
          <w:p>
            <w:r>
              <w:rPr>
                <w:sz w:val="20"/>
              </w:rPr>
              <w:t>77.80 ± 4.40</w:t>
            </w:r>
          </w:p>
        </w:tc>
        <w:tc>
          <w:tcPr>
            <w:tcW w:type="dxa" w:w="1178"/>
          </w:tcPr>
          <w:p>
            <w:r>
              <w:rPr>
                <w:sz w:val="20"/>
              </w:rPr>
              <w:t>69.60 ± 1.60**</w:t>
            </w:r>
          </w:p>
        </w:tc>
        <w:tc>
          <w:tcPr>
            <w:tcW w:type="dxa" w:w="1178"/>
          </w:tcPr>
          <w:p>
            <w:r>
              <w:rPr>
                <w:sz w:val="20"/>
              </w:rPr>
              <w:t>193</w:t>
            </w:r>
          </w:p>
        </w:tc>
        <w:tc>
          <w:tcPr>
            <w:tcW w:type="dxa" w:w="1178"/>
          </w:tcPr>
          <w:p>
            <w:r>
              <w:rPr>
                <w:sz w:val="20"/>
              </w:rPr>
              <w:t>127</w:t>
            </w:r>
          </w:p>
        </w:tc>
      </w:tr>
      <w:tr>
        <w:tc>
          <w:tcPr>
            <w:tcW w:type="dxa" w:w="1178"/>
          </w:tcPr>
          <w:p>
            <w:r>
              <w:rPr>
                <w:sz w:val="20"/>
              </w:rPr>
              <w:t>Sorbitol dehydrogenase</w:t>
            </w:r>
          </w:p>
        </w:tc>
        <w:tc>
          <w:tcPr>
            <w:tcW w:type="dxa" w:w="1178"/>
          </w:tcPr>
          <w:p>
            <w:r>
              <w:rPr>
                <w:sz w:val="20"/>
              </w:rPr>
              <w:t>11.88 ± 0.93**</w:t>
            </w:r>
          </w:p>
        </w:tc>
        <w:tc>
          <w:tcPr>
            <w:tcW w:type="dxa" w:w="1178"/>
          </w:tcPr>
          <w:p>
            <w:r>
              <w:rPr>
                <w:sz w:val="20"/>
              </w:rPr>
              <w:t>11.84 ± 0.65</w:t>
            </w:r>
          </w:p>
        </w:tc>
        <w:tc>
          <w:tcPr>
            <w:tcW w:type="dxa" w:w="1178"/>
          </w:tcPr>
          <w:p>
            <w:r>
              <w:rPr>
                <w:sz w:val="20"/>
              </w:rPr>
              <w:t>9.34 ± 0.50</w:t>
            </w:r>
          </w:p>
        </w:tc>
        <w:tc>
          <w:tcPr>
            <w:tcW w:type="dxa" w:w="1178"/>
          </w:tcPr>
          <w:p>
            <w:r>
              <w:rPr>
                <w:sz w:val="20"/>
              </w:rPr>
              <w:t>10.10 ± 0.52</w:t>
            </w:r>
          </w:p>
        </w:tc>
        <w:tc>
          <w:tcPr>
            <w:tcW w:type="dxa" w:w="1178"/>
          </w:tcPr>
          <w:p>
            <w:r>
              <w:rPr>
                <w:sz w:val="20"/>
              </w:rPr>
              <w:t>11.80 ± 1.00</w:t>
            </w:r>
          </w:p>
        </w:tc>
        <w:tc>
          <w:tcPr>
            <w:tcW w:type="dxa" w:w="1178"/>
          </w:tcPr>
          <w:p>
            <w:r>
              <w:rPr>
                <w:sz w:val="20"/>
              </w:rPr>
              <w:t>11.80 ± 1.50</w:t>
            </w:r>
          </w:p>
        </w:tc>
        <w:tc>
          <w:tcPr>
            <w:tcW w:type="dxa" w:w="1178"/>
          </w:tcPr>
          <w:p>
            <w:r>
              <w:rPr>
                <w:sz w:val="20"/>
              </w:rPr>
              <w:t>8.60 ± 0.36*</w:t>
            </w:r>
          </w:p>
        </w:tc>
        <w:tc>
          <w:tcPr>
            <w:tcW w:type="dxa" w:w="1178"/>
          </w:tcPr>
          <w:p>
            <w:r>
              <w:rPr>
                <w:sz w:val="20"/>
              </w:rPr>
              <w:t>9.08 ± 0.40</w:t>
            </w:r>
          </w:p>
        </w:tc>
        <w:tc>
          <w:tcPr>
            <w:tcW w:type="dxa" w:w="1178"/>
          </w:tcPr>
          <w:p>
            <w:r>
              <w:rPr>
                <w:sz w:val="20"/>
              </w:rPr>
              <w:t>126</w:t>
            </w:r>
          </w:p>
        </w:tc>
        <w:tc>
          <w:tcPr>
            <w:tcW w:type="dxa" w:w="1178"/>
          </w:tcPr>
          <w:p>
            <w:r>
              <w:rPr>
                <w:sz w:val="20"/>
              </w:rPr>
              <w:t>69.8</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Shirley or Dunn (pairwise) tests.</w:t>
      </w:r>
    </w:p>
    <w:p>
      <w:r>
        <w:rPr>
          <w:sz w:val="16"/>
          <w:vertAlign w:val="superscript"/>
        </w:rPr>
        <w:t xml:space="preserve">c </w:t>
      </w:r>
      <w:r>
        <w:rPr>
          <w:sz w:val="16"/>
        </w:rPr>
        <w:t>One sample in the indicated dose group(s) was not received.</w:t>
      </w:r>
    </w:p>
    <w:p>
      <w:r>
        <w:rPr>
          <w:sz w:val="16"/>
          <w:vertAlign w:val="superscript"/>
        </w:rPr>
        <w:t xml:space="preserve">d </w:t>
      </w:r>
      <w:r>
        <w:rPr>
          <w:sz w:val="16"/>
        </w:rPr>
        <w:t>Benchmark dose modeling used an inferred dataset in which 6 missing individual values were replaced with the dose-group mean (affected dose groups: 0, 1.4, 12, 111 mg/kg).</w:t>
      </w:r>
    </w:p>
    <w:p>
      <w:pPr>
        <w:pStyle w:val="0-25TableTitle"/>
        <w:pageBreakBefore/>
      </w:pPr>
      <w:r>
        <w:t xml:space="preserve">Table </w:t>
      </w:r>
      <w:r>
        <w:fldChar w:fldCharType="begin"/>
        <w:instrText xml:space="preserve"> SEQ Table \* ARABIC </w:instrText>
        <w:fldChar w:fldCharType="separate"/>
      </w:r>
      <w:r>
        <w:t>5</w:t>
      </w:r>
      <w:r>
        <w:fldChar w:fldCharType="end"/>
      </w:r>
      <w:r>
        <w:t xml:space="preserve">. </w:t>
      </w:r>
      <w:r>
        <w:t>Summary of Select Hematology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178"/>
        <w:gridCol w:w="1178"/>
        <w:gridCol w:w="1178"/>
        <w:gridCol w:w="1178"/>
        <w:gridCol w:w="1178"/>
        <w:gridCol w:w="1178"/>
        <w:gridCol w:w="1178"/>
        <w:gridCol w:w="1178"/>
        <w:gridCol w:w="1178"/>
        <w:gridCol w:w="1178"/>
        <w:gridCol w:w="1178"/>
      </w:tblGrid>
      <w:tr>
        <w:trPr>
          <w:tblHeader w:val="true"/>
        </w:trPr>
        <w:tc>
          <w:tcPr>
            <w:tcW w:type="dxa" w:w="1178"/>
            <w:tcBorders>
              <w:bottom w:val="single" w:sz="8" w:space="0" w:color="000000"/>
            </w:tcBorders>
          </w:tcPr>
          <w:p>
            <w:r>
              <w:rPr>
                <w:rFonts w:ascii="Arial" w:hAnsi="Arial"/>
                <w:b/>
                <w:sz w:val="20"/>
              </w:rPr>
              <w:t>Endpoint</w:t>
            </w:r>
          </w:p>
        </w:tc>
        <w:tc>
          <w:tcPr>
            <w:tcW w:type="dxa" w:w="1178"/>
            <w:tcBorders>
              <w:bottom w:val="single" w:sz="8" w:space="0" w:color="000000"/>
            </w:tcBorders>
          </w:tcPr>
          <w:p>
            <w:r>
              <w:rPr>
                <w:rFonts w:ascii="Arial" w:hAnsi="Arial"/>
                <w:b/>
                <w:sz w:val="20"/>
              </w:rPr>
              <w:t>0 mg/kg</w:t>
            </w:r>
          </w:p>
        </w:tc>
        <w:tc>
          <w:tcPr>
            <w:tcW w:type="dxa" w:w="1178"/>
            <w:tcBorders>
              <w:bottom w:val="single" w:sz="8" w:space="0" w:color="000000"/>
            </w:tcBorders>
          </w:tcPr>
          <w:p>
            <w:r>
              <w:rPr>
                <w:rFonts w:ascii="Arial" w:hAnsi="Arial"/>
                <w:b/>
                <w:sz w:val="20"/>
              </w:rPr>
              <w:t>0.15 mg/kg</w:t>
            </w:r>
          </w:p>
        </w:tc>
        <w:tc>
          <w:tcPr>
            <w:tcW w:type="dxa" w:w="1178"/>
            <w:tcBorders>
              <w:bottom w:val="single" w:sz="8" w:space="0" w:color="000000"/>
            </w:tcBorders>
          </w:tcPr>
          <w:p>
            <w:r>
              <w:rPr>
                <w:rFonts w:ascii="Arial" w:hAnsi="Arial"/>
                <w:b/>
                <w:sz w:val="20"/>
              </w:rPr>
              <w:t>0.5 mg/kg</w:t>
            </w:r>
          </w:p>
        </w:tc>
        <w:tc>
          <w:tcPr>
            <w:tcW w:type="dxa" w:w="1178"/>
            <w:tcBorders>
              <w:bottom w:val="single" w:sz="8" w:space="0" w:color="000000"/>
            </w:tcBorders>
          </w:tcPr>
          <w:p>
            <w:r>
              <w:rPr>
                <w:rFonts w:ascii="Arial" w:hAnsi="Arial"/>
                <w:b/>
                <w:sz w:val="20"/>
              </w:rPr>
              <w:t>1.4 mg/kg</w:t>
            </w:r>
          </w:p>
        </w:tc>
        <w:tc>
          <w:tcPr>
            <w:tcW w:type="dxa" w:w="1178"/>
            <w:tcBorders>
              <w:bottom w:val="single" w:sz="8" w:space="0" w:color="000000"/>
            </w:tcBorders>
          </w:tcPr>
          <w:p>
            <w:r>
              <w:rPr>
                <w:rFonts w:ascii="Arial" w:hAnsi="Arial"/>
                <w:b/>
                <w:sz w:val="20"/>
              </w:rPr>
              <w:t>4 mg/kg</w:t>
            </w:r>
          </w:p>
        </w:tc>
        <w:tc>
          <w:tcPr>
            <w:tcW w:type="dxa" w:w="1178"/>
            <w:tcBorders>
              <w:bottom w:val="single" w:sz="8" w:space="0" w:color="000000"/>
            </w:tcBorders>
          </w:tcPr>
          <w:p>
            <w:r>
              <w:rPr>
                <w:rFonts w:ascii="Arial" w:hAnsi="Arial"/>
                <w:b/>
                <w:sz w:val="20"/>
              </w:rPr>
              <w:t>12 mg/kg</w:t>
            </w:r>
          </w:p>
        </w:tc>
        <w:tc>
          <w:tcPr>
            <w:tcW w:type="dxa" w:w="1178"/>
            <w:tcBorders>
              <w:bottom w:val="single" w:sz="8" w:space="0" w:color="000000"/>
            </w:tcBorders>
          </w:tcPr>
          <w:p>
            <w:r>
              <w:rPr>
                <w:rFonts w:ascii="Arial" w:hAnsi="Arial"/>
                <w:b/>
                <w:sz w:val="20"/>
              </w:rPr>
              <w:t>37 mg/kg</w:t>
            </w:r>
          </w:p>
        </w:tc>
        <w:tc>
          <w:tcPr>
            <w:tcW w:type="dxa" w:w="1178"/>
            <w:tcBorders>
              <w:bottom w:val="single" w:sz="8" w:space="0" w:color="000000"/>
            </w:tcBorders>
          </w:tcPr>
          <w:p>
            <w:r>
              <w:rPr>
                <w:rFonts w:ascii="Arial" w:hAnsi="Arial"/>
                <w:b/>
                <w:sz w:val="20"/>
              </w:rPr>
              <w:t>111 mg/kg</w:t>
            </w:r>
          </w:p>
        </w:tc>
        <w:tc>
          <w:tcPr>
            <w:tcW w:type="dxa" w:w="1178"/>
            <w:tcBorders>
              <w:bottom w:val="single" w:sz="8" w:space="0" w:color="000000"/>
            </w:tcBorders>
          </w:tcPr>
          <w:p>
            <w:r>
              <w:rPr>
                <w:rFonts w:ascii="Arial" w:hAnsi="Arial"/>
                <w:b/>
                <w:sz w:val="20"/>
              </w:rPr>
              <w:t>BMD 1Std (mg/kg)</w:t>
            </w:r>
          </w:p>
        </w:tc>
        <w:tc>
          <w:tcPr>
            <w:tcW w:type="dxa" w:w="1178"/>
            <w:tcBorders>
              <w:bottom w:val="single" w:sz="8" w:space="0" w:color="000000"/>
            </w:tcBorders>
          </w:tcPr>
          <w:p>
            <w:r>
              <w:rPr>
                <w:rFonts w:ascii="Arial" w:hAnsi="Arial"/>
                <w:b/>
                <w:sz w:val="20"/>
              </w:rPr>
              <w:t>BMDL 1Std (mg/kg)</w:t>
            </w:r>
          </w:p>
        </w:tc>
      </w:tr>
      <w:tr>
        <w:tc>
          <w:tcPr>
            <w:tcW w:type="dxa" w:w="12958"/>
            <w:gridSpan w:val="11"/>
          </w:tcPr>
          <w:p>
            <w:r>
              <w:rPr>
                <w:b/>
                <w:sz w:val="20"/>
              </w:rPr>
              <w:t>Male</w:t>
            </w:r>
          </w:p>
        </w:tc>
      </w:tr>
      <w:tr>
        <w:tc>
          <w:tcPr>
            <w:tcW w:type="dxa" w:w="1178"/>
          </w:tcPr>
          <w:p>
            <w:r>
              <w:rPr>
                <w:sz w:val="20"/>
              </w:rPr>
              <w:t>n</w:t>
            </w:r>
          </w:p>
        </w:tc>
        <w:tc>
          <w:tcPr>
            <w:tcW w:type="dxa" w:w="1178"/>
          </w:tcPr>
          <w:p>
            <w:r>
              <w:rPr>
                <w:sz w:val="20"/>
              </w:rPr>
              <w:t>6</w:t>
            </w:r>
          </w:p>
        </w:tc>
        <w:tc>
          <w:tcPr>
            <w:tcW w:type="dxa" w:w="1178"/>
          </w:tcPr>
          <w:p>
            <w:r>
              <w:rPr>
                <w:sz w:val="20"/>
              </w:rPr>
              <w:t>3</w:t>
            </w:r>
          </w:p>
        </w:tc>
        <w:tc>
          <w:tcPr>
            <w:tcW w:type="dxa" w:w="1178"/>
          </w:tcPr>
          <w:p>
            <w:r>
              <w:rPr>
                <w:sz w:val="20"/>
              </w:rPr>
              <w:t>4</w:t>
            </w:r>
          </w:p>
        </w:tc>
        <w:tc>
          <w:tcPr>
            <w:tcW w:type="dxa" w:w="1178"/>
          </w:tcPr>
          <w:p>
            <w:r>
              <w:rPr>
                <w:sz w:val="20"/>
              </w:rPr>
              <w:t>4</w:t>
            </w:r>
          </w:p>
        </w:tc>
        <w:tc>
          <w:tcPr>
            <w:tcW w:type="dxa" w:w="1178"/>
          </w:tcPr>
          <w:p>
            <w:r>
              <w:rPr>
                <w:sz w:val="20"/>
              </w:rPr>
              <w:t>5</w:t>
            </w:r>
          </w:p>
        </w:tc>
        <w:tc>
          <w:tcPr>
            <w:tcW w:type="dxa" w:w="1178"/>
          </w:tcPr>
          <w:p>
            <w:r>
              <w:rPr>
                <w:sz w:val="20"/>
              </w:rPr>
              <w:t>3</w:t>
            </w:r>
          </w:p>
        </w:tc>
        <w:tc>
          <w:tcPr>
            <w:tcW w:type="dxa" w:w="1178"/>
          </w:tcPr>
          <w:p>
            <w:r>
              <w:rPr>
                <w:sz w:val="20"/>
              </w:rPr>
              <w:t>2</w:t>
            </w:r>
          </w:p>
        </w:tc>
        <w:tc>
          <w:tcPr>
            <w:tcW w:type="dxa" w:w="1178"/>
          </w:tcPr>
          <w:p>
            <w:r>
              <w:rPr>
                <w:sz w:val="20"/>
              </w:rPr>
              <w:t>4</w:t>
            </w:r>
          </w:p>
        </w:tc>
        <w:tc>
          <w:tcPr>
            <w:tcW w:type="dxa" w:w="1178"/>
          </w:tcPr>
          <w:p>
            <w:r>
              <w:rPr>
                <w:sz w:val="20"/>
              </w:rPr>
              <w:t>NA</w:t>
            </w:r>
          </w:p>
        </w:tc>
        <w:tc>
          <w:tcPr>
            <w:tcW w:type="dxa" w:w="1178"/>
          </w:tcPr>
          <w:p>
            <w:r>
              <w:rPr>
                <w:sz w:val="20"/>
              </w:rPr>
              <w:t>NA</w:t>
            </w:r>
          </w:p>
        </w:tc>
      </w:tr>
      <w:tr>
        <w:tc>
          <w:tcPr>
            <w:tcW w:type="dxa" w:w="1178"/>
          </w:tcPr>
          <w:p>
            <w:r>
              <w:rPr>
                <w:sz w:val="20"/>
              </w:rPr>
              <w:t>Neutrophil Count</w:t>
            </w:r>
          </w:p>
        </w:tc>
        <w:tc>
          <w:tcPr>
            <w:tcW w:type="dxa" w:w="1178"/>
          </w:tcPr>
          <w:p>
            <w:r>
              <w:rPr>
                <w:sz w:val="20"/>
              </w:rPr>
              <w:t>0.830 ± 0.120**</w:t>
            </w:r>
          </w:p>
        </w:tc>
        <w:tc>
          <w:tcPr>
            <w:tcW w:type="dxa" w:w="1178"/>
          </w:tcPr>
          <w:p>
            <w:r>
              <w:rPr>
                <w:sz w:val="20"/>
              </w:rPr>
              <w:t>1.07 ± 0.22</w:t>
            </w:r>
          </w:p>
        </w:tc>
        <w:tc>
          <w:tcPr>
            <w:tcW w:type="dxa" w:w="1178"/>
          </w:tcPr>
          <w:p>
            <w:r>
              <w:rPr>
                <w:sz w:val="20"/>
              </w:rPr>
              <w:t>0.845 ± 0.058</w:t>
            </w:r>
          </w:p>
        </w:tc>
        <w:tc>
          <w:tcPr>
            <w:tcW w:type="dxa" w:w="1178"/>
          </w:tcPr>
          <w:p>
            <w:r>
              <w:rPr>
                <w:sz w:val="20"/>
              </w:rPr>
              <w:t>1.34 ± 0.16</w:t>
            </w:r>
          </w:p>
        </w:tc>
        <w:tc>
          <w:tcPr>
            <w:tcW w:type="dxa" w:w="1178"/>
          </w:tcPr>
          <w:p>
            <w:r>
              <w:rPr>
                <w:sz w:val="20"/>
              </w:rPr>
              <w:t>1.54 ± 0.21*</w:t>
            </w:r>
          </w:p>
        </w:tc>
        <w:tc>
          <w:tcPr>
            <w:tcW w:type="dxa" w:w="1178"/>
          </w:tcPr>
          <w:p>
            <w:r>
              <w:rPr>
                <w:sz w:val="20"/>
              </w:rPr>
              <w:t>1.25 ± 0.19</w:t>
            </w:r>
          </w:p>
        </w:tc>
        <w:tc>
          <w:tcPr>
            <w:tcW w:type="dxa" w:w="1178"/>
          </w:tcPr>
          <w:p>
            <w:r>
              <w:rPr>
                <w:sz w:val="20"/>
              </w:rPr>
              <w:t>1.23 ± 0.01</w:t>
            </w:r>
          </w:p>
        </w:tc>
        <w:tc>
          <w:tcPr>
            <w:tcW w:type="dxa" w:w="1178"/>
          </w:tcPr>
          <w:p>
            <w:r>
              <w:rPr>
                <w:sz w:val="20"/>
              </w:rPr>
              <w:t>1.24 ± 0.16</w:t>
            </w:r>
          </w:p>
        </w:tc>
        <w:tc>
          <w:tcPr>
            <w:tcW w:type="dxa" w:w="1178"/>
          </w:tcPr>
          <w:p>
            <w:r>
              <w:rPr>
                <w:sz w:val="20"/>
              </w:rPr>
              <w:t>NVM</w:t>
            </w:r>
          </w:p>
        </w:tc>
        <w:tc>
          <w:tcPr>
            <w:tcW w:type="dxa" w:w="1178"/>
          </w:tcPr>
          <w:p>
            <w:r>
              <w:rPr>
                <w:sz w:val="20"/>
              </w:rPr>
              <w:t>NVM</w:t>
            </w:r>
          </w:p>
        </w:tc>
      </w:tr>
      <w:tr>
        <w:tc>
          <w:tcPr>
            <w:tcW w:type="dxa" w:w="12958"/>
            <w:gridSpan w:val="11"/>
          </w:tcPr>
          <w:p>
            <w:r>
              <w:rPr>
                <w:b/>
                <w:sz w:val="20"/>
              </w:rPr>
              <w:t>Female</w:t>
            </w:r>
          </w:p>
        </w:tc>
      </w:tr>
      <w:tr>
        <w:tc>
          <w:tcPr>
            <w:tcW w:type="dxa" w:w="1178"/>
          </w:tcPr>
          <w:p>
            <w:r>
              <w:rPr>
                <w:sz w:val="20"/>
              </w:rPr>
              <w:t>n</w:t>
            </w:r>
          </w:p>
        </w:tc>
        <w:tc>
          <w:tcPr>
            <w:tcW w:type="dxa" w:w="1178"/>
          </w:tcPr>
          <w:p>
            <w:r>
              <w:rPr>
                <w:sz w:val="20"/>
              </w:rPr>
              <w:t>8</w:t>
            </w:r>
          </w:p>
        </w:tc>
        <w:tc>
          <w:tcPr>
            <w:tcW w:type="dxa" w:w="1178"/>
          </w:tcPr>
          <w:p>
            <w:r>
              <w:rPr>
                <w:sz w:val="20"/>
              </w:rPr>
              <w:t>5</w:t>
            </w:r>
          </w:p>
        </w:tc>
        <w:tc>
          <w:tcPr>
            <w:tcW w:type="dxa" w:w="1178"/>
          </w:tcPr>
          <w:p>
            <w:r>
              <w:rPr>
                <w:sz w:val="20"/>
              </w:rPr>
              <w:t>5</w:t>
            </w:r>
          </w:p>
        </w:tc>
        <w:tc>
          <w:tcPr>
            <w:tcW w:type="dxa" w:w="1178"/>
          </w:tcPr>
          <w:p>
            <w:r>
              <w:rPr>
                <w:sz w:val="20"/>
              </w:rPr>
              <w:t>3</w:t>
            </w:r>
          </w:p>
        </w:tc>
        <w:tc>
          <w:tcPr>
            <w:tcW w:type="dxa" w:w="1178"/>
          </w:tcPr>
          <w:p>
            <w:r>
              <w:rPr>
                <w:sz w:val="20"/>
              </w:rPr>
              <w:t>4</w:t>
            </w:r>
          </w:p>
        </w:tc>
        <w:tc>
          <w:tcPr>
            <w:tcW w:type="dxa" w:w="1178"/>
          </w:tcPr>
          <w:p>
            <w:r>
              <w:rPr>
                <w:sz w:val="20"/>
              </w:rPr>
              <w:t>4</w:t>
            </w:r>
          </w:p>
        </w:tc>
        <w:tc>
          <w:tcPr>
            <w:tcW w:type="dxa" w:w="1178"/>
          </w:tcPr>
          <w:p>
            <w:r>
              <w:rPr>
                <w:sz w:val="20"/>
              </w:rPr>
              <w:t>4</w:t>
            </w:r>
          </w:p>
        </w:tc>
        <w:tc>
          <w:tcPr>
            <w:tcW w:type="dxa" w:w="1178"/>
          </w:tcPr>
          <w:p>
            <w:r>
              <w:rPr>
                <w:sz w:val="20"/>
              </w:rPr>
              <w:t>5</w:t>
            </w:r>
          </w:p>
        </w:tc>
        <w:tc>
          <w:tcPr>
            <w:tcW w:type="dxa" w:w="1178"/>
          </w:tcPr>
          <w:p>
            <w:r>
              <w:rPr>
                <w:sz w:val="20"/>
              </w:rPr>
              <w:t>NA</w:t>
            </w:r>
          </w:p>
        </w:tc>
        <w:tc>
          <w:tcPr>
            <w:tcW w:type="dxa" w:w="1178"/>
          </w:tcPr>
          <w:p>
            <w:r>
              <w:rPr>
                <w:sz w:val="20"/>
              </w:rPr>
              <w:t>NA</w:t>
            </w:r>
          </w:p>
        </w:tc>
      </w:tr>
      <w:tr>
        <w:tc>
          <w:tcPr>
            <w:tcW w:type="dxa" w:w="1178"/>
          </w:tcPr>
          <w:p>
            <w:r>
              <w:rPr>
                <w:sz w:val="20"/>
              </w:rPr>
              <w:t>Manual hematocrit</w:t>
            </w:r>
          </w:p>
        </w:tc>
        <w:tc>
          <w:tcPr>
            <w:tcW w:type="dxa" w:w="1178"/>
          </w:tcPr>
          <w:p>
            <w:r>
              <w:rPr>
                <w:sz w:val="20"/>
              </w:rPr>
              <w:t>44.62 ± 0.50**</w:t>
            </w:r>
          </w:p>
        </w:tc>
        <w:tc>
          <w:tcPr>
            <w:tcW w:type="dxa" w:w="1178"/>
          </w:tcPr>
          <w:p>
            <w:r>
              <w:rPr>
                <w:sz w:val="20"/>
              </w:rPr>
              <w:t>47.40 ± 2.70</w:t>
            </w:r>
          </w:p>
        </w:tc>
        <w:tc>
          <w:tcPr>
            <w:tcW w:type="dxa" w:w="1178"/>
          </w:tcPr>
          <w:p>
            <w:r>
              <w:rPr>
                <w:sz w:val="20"/>
              </w:rPr>
              <w:t>45.00 ± 0.71</w:t>
            </w:r>
          </w:p>
        </w:tc>
        <w:tc>
          <w:tcPr>
            <w:tcW w:type="dxa" w:w="1178"/>
          </w:tcPr>
          <w:p>
            <w:r>
              <w:rPr>
                <w:sz w:val="20"/>
              </w:rPr>
              <w:t>44.33 ± 0.88</w:t>
            </w:r>
          </w:p>
        </w:tc>
        <w:tc>
          <w:tcPr>
            <w:tcW w:type="dxa" w:w="1178"/>
          </w:tcPr>
          <w:p>
            <w:r>
              <w:rPr>
                <w:sz w:val="20"/>
              </w:rPr>
              <w:t>44.25 ± 0.48</w:t>
            </w:r>
          </w:p>
        </w:tc>
        <w:tc>
          <w:tcPr>
            <w:tcW w:type="dxa" w:w="1178"/>
          </w:tcPr>
          <w:p>
            <w:r>
              <w:rPr>
                <w:sz w:val="20"/>
              </w:rPr>
              <w:t>43.50 ± 0.65</w:t>
            </w:r>
          </w:p>
        </w:tc>
        <w:tc>
          <w:tcPr>
            <w:tcW w:type="dxa" w:w="1178"/>
          </w:tcPr>
          <w:p>
            <w:r>
              <w:rPr>
                <w:sz w:val="20"/>
              </w:rPr>
              <w:t>43.0</w:t>
            </w:r>
          </w:p>
        </w:tc>
        <w:tc>
          <w:tcPr>
            <w:tcW w:type="dxa" w:w="1178"/>
          </w:tcPr>
          <w:p>
            <w:r>
              <w:rPr>
                <w:sz w:val="20"/>
              </w:rPr>
              <w:t>42.60 ± 0.75</w:t>
            </w:r>
          </w:p>
        </w:tc>
        <w:tc>
          <w:tcPr>
            <w:tcW w:type="dxa" w:w="1178"/>
          </w:tcPr>
          <w:p>
            <w:r>
              <w:rPr>
                <w:sz w:val="20"/>
              </w:rPr>
              <w:t>NVM</w:t>
            </w:r>
          </w:p>
        </w:tc>
        <w:tc>
          <w:tcPr>
            <w:tcW w:type="dxa" w:w="1178"/>
          </w:tcPr>
          <w:p>
            <w:r>
              <w:rPr>
                <w:sz w:val="20"/>
              </w:rPr>
              <w:t>NVM</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Shirley or Dunn (pairwise) tests.</w:t>
      </w:r>
    </w:p>
    <w:p>
      <w:r>
        <w:rPr>
          <w:sz w:val="16"/>
          <w:vertAlign w:val="superscript"/>
        </w:rPr>
        <w:t xml:space="preserve">c </w:t>
      </w:r>
      <w:r>
        <w:rPr>
          <w:sz w:val="16"/>
        </w:rPr>
        <w:t>4 samples in the indicated dose group(s) were not received.</w:t>
      </w:r>
    </w:p>
    <w:p>
      <w:r>
        <w:rPr>
          <w:sz w:val="16"/>
          <w:vertAlign w:val="superscript"/>
        </w:rPr>
        <w:t xml:space="preserve">d </w:t>
      </w:r>
      <w:r>
        <w:rPr>
          <w:sz w:val="16"/>
        </w:rPr>
        <w:t>2 samples in the indicated dose group(s) were not received.</w:t>
      </w:r>
    </w:p>
    <w:p>
      <w:r>
        <w:rPr>
          <w:sz w:val="16"/>
          <w:vertAlign w:val="superscript"/>
        </w:rPr>
        <w:t xml:space="preserve">e </w:t>
      </w:r>
      <w:r>
        <w:rPr>
          <w:sz w:val="16"/>
        </w:rPr>
        <w:t>One sample in the indicated dose group(s) was not received.</w:t>
      </w:r>
    </w:p>
    <w:p>
      <w:r>
        <w:rPr>
          <w:sz w:val="16"/>
          <w:vertAlign w:val="superscript"/>
        </w:rPr>
        <w:t xml:space="preserve">f </w:t>
      </w:r>
      <w:r>
        <w:rPr>
          <w:sz w:val="16"/>
        </w:rPr>
        <w:t>3 samples in the indicated dose group(s) were not received.</w:t>
      </w:r>
    </w:p>
    <w:p>
      <w:pPr>
        <w:pStyle w:val="0-25TableTitle"/>
        <w:pageBreakBefore/>
      </w:pPr>
      <w:r>
        <w:t xml:space="preserve">Table </w:t>
      </w:r>
      <w:r>
        <w:fldChar w:fldCharType="begin"/>
        <w:instrText xml:space="preserve"> SEQ Table \* ARABIC </w:instrText>
        <w:fldChar w:fldCharType="separate"/>
      </w:r>
      <w:r>
        <w:t>6</w:t>
      </w:r>
      <w:r>
        <w:fldChar w:fldCharType="end"/>
      </w:r>
      <w:r>
        <w:t xml:space="preserve">. </w:t>
      </w:r>
      <w:r>
        <w:t>Summary of Select Hormone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178"/>
        <w:gridCol w:w="1178"/>
        <w:gridCol w:w="1178"/>
        <w:gridCol w:w="1178"/>
        <w:gridCol w:w="1178"/>
        <w:gridCol w:w="1178"/>
        <w:gridCol w:w="1178"/>
        <w:gridCol w:w="1178"/>
        <w:gridCol w:w="1178"/>
        <w:gridCol w:w="1178"/>
        <w:gridCol w:w="1178"/>
      </w:tblGrid>
      <w:tr>
        <w:trPr>
          <w:tblHeader w:val="true"/>
        </w:trPr>
        <w:tc>
          <w:tcPr>
            <w:tcW w:type="dxa" w:w="1178"/>
            <w:tcBorders>
              <w:bottom w:val="single" w:sz="8" w:space="0" w:color="000000"/>
            </w:tcBorders>
          </w:tcPr>
          <w:p>
            <w:r>
              <w:rPr>
                <w:rFonts w:ascii="Arial" w:hAnsi="Arial"/>
                <w:b/>
                <w:sz w:val="20"/>
              </w:rPr>
              <w:t>Endpoint</w:t>
            </w:r>
          </w:p>
        </w:tc>
        <w:tc>
          <w:tcPr>
            <w:tcW w:type="dxa" w:w="1178"/>
            <w:tcBorders>
              <w:bottom w:val="single" w:sz="8" w:space="0" w:color="000000"/>
            </w:tcBorders>
          </w:tcPr>
          <w:p>
            <w:r>
              <w:rPr>
                <w:rFonts w:ascii="Arial" w:hAnsi="Arial"/>
                <w:b/>
                <w:sz w:val="20"/>
              </w:rPr>
              <w:t>0 mg/kg</w:t>
            </w:r>
          </w:p>
        </w:tc>
        <w:tc>
          <w:tcPr>
            <w:tcW w:type="dxa" w:w="1178"/>
            <w:tcBorders>
              <w:bottom w:val="single" w:sz="8" w:space="0" w:color="000000"/>
            </w:tcBorders>
          </w:tcPr>
          <w:p>
            <w:r>
              <w:rPr>
                <w:rFonts w:ascii="Arial" w:hAnsi="Arial"/>
                <w:b/>
                <w:sz w:val="20"/>
              </w:rPr>
              <w:t>0.15 mg/kg</w:t>
            </w:r>
          </w:p>
        </w:tc>
        <w:tc>
          <w:tcPr>
            <w:tcW w:type="dxa" w:w="1178"/>
            <w:tcBorders>
              <w:bottom w:val="single" w:sz="8" w:space="0" w:color="000000"/>
            </w:tcBorders>
          </w:tcPr>
          <w:p>
            <w:r>
              <w:rPr>
                <w:rFonts w:ascii="Arial" w:hAnsi="Arial"/>
                <w:b/>
                <w:sz w:val="20"/>
              </w:rPr>
              <w:t>0.5 mg/kg</w:t>
            </w:r>
          </w:p>
        </w:tc>
        <w:tc>
          <w:tcPr>
            <w:tcW w:type="dxa" w:w="1178"/>
            <w:tcBorders>
              <w:bottom w:val="single" w:sz="8" w:space="0" w:color="000000"/>
            </w:tcBorders>
          </w:tcPr>
          <w:p>
            <w:r>
              <w:rPr>
                <w:rFonts w:ascii="Arial" w:hAnsi="Arial"/>
                <w:b/>
                <w:sz w:val="20"/>
              </w:rPr>
              <w:t>1.4 mg/kg</w:t>
            </w:r>
          </w:p>
        </w:tc>
        <w:tc>
          <w:tcPr>
            <w:tcW w:type="dxa" w:w="1178"/>
            <w:tcBorders>
              <w:bottom w:val="single" w:sz="8" w:space="0" w:color="000000"/>
            </w:tcBorders>
          </w:tcPr>
          <w:p>
            <w:r>
              <w:rPr>
                <w:rFonts w:ascii="Arial" w:hAnsi="Arial"/>
                <w:b/>
                <w:sz w:val="20"/>
              </w:rPr>
              <w:t>4 mg/kg</w:t>
            </w:r>
          </w:p>
        </w:tc>
        <w:tc>
          <w:tcPr>
            <w:tcW w:type="dxa" w:w="1178"/>
            <w:tcBorders>
              <w:bottom w:val="single" w:sz="8" w:space="0" w:color="000000"/>
            </w:tcBorders>
          </w:tcPr>
          <w:p>
            <w:r>
              <w:rPr>
                <w:rFonts w:ascii="Arial" w:hAnsi="Arial"/>
                <w:b/>
                <w:sz w:val="20"/>
              </w:rPr>
              <w:t>12 mg/kg</w:t>
            </w:r>
          </w:p>
        </w:tc>
        <w:tc>
          <w:tcPr>
            <w:tcW w:type="dxa" w:w="1178"/>
            <w:tcBorders>
              <w:bottom w:val="single" w:sz="8" w:space="0" w:color="000000"/>
            </w:tcBorders>
          </w:tcPr>
          <w:p>
            <w:r>
              <w:rPr>
                <w:rFonts w:ascii="Arial" w:hAnsi="Arial"/>
                <w:b/>
                <w:sz w:val="20"/>
              </w:rPr>
              <w:t>37 mg/kg</w:t>
            </w:r>
          </w:p>
        </w:tc>
        <w:tc>
          <w:tcPr>
            <w:tcW w:type="dxa" w:w="1178"/>
            <w:tcBorders>
              <w:bottom w:val="single" w:sz="8" w:space="0" w:color="000000"/>
            </w:tcBorders>
          </w:tcPr>
          <w:p>
            <w:r>
              <w:rPr>
                <w:rFonts w:ascii="Arial" w:hAnsi="Arial"/>
                <w:b/>
                <w:sz w:val="20"/>
              </w:rPr>
              <w:t>111 mg/kg</w:t>
            </w:r>
          </w:p>
        </w:tc>
        <w:tc>
          <w:tcPr>
            <w:tcW w:type="dxa" w:w="1178"/>
            <w:tcBorders>
              <w:bottom w:val="single" w:sz="8" w:space="0" w:color="000000"/>
            </w:tcBorders>
          </w:tcPr>
          <w:p>
            <w:r>
              <w:rPr>
                <w:rFonts w:ascii="Arial" w:hAnsi="Arial"/>
                <w:b/>
                <w:sz w:val="20"/>
              </w:rPr>
              <w:t>BMD 1Std (mg/kg)</w:t>
            </w:r>
          </w:p>
        </w:tc>
        <w:tc>
          <w:tcPr>
            <w:tcW w:type="dxa" w:w="1178"/>
            <w:tcBorders>
              <w:bottom w:val="single" w:sz="8" w:space="0" w:color="000000"/>
            </w:tcBorders>
          </w:tcPr>
          <w:p>
            <w:r>
              <w:rPr>
                <w:rFonts w:ascii="Arial" w:hAnsi="Arial"/>
                <w:b/>
                <w:sz w:val="20"/>
              </w:rPr>
              <w:t>BMDL 1Std (mg/kg)</w:t>
            </w:r>
          </w:p>
        </w:tc>
      </w:tr>
      <w:tr>
        <w:tc>
          <w:tcPr>
            <w:tcW w:type="dxa" w:w="12958"/>
            <w:gridSpan w:val="11"/>
          </w:tcPr>
          <w:p>
            <w:r>
              <w:rPr>
                <w:b/>
                <w:sz w:val="20"/>
              </w:rPr>
              <w:t>Male</w:t>
            </w:r>
          </w:p>
        </w:tc>
      </w:tr>
      <w:tr>
        <w:tc>
          <w:tcPr>
            <w:tcW w:type="dxa" w:w="1178"/>
          </w:tcPr>
          <w:p>
            <w:r>
              <w:rPr>
                <w:sz w:val="20"/>
              </w:rPr>
              <w:t>n</w:t>
            </w:r>
          </w:p>
        </w:tc>
        <w:tc>
          <w:tcPr>
            <w:tcW w:type="dxa" w:w="1178"/>
          </w:tcPr>
          <w:p>
            <w:r>
              <w:rPr>
                <w:sz w:val="20"/>
              </w:rPr>
              <w:t>6</w:t>
            </w:r>
          </w:p>
        </w:tc>
        <w:tc>
          <w:tcPr>
            <w:tcW w:type="dxa" w:w="1178"/>
          </w:tcPr>
          <w:p>
            <w:r>
              <w:rPr>
                <w:sz w:val="20"/>
              </w:rPr>
              <w:t>3</w:t>
            </w:r>
          </w:p>
        </w:tc>
        <w:tc>
          <w:tcPr>
            <w:tcW w:type="dxa" w:w="1178"/>
          </w:tcPr>
          <w:p>
            <w:r>
              <w:rPr>
                <w:sz w:val="20"/>
              </w:rPr>
              <w:t>5</w:t>
            </w:r>
          </w:p>
        </w:tc>
        <w:tc>
          <w:tcPr>
            <w:tcW w:type="dxa" w:w="1178"/>
          </w:tcPr>
          <w:p>
            <w:r>
              <w:rPr>
                <w:sz w:val="20"/>
              </w:rPr>
              <w:t>5</w:t>
            </w:r>
          </w:p>
        </w:tc>
        <w:tc>
          <w:tcPr>
            <w:tcW w:type="dxa" w:w="1178"/>
          </w:tcPr>
          <w:p>
            <w:r>
              <w:rPr>
                <w:sz w:val="20"/>
              </w:rPr>
              <w:t>4</w:t>
            </w:r>
          </w:p>
        </w:tc>
        <w:tc>
          <w:tcPr>
            <w:tcW w:type="dxa" w:w="1178"/>
          </w:tcPr>
          <w:p>
            <w:r>
              <w:rPr>
                <w:sz w:val="20"/>
              </w:rPr>
              <w:t>4</w:t>
            </w:r>
          </w:p>
        </w:tc>
        <w:tc>
          <w:tcPr>
            <w:tcW w:type="dxa" w:w="1178"/>
          </w:tcPr>
          <w:p>
            <w:r>
              <w:rPr>
                <w:sz w:val="20"/>
              </w:rPr>
              <w:t>3</w:t>
            </w:r>
          </w:p>
        </w:tc>
        <w:tc>
          <w:tcPr>
            <w:tcW w:type="dxa" w:w="1178"/>
          </w:tcPr>
          <w:p>
            <w:r>
              <w:rPr>
                <w:sz w:val="20"/>
              </w:rPr>
              <w:t>5</w:t>
            </w:r>
          </w:p>
        </w:tc>
        <w:tc>
          <w:tcPr>
            <w:tcW w:type="dxa" w:w="1178"/>
          </w:tcPr>
          <w:p>
            <w:r>
              <w:rPr>
                <w:sz w:val="20"/>
              </w:rPr>
              <w:t>NA</w:t>
            </w:r>
          </w:p>
        </w:tc>
        <w:tc>
          <w:tcPr>
            <w:tcW w:type="dxa" w:w="1178"/>
          </w:tcPr>
          <w:p>
            <w:r>
              <w:rPr>
                <w:sz w:val="20"/>
              </w:rPr>
              <w:t>NA</w:t>
            </w:r>
          </w:p>
        </w:tc>
      </w:tr>
      <w:tr>
        <w:tc>
          <w:tcPr>
            <w:tcW w:type="dxa" w:w="1178"/>
          </w:tcPr>
          <w:p>
            <w:r>
              <w:rPr>
                <w:sz w:val="20"/>
              </w:rPr>
              <w:t>Total Thyroxine</w:t>
            </w:r>
          </w:p>
        </w:tc>
        <w:tc>
          <w:tcPr>
            <w:tcW w:type="dxa" w:w="1178"/>
          </w:tcPr>
          <w:p>
            <w:r>
              <w:rPr>
                <w:sz w:val="20"/>
              </w:rPr>
              <w:t>3.03 ± 0.29**</w:t>
            </w:r>
          </w:p>
        </w:tc>
        <w:tc>
          <w:tcPr>
            <w:tcW w:type="dxa" w:w="1178"/>
          </w:tcPr>
          <w:p>
            <w:r>
              <w:rPr>
                <w:sz w:val="20"/>
              </w:rPr>
              <w:t>3.09 ± 0.58</w:t>
            </w:r>
          </w:p>
        </w:tc>
        <w:tc>
          <w:tcPr>
            <w:tcW w:type="dxa" w:w="1178"/>
          </w:tcPr>
          <w:p>
            <w:r>
              <w:rPr>
                <w:sz w:val="20"/>
              </w:rPr>
              <w:t>2.73 ± 0.27</w:t>
            </w:r>
          </w:p>
        </w:tc>
        <w:tc>
          <w:tcPr>
            <w:tcW w:type="dxa" w:w="1178"/>
          </w:tcPr>
          <w:p>
            <w:r>
              <w:rPr>
                <w:sz w:val="20"/>
              </w:rPr>
              <w:t>2.69 ± 0.33</w:t>
            </w:r>
          </w:p>
        </w:tc>
        <w:tc>
          <w:tcPr>
            <w:tcW w:type="dxa" w:w="1178"/>
          </w:tcPr>
          <w:p>
            <w:r>
              <w:rPr>
                <w:sz w:val="20"/>
              </w:rPr>
              <w:t>2.95 ± 0.28</w:t>
            </w:r>
          </w:p>
        </w:tc>
        <w:tc>
          <w:tcPr>
            <w:tcW w:type="dxa" w:w="1178"/>
          </w:tcPr>
          <w:p>
            <w:r>
              <w:rPr>
                <w:sz w:val="20"/>
              </w:rPr>
              <w:t>2.02 ± 0.34</w:t>
            </w:r>
          </w:p>
        </w:tc>
        <w:tc>
          <w:tcPr>
            <w:tcW w:type="dxa" w:w="1178"/>
          </w:tcPr>
          <w:p>
            <w:r>
              <w:rPr>
                <w:sz w:val="20"/>
              </w:rPr>
              <w:t>0.790 ± 0.170**</w:t>
            </w:r>
          </w:p>
        </w:tc>
        <w:tc>
          <w:tcPr>
            <w:tcW w:type="dxa" w:w="1178"/>
          </w:tcPr>
          <w:p>
            <w:r>
              <w:rPr>
                <w:sz w:val="20"/>
              </w:rPr>
              <w:t>0.450 ± 0.039**</w:t>
            </w:r>
          </w:p>
        </w:tc>
        <w:tc>
          <w:tcPr>
            <w:tcW w:type="dxa" w:w="1178"/>
          </w:tcPr>
          <w:p>
            <w:r>
              <w:rPr>
                <w:sz w:val="20"/>
              </w:rPr>
              <w:t>8.54</w:t>
            </w:r>
          </w:p>
        </w:tc>
        <w:tc>
          <w:tcPr>
            <w:tcW w:type="dxa" w:w="1178"/>
          </w:tcPr>
          <w:p>
            <w:r>
              <w:rPr>
                <w:sz w:val="20"/>
              </w:rPr>
              <w:t>3.59</w:t>
            </w:r>
          </w:p>
        </w:tc>
      </w:tr>
      <w:tr>
        <w:tc>
          <w:tcPr>
            <w:tcW w:type="dxa" w:w="1178"/>
          </w:tcPr>
          <w:p>
            <w:r>
              <w:rPr>
                <w:sz w:val="20"/>
              </w:rPr>
              <w:t>Triiodothyronine</w:t>
            </w:r>
          </w:p>
        </w:tc>
        <w:tc>
          <w:tcPr>
            <w:tcW w:type="dxa" w:w="1178"/>
          </w:tcPr>
          <w:p>
            <w:r>
              <w:rPr>
                <w:sz w:val="20"/>
              </w:rPr>
              <w:t>52.60 ± 3.10**</w:t>
            </w:r>
          </w:p>
        </w:tc>
        <w:tc>
          <w:tcPr>
            <w:tcW w:type="dxa" w:w="1178"/>
          </w:tcPr>
          <w:p>
            <w:r>
              <w:rPr>
                <w:sz w:val="20"/>
              </w:rPr>
              <w:t>55.80 ± 8.20</w:t>
            </w:r>
          </w:p>
        </w:tc>
        <w:tc>
          <w:tcPr>
            <w:tcW w:type="dxa" w:w="1178"/>
          </w:tcPr>
          <w:p>
            <w:r>
              <w:rPr>
                <w:sz w:val="20"/>
              </w:rPr>
              <w:t>58.30 ± 5.60</w:t>
            </w:r>
          </w:p>
        </w:tc>
        <w:tc>
          <w:tcPr>
            <w:tcW w:type="dxa" w:w="1178"/>
          </w:tcPr>
          <w:p>
            <w:r>
              <w:rPr>
                <w:sz w:val="20"/>
              </w:rPr>
              <w:t>51.00 ± 5.70</w:t>
            </w:r>
          </w:p>
        </w:tc>
        <w:tc>
          <w:tcPr>
            <w:tcW w:type="dxa" w:w="1178"/>
          </w:tcPr>
          <w:p>
            <w:r>
              <w:rPr>
                <w:sz w:val="20"/>
              </w:rPr>
              <w:t>53.80 ± 5.40</w:t>
            </w:r>
          </w:p>
        </w:tc>
        <w:tc>
          <w:tcPr>
            <w:tcW w:type="dxa" w:w="1178"/>
          </w:tcPr>
          <w:p>
            <w:r>
              <w:rPr>
                <w:sz w:val="20"/>
              </w:rPr>
              <w:t>49.40 ± 5.20</w:t>
            </w:r>
          </w:p>
        </w:tc>
        <w:tc>
          <w:tcPr>
            <w:tcW w:type="dxa" w:w="1178"/>
          </w:tcPr>
          <w:p>
            <w:r>
              <w:rPr>
                <w:sz w:val="20"/>
              </w:rPr>
              <w:t>36.50 ± 5.10</w:t>
            </w:r>
          </w:p>
        </w:tc>
        <w:tc>
          <w:tcPr>
            <w:tcW w:type="dxa" w:w="1178"/>
          </w:tcPr>
          <w:p>
            <w:r>
              <w:rPr>
                <w:sz w:val="20"/>
              </w:rPr>
              <w:t>24.20 ± 1.20**</w:t>
            </w:r>
          </w:p>
        </w:tc>
        <w:tc>
          <w:tcPr>
            <w:tcW w:type="dxa" w:w="1178"/>
          </w:tcPr>
          <w:p>
            <w:r>
              <w:rPr>
                <w:sz w:val="20"/>
              </w:rPr>
              <w:t>—</w:t>
            </w:r>
          </w:p>
        </w:tc>
        <w:tc>
          <w:tcPr>
            <w:tcW w:type="dxa" w:w="1178"/>
          </w:tcPr>
          <w:p>
            <w:r>
              <w:rPr>
                <w:sz w:val="20"/>
              </w:rPr>
              <w:t>—</w:t>
            </w:r>
          </w:p>
        </w:tc>
      </w:tr>
      <w:tr>
        <w:tc>
          <w:tcPr>
            <w:tcW w:type="dxa" w:w="12958"/>
            <w:gridSpan w:val="11"/>
          </w:tcPr>
          <w:p>
            <w:r>
              <w:rPr>
                <w:b/>
                <w:sz w:val="20"/>
              </w:rPr>
              <w:t>Female</w:t>
            </w:r>
          </w:p>
        </w:tc>
      </w:tr>
      <w:tr>
        <w:tc>
          <w:tcPr>
            <w:tcW w:type="dxa" w:w="1178"/>
          </w:tcPr>
          <w:p>
            <w:r>
              <w:rPr>
                <w:sz w:val="20"/>
              </w:rPr>
              <w:t>n</w:t>
            </w:r>
          </w:p>
        </w:tc>
        <w:tc>
          <w:tcPr>
            <w:tcW w:type="dxa" w:w="1178"/>
          </w:tcPr>
          <w:p>
            <w:r>
              <w:rPr>
                <w:sz w:val="20"/>
              </w:rPr>
              <w:t>9</w:t>
            </w:r>
          </w:p>
        </w:tc>
        <w:tc>
          <w:tcPr>
            <w:tcW w:type="dxa" w:w="1178"/>
          </w:tcPr>
          <w:p>
            <w:r>
              <w:rPr>
                <w:sz w:val="20"/>
              </w:rPr>
              <w:t>4</w:t>
            </w:r>
          </w:p>
        </w:tc>
        <w:tc>
          <w:tcPr>
            <w:tcW w:type="dxa" w:w="1178"/>
          </w:tcPr>
          <w:p>
            <w:r>
              <w:rPr>
                <w:sz w:val="20"/>
              </w:rPr>
              <w:t>5</w:t>
            </w:r>
          </w:p>
        </w:tc>
        <w:tc>
          <w:tcPr>
            <w:tcW w:type="dxa" w:w="1178"/>
          </w:tcPr>
          <w:p>
            <w:r>
              <w:rPr>
                <w:sz w:val="20"/>
              </w:rPr>
              <w:t>5</w:t>
            </w:r>
          </w:p>
        </w:tc>
        <w:tc>
          <w:tcPr>
            <w:tcW w:type="dxa" w:w="1178"/>
          </w:tcPr>
          <w:p>
            <w:r>
              <w:rPr>
                <w:sz w:val="20"/>
              </w:rPr>
              <w:t>4</w:t>
            </w:r>
          </w:p>
        </w:tc>
        <w:tc>
          <w:tcPr>
            <w:tcW w:type="dxa" w:w="1178"/>
          </w:tcPr>
          <w:p>
            <w:r>
              <w:rPr>
                <w:sz w:val="20"/>
              </w:rPr>
              <w:t>4</w:t>
            </w:r>
          </w:p>
        </w:tc>
        <w:tc>
          <w:tcPr>
            <w:tcW w:type="dxa" w:w="1178"/>
          </w:tcPr>
          <w:p>
            <w:r>
              <w:rPr>
                <w:sz w:val="20"/>
              </w:rPr>
              <w:t>4</w:t>
            </w:r>
          </w:p>
        </w:tc>
        <w:tc>
          <w:tcPr>
            <w:tcW w:type="dxa" w:w="1178"/>
          </w:tcPr>
          <w:p>
            <w:r>
              <w:rPr>
                <w:sz w:val="20"/>
              </w:rPr>
              <w:t>5</w:t>
            </w:r>
          </w:p>
        </w:tc>
        <w:tc>
          <w:tcPr>
            <w:tcW w:type="dxa" w:w="1178"/>
          </w:tcPr>
          <w:p>
            <w:r>
              <w:rPr>
                <w:sz w:val="20"/>
              </w:rPr>
              <w:t>NA</w:t>
            </w:r>
          </w:p>
        </w:tc>
        <w:tc>
          <w:tcPr>
            <w:tcW w:type="dxa" w:w="1178"/>
          </w:tcPr>
          <w:p>
            <w:r>
              <w:rPr>
                <w:sz w:val="20"/>
              </w:rPr>
              <w:t>NA</w:t>
            </w:r>
          </w:p>
        </w:tc>
      </w:tr>
      <w:tr>
        <w:tc>
          <w:tcPr>
            <w:tcW w:type="dxa" w:w="1178"/>
          </w:tcPr>
          <w:p>
            <w:r>
              <w:rPr>
                <w:sz w:val="20"/>
              </w:rPr>
              <w:t>Total Thyroxine</w:t>
            </w:r>
          </w:p>
        </w:tc>
        <w:tc>
          <w:tcPr>
            <w:tcW w:type="dxa" w:w="1178"/>
          </w:tcPr>
          <w:p>
            <w:r>
              <w:rPr>
                <w:sz w:val="20"/>
              </w:rPr>
              <w:t>2.76 ± 0.15**</w:t>
            </w:r>
          </w:p>
        </w:tc>
        <w:tc>
          <w:tcPr>
            <w:tcW w:type="dxa" w:w="1178"/>
          </w:tcPr>
          <w:p>
            <w:r>
              <w:rPr>
                <w:sz w:val="20"/>
              </w:rPr>
              <w:t>2.73 ± 0.31</w:t>
            </w:r>
          </w:p>
        </w:tc>
        <w:tc>
          <w:tcPr>
            <w:tcW w:type="dxa" w:w="1178"/>
          </w:tcPr>
          <w:p>
            <w:r>
              <w:rPr>
                <w:sz w:val="20"/>
              </w:rPr>
              <w:t>3.41 ± 0.29</w:t>
            </w:r>
          </w:p>
        </w:tc>
        <w:tc>
          <w:tcPr>
            <w:tcW w:type="dxa" w:w="1178"/>
          </w:tcPr>
          <w:p>
            <w:r>
              <w:rPr>
                <w:sz w:val="20"/>
              </w:rPr>
              <w:t>3.43 ± 0.24</w:t>
            </w:r>
          </w:p>
        </w:tc>
        <w:tc>
          <w:tcPr>
            <w:tcW w:type="dxa" w:w="1178"/>
          </w:tcPr>
          <w:p>
            <w:r>
              <w:rPr>
                <w:sz w:val="20"/>
              </w:rPr>
              <w:t>2.61 ± 0.30</w:t>
            </w:r>
          </w:p>
        </w:tc>
        <w:tc>
          <w:tcPr>
            <w:tcW w:type="dxa" w:w="1178"/>
          </w:tcPr>
          <w:p>
            <w:r>
              <w:rPr>
                <w:sz w:val="20"/>
              </w:rPr>
              <w:t>2.55 ± 0.21</w:t>
            </w:r>
          </w:p>
        </w:tc>
        <w:tc>
          <w:tcPr>
            <w:tcW w:type="dxa" w:w="1178"/>
          </w:tcPr>
          <w:p>
            <w:r>
              <w:rPr>
                <w:sz w:val="20"/>
              </w:rPr>
              <w:t>1.83 ± 0.23*</w:t>
            </w:r>
          </w:p>
        </w:tc>
        <w:tc>
          <w:tcPr>
            <w:tcW w:type="dxa" w:w="1178"/>
          </w:tcPr>
          <w:p>
            <w:r>
              <w:rPr>
                <w:sz w:val="20"/>
              </w:rPr>
              <w:t>1.06 ± 0.12**</w:t>
            </w:r>
          </w:p>
        </w:tc>
        <w:tc>
          <w:tcPr>
            <w:tcW w:type="dxa" w:w="1178"/>
          </w:tcPr>
          <w:p>
            <w:r>
              <w:rPr>
                <w:sz w:val="20"/>
              </w:rPr>
              <w:t>14.8</w:t>
            </w:r>
          </w:p>
        </w:tc>
        <w:tc>
          <w:tcPr>
            <w:tcW w:type="dxa" w:w="1178"/>
          </w:tcPr>
          <w:p>
            <w:r>
              <w:rPr>
                <w:sz w:val="20"/>
              </w:rPr>
              <w:t>6.76</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Shirley or Dunn (pairwise) tests.</w:t>
      </w:r>
    </w:p>
    <w:p>
      <w:pPr>
        <w:sectPr>
          <w:pgSz w:w="15840" w:h="12240" w:orient="landscape"/>
          <w:pgMar w:top="1440" w:right="1440" w:bottom="1440" w:left="1440" w:header="720" w:footer="720" w:gutter="0"/>
          <w:cols w:space="720"/>
          <w:docGrid w:linePitch="360"/>
        </w:sectPr>
      </w:pPr>
    </w:p>
    <w:p>
      <w:pPr>
        <w:pStyle w:val="3-03aHead2NoNumber"/>
      </w:pPr>
      <w:bookmarkStart w:id="31" w:name="_Toc_internal-dose"/>
      <w:r>
        <w:t>Internal Dose Assessment</w:t>
      </w:r>
      <w:bookmarkEnd w:id="31"/>
    </w:p>
    <w:p>
      <w:r>
        <w:rPr>
          <w:i/>
        </w:rPr>
        <w:t>[Narrative pending: Internal Dose Assessment]</w:t>
      </w:r>
    </w:p>
    <w:p>
      <w:pPr>
        <w:pStyle w:val="0-25TableTitle"/>
      </w:pPr>
      <w:r>
        <w:t xml:space="preserve">Table </w:t>
      </w:r>
      <w:r>
        <w:fldChar w:fldCharType="begin"/>
        <w:instrText xml:space="preserve"> SEQ Table \* ARABIC </w:instrText>
        <w:fldChar w:fldCharType="separate"/>
      </w:r>
      <w:r>
        <w:t>7</w:t>
      </w:r>
      <w:r>
        <w:fldChar w:fldCharType="end"/>
      </w:r>
      <w:r>
        <w:t xml:space="preserve">. </w:t>
      </w:r>
      <w:r>
        <w:t>Summary of Plasma Concentration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872"/>
        <w:gridCol w:w="1872"/>
        <w:gridCol w:w="1872"/>
        <w:gridCol w:w="1872"/>
        <w:gridCol w:w="1872"/>
      </w:tblGrid>
      <w:tr>
        <w:trPr>
          <w:tblHeader w:val="true"/>
        </w:trPr>
        <w:tc>
          <w:tcPr>
            <w:tcW w:type="dxa" w:w="1872"/>
            <w:tcBorders>
              <w:bottom w:val="single" w:sz="8" w:space="0" w:color="000000"/>
            </w:tcBorders>
          </w:tcPr>
          <w:p>
            <w:r>
              <w:rPr>
                <w:rFonts w:ascii="Arial" w:hAnsi="Arial"/>
                <w:b/>
                <w:sz w:val="20"/>
              </w:rPr>
              <w:t>Timepoint</w:t>
            </w:r>
          </w:p>
        </w:tc>
        <w:tc>
          <w:tcPr>
            <w:tcW w:type="dxa" w:w="1872"/>
            <w:tcBorders>
              <w:bottom w:val="single" w:sz="8" w:space="0" w:color="000000"/>
            </w:tcBorders>
          </w:tcPr>
          <w:p>
            <w:r>
              <w:rPr>
                <w:rFonts w:ascii="Arial" w:hAnsi="Arial"/>
                <w:b/>
                <w:sz w:val="20"/>
              </w:rPr>
              <w:t>4 mg/kg</w:t>
            </w:r>
          </w:p>
        </w:tc>
        <w:tc>
          <w:tcPr>
            <w:tcW w:type="dxa" w:w="1872"/>
            <w:tcBorders>
              <w:bottom w:val="single" w:sz="8" w:space="0" w:color="000000"/>
            </w:tcBorders>
          </w:tcPr>
          <w:p>
            <w:r>
              <w:rPr>
                <w:rFonts w:ascii="Arial" w:hAnsi="Arial"/>
                <w:b/>
                <w:sz w:val="20"/>
              </w:rPr>
              <w:t>37 mg/kg</w:t>
            </w:r>
          </w:p>
        </w:tc>
        <w:tc>
          <w:tcPr>
            <w:tcW w:type="dxa" w:w="1872"/>
            <w:tcBorders>
              <w:bottom w:val="single" w:sz="8" w:space="0" w:color="000000"/>
            </w:tcBorders>
          </w:tcPr>
          <w:p>
            <w:r>
              <w:rPr>
                <w:rFonts w:ascii="Arial" w:hAnsi="Arial"/>
                <w:b/>
                <w:sz w:val="20"/>
              </w:rPr>
              <w:t>BMD 1Std (mg/kg)</w:t>
            </w:r>
          </w:p>
        </w:tc>
        <w:tc>
          <w:tcPr>
            <w:tcW w:type="dxa" w:w="1872"/>
            <w:tcBorders>
              <w:bottom w:val="single" w:sz="8" w:space="0" w:color="000000"/>
            </w:tcBorders>
          </w:tcPr>
          <w:p>
            <w:r>
              <w:rPr>
                <w:rFonts w:ascii="Arial" w:hAnsi="Arial"/>
                <w:b/>
                <w:sz w:val="20"/>
              </w:rPr>
              <w:t>BMDL 1Std (mg/kg)</w:t>
            </w:r>
          </w:p>
        </w:tc>
      </w:tr>
      <w:tr>
        <w:tc>
          <w:tcPr>
            <w:tcW w:type="dxa" w:w="9360"/>
            <w:gridSpan w:val="5"/>
          </w:tcPr>
          <w:p>
            <w:r>
              <w:rPr>
                <w:b/>
                <w:sz w:val="20"/>
              </w:rPr>
              <w:t>Male</w:t>
            </w:r>
          </w:p>
        </w:tc>
      </w:tr>
      <w:tr>
        <w:tc>
          <w:tcPr>
            <w:tcW w:type="dxa" w:w="1872"/>
          </w:tcPr>
          <w:p>
            <w:r>
              <w:rPr>
                <w:sz w:val="20"/>
              </w:rPr>
              <w:t>n</w:t>
            </w:r>
          </w:p>
        </w:tc>
        <w:tc>
          <w:tcPr>
            <w:tcW w:type="dxa" w:w="1872"/>
          </w:tcPr>
          <w:p>
            <w:r>
              <w:rPr>
                <w:sz w:val="20"/>
              </w:rPr>
              <w:t>3</w:t>
            </w:r>
          </w:p>
        </w:tc>
        <w:tc>
          <w:tcPr>
            <w:tcW w:type="dxa" w:w="1872"/>
          </w:tcPr>
          <w:p>
            <w:r>
              <w:rPr>
                <w:sz w:val="20"/>
              </w:rPr>
              <w:t>3</w:t>
            </w:r>
          </w:p>
        </w:tc>
        <w:tc>
          <w:tcPr>
            <w:tcW w:type="dxa" w:w="1872"/>
          </w:tcPr>
          <w:p>
            <w:r>
              <w:rPr>
                <w:sz w:val="20"/>
              </w:rPr>
              <w:t>—</w:t>
            </w:r>
          </w:p>
        </w:tc>
        <w:tc>
          <w:tcPr>
            <w:tcW w:type="dxa" w:w="1872"/>
          </w:tcPr>
          <w:p>
            <w:r>
              <w:rPr>
                <w:sz w:val="20"/>
              </w:rPr>
              <w:t>—</w:t>
            </w:r>
          </w:p>
        </w:tc>
      </w:tr>
      <w:tr>
        <w:tc>
          <w:tcPr>
            <w:tcW w:type="dxa" w:w="1872"/>
          </w:tcPr>
          <w:p>
            <w:r>
              <w:rPr>
                <w:sz w:val="20"/>
              </w:rPr>
              <w:t>2 h postdose</w:t>
            </w:r>
          </w:p>
        </w:tc>
        <w:tc>
          <w:tcPr>
            <w:tcW w:type="dxa" w:w="1872"/>
          </w:tcPr>
          <w:p>
            <w:r>
              <w:rPr>
                <w:sz w:val="20"/>
              </w:rPr>
              <w:t>33.83 ± 4.43</w:t>
            </w:r>
          </w:p>
        </w:tc>
        <w:tc>
          <w:tcPr>
            <w:tcW w:type="dxa" w:w="1872"/>
          </w:tcPr>
          <w:p>
            <w:r>
              <w:rPr>
                <w:sz w:val="20"/>
              </w:rPr>
              <w:t>137.0 ± 10.6</w:t>
            </w:r>
          </w:p>
        </w:tc>
        <w:tc>
          <w:tcPr>
            <w:tcW w:type="dxa" w:w="1872"/>
          </w:tcPr>
          <w:p>
            <w:r>
              <w:rPr>
                <w:sz w:val="20"/>
              </w:rPr>
              <w:t>—</w:t>
            </w:r>
          </w:p>
        </w:tc>
        <w:tc>
          <w:tcPr>
            <w:tcW w:type="dxa" w:w="1872"/>
          </w:tcPr>
          <w:p>
            <w:r>
              <w:rPr>
                <w:sz w:val="20"/>
              </w:rPr>
              <w:t>—</w:t>
            </w:r>
          </w:p>
        </w:tc>
      </w:tr>
      <w:tr>
        <w:tc>
          <w:tcPr>
            <w:tcW w:type="dxa" w:w="1872"/>
          </w:tcPr>
          <w:p>
            <w:r>
              <w:rPr>
                <w:sz w:val="20"/>
              </w:rPr>
              <w:t>24 h postdose</w:t>
            </w:r>
          </w:p>
        </w:tc>
        <w:tc>
          <w:tcPr>
            <w:tcW w:type="dxa" w:w="1872"/>
          </w:tcPr>
          <w:p>
            <w:r>
              <w:rPr>
                <w:sz w:val="20"/>
              </w:rPr>
              <w:t>23.13 ± 3.42</w:t>
            </w:r>
          </w:p>
        </w:tc>
        <w:tc>
          <w:tcPr>
            <w:tcW w:type="dxa" w:w="1872"/>
          </w:tcPr>
          <w:p>
            <w:r>
              <w:rPr>
                <w:sz w:val="20"/>
              </w:rPr>
              <w:t>50.03 ± 19.40</w:t>
            </w:r>
          </w:p>
        </w:tc>
        <w:tc>
          <w:tcPr>
            <w:tcW w:type="dxa" w:w="1872"/>
          </w:tcPr>
          <w:p>
            <w:r>
              <w:rPr>
                <w:sz w:val="20"/>
              </w:rPr>
              <w:t>—</w:t>
            </w:r>
          </w:p>
        </w:tc>
        <w:tc>
          <w:tcPr>
            <w:tcW w:type="dxa" w:w="1872"/>
          </w:tcPr>
          <w:p>
            <w:r>
              <w:rPr>
                <w:sz w:val="20"/>
              </w:rPr>
              <w:t>—</w:t>
            </w:r>
          </w:p>
        </w:tc>
      </w:tr>
      <w:tr>
        <w:tc>
          <w:tcPr>
            <w:tcW w:type="dxa" w:w="9360"/>
            <w:gridSpan w:val="5"/>
          </w:tcPr>
          <w:p>
            <w:r>
              <w:rPr>
                <w:b/>
                <w:sz w:val="20"/>
              </w:rPr>
              <w:t>Female</w:t>
            </w:r>
          </w:p>
        </w:tc>
      </w:tr>
      <w:tr>
        <w:tc>
          <w:tcPr>
            <w:tcW w:type="dxa" w:w="1872"/>
          </w:tcPr>
          <w:p>
            <w:r>
              <w:rPr>
                <w:sz w:val="20"/>
              </w:rPr>
              <w:t>n</w:t>
            </w:r>
          </w:p>
        </w:tc>
        <w:tc>
          <w:tcPr>
            <w:tcW w:type="dxa" w:w="1872"/>
          </w:tcPr>
          <w:p>
            <w:r>
              <w:rPr>
                <w:sz w:val="20"/>
              </w:rPr>
              <w:t>3</w:t>
            </w:r>
          </w:p>
        </w:tc>
        <w:tc>
          <w:tcPr>
            <w:tcW w:type="dxa" w:w="1872"/>
          </w:tcPr>
          <w:p>
            <w:r>
              <w:rPr>
                <w:sz w:val="20"/>
              </w:rPr>
              <w:t>3</w:t>
            </w:r>
          </w:p>
        </w:tc>
        <w:tc>
          <w:tcPr>
            <w:tcW w:type="dxa" w:w="1872"/>
          </w:tcPr>
          <w:p>
            <w:r>
              <w:rPr>
                <w:sz w:val="20"/>
              </w:rPr>
              <w:t>—</w:t>
            </w:r>
          </w:p>
        </w:tc>
        <w:tc>
          <w:tcPr>
            <w:tcW w:type="dxa" w:w="1872"/>
          </w:tcPr>
          <w:p>
            <w:r>
              <w:rPr>
                <w:sz w:val="20"/>
              </w:rPr>
              <w:t>—</w:t>
            </w:r>
          </w:p>
        </w:tc>
      </w:tr>
      <w:tr>
        <w:tc>
          <w:tcPr>
            <w:tcW w:type="dxa" w:w="1872"/>
          </w:tcPr>
          <w:p>
            <w:r>
              <w:rPr>
                <w:sz w:val="20"/>
              </w:rPr>
              <w:t>2 h postdose</w:t>
            </w:r>
          </w:p>
        </w:tc>
        <w:tc>
          <w:tcPr>
            <w:tcW w:type="dxa" w:w="1872"/>
          </w:tcPr>
          <w:p>
            <w:r>
              <w:rPr>
                <w:sz w:val="20"/>
              </w:rPr>
              <w:t>46.30 ± 5.96</w:t>
            </w:r>
          </w:p>
        </w:tc>
        <w:tc>
          <w:tcPr>
            <w:tcW w:type="dxa" w:w="1872"/>
          </w:tcPr>
          <w:p>
            <w:r>
              <w:rPr>
                <w:sz w:val="20"/>
              </w:rPr>
              <w:t>184.0 ± 3.1</w:t>
            </w:r>
          </w:p>
        </w:tc>
        <w:tc>
          <w:tcPr>
            <w:tcW w:type="dxa" w:w="1872"/>
          </w:tcPr>
          <w:p>
            <w:r>
              <w:rPr>
                <w:sz w:val="20"/>
              </w:rPr>
              <w:t>—</w:t>
            </w:r>
          </w:p>
        </w:tc>
        <w:tc>
          <w:tcPr>
            <w:tcW w:type="dxa" w:w="1872"/>
          </w:tcPr>
          <w:p>
            <w:r>
              <w:rPr>
                <w:sz w:val="20"/>
              </w:rPr>
              <w:t>—</w:t>
            </w:r>
          </w:p>
        </w:tc>
      </w:tr>
      <w:tr>
        <w:tc>
          <w:tcPr>
            <w:tcW w:type="dxa" w:w="1872"/>
          </w:tcPr>
          <w:p>
            <w:r>
              <w:rPr>
                <w:sz w:val="20"/>
              </w:rPr>
              <w:t>24 h postdose</w:t>
            </w:r>
          </w:p>
        </w:tc>
        <w:tc>
          <w:tcPr>
            <w:tcW w:type="dxa" w:w="1872"/>
          </w:tcPr>
          <w:p>
            <w:r>
              <w:rPr>
                <w:sz w:val="20"/>
              </w:rPr>
              <w:t>38.10 ± 3.36</w:t>
            </w:r>
          </w:p>
        </w:tc>
        <w:tc>
          <w:tcPr>
            <w:tcW w:type="dxa" w:w="1872"/>
          </w:tcPr>
          <w:p>
            <w:r>
              <w:rPr>
                <w:sz w:val="20"/>
              </w:rPr>
              <w:t>101.4 ± 3.1</w:t>
            </w:r>
          </w:p>
        </w:tc>
        <w:tc>
          <w:tcPr>
            <w:tcW w:type="dxa" w:w="1872"/>
          </w:tcPr>
          <w:p>
            <w:r>
              <w:rPr>
                <w:sz w:val="20"/>
              </w:rPr>
              <w:t>—</w:t>
            </w:r>
          </w:p>
        </w:tc>
        <w:tc>
          <w:tcPr>
            <w:tcW w:type="dxa" w:w="1872"/>
          </w:tcPr>
          <w:p>
            <w:r>
              <w:rPr>
                <w:sz w:val="20"/>
              </w:rPr>
              <w:t>—</w:t>
            </w:r>
          </w:p>
        </w:tc>
      </w:tr>
    </w:tbl>
    <w:p>
      <w:pPr>
        <w:pStyle w:val="3-03aHead2NoNumber"/>
      </w:pPr>
      <w:bookmarkStart w:id="32" w:name="_Toc_bmd-summary"/>
      <w:r>
        <w:t>Apical Endpoint Benchmark Dose Summary</w:t>
      </w:r>
      <w:bookmarkEnd w:id="32"/>
    </w:p>
    <w:p>
      <w:pPr>
        <w:pStyle w:val="0-25TableTitle"/>
      </w:pPr>
      <w:r>
        <w:t xml:space="preserve">Table </w:t>
      </w:r>
      <w:r>
        <w:fldChar w:fldCharType="begin"/>
        <w:instrText xml:space="preserve"> SEQ Table \* ARABIC </w:instrText>
        <w:fldChar w:fldCharType="separate"/>
      </w:r>
      <w:r>
        <w:t>8</w:t>
      </w:r>
      <w:r>
        <w:fldChar w:fldCharType="end"/>
      </w:r>
      <w:r>
        <w:t xml:space="preserve">. </w:t>
      </w:r>
      <w:r>
        <w:t>BMD, BMDL, LOEL, and NOEL Summary for Apical Endpoints, Sorted by BMD or LOEL from Low to High</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rFonts w:ascii="Arial" w:hAnsi="Arial"/>
                <w:b/>
                <w:sz w:val="20"/>
              </w:rPr>
              <w:t>Sex</w:t>
            </w:r>
          </w:p>
        </w:tc>
        <w:tc>
          <w:tcPr>
            <w:tcW w:type="dxa" w:w="1337"/>
            <w:tcBorders>
              <w:bottom w:val="single" w:sz="8" w:space="0" w:color="000000"/>
            </w:tcBorders>
          </w:tcPr>
          <w:p>
            <w:r>
              <w:rPr>
                <w:rFonts w:ascii="Arial" w:hAnsi="Arial"/>
                <w:b/>
                <w:sz w:val="20"/>
              </w:rPr>
              <w:t>Endpoint</w:t>
            </w:r>
          </w:p>
        </w:tc>
        <w:tc>
          <w:tcPr>
            <w:tcW w:type="dxa" w:w="1337"/>
            <w:tcBorders>
              <w:bottom w:val="single" w:sz="8" w:space="0" w:color="000000"/>
            </w:tcBorders>
          </w:tcPr>
          <w:p>
            <w:r>
              <w:rPr>
                <w:rFonts w:ascii="Arial" w:hAnsi="Arial"/>
                <w:b/>
                <w:sz w:val="20"/>
              </w:rPr>
              <w:t>BMD</w:t>
            </w:r>
          </w:p>
        </w:tc>
        <w:tc>
          <w:tcPr>
            <w:tcW w:type="dxa" w:w="1337"/>
            <w:tcBorders>
              <w:bottom w:val="single" w:sz="8" w:space="0" w:color="000000"/>
            </w:tcBorders>
          </w:tcPr>
          <w:p>
            <w:r>
              <w:rPr>
                <w:rFonts w:ascii="Arial" w:hAnsi="Arial"/>
                <w:b/>
                <w:sz w:val="20"/>
              </w:rPr>
              <w:t>BMDL</w:t>
            </w:r>
          </w:p>
        </w:tc>
        <w:tc>
          <w:tcPr>
            <w:tcW w:type="dxa" w:w="1337"/>
            <w:tcBorders>
              <w:bottom w:val="single" w:sz="8" w:space="0" w:color="000000"/>
            </w:tcBorders>
          </w:tcPr>
          <w:p>
            <w:r>
              <w:rPr>
                <w:rFonts w:ascii="Arial" w:hAnsi="Arial"/>
                <w:b/>
                <w:sz w:val="20"/>
              </w:rPr>
              <w:t>LOEL</w:t>
            </w:r>
          </w:p>
        </w:tc>
        <w:tc>
          <w:tcPr>
            <w:tcW w:type="dxa" w:w="1337"/>
            <w:tcBorders>
              <w:bottom w:val="single" w:sz="8" w:space="0" w:color="000000"/>
            </w:tcBorders>
          </w:tcPr>
          <w:p>
            <w:r>
              <w:rPr>
                <w:rFonts w:ascii="Arial" w:hAnsi="Arial"/>
                <w:b/>
                <w:sz w:val="20"/>
              </w:rPr>
              <w:t>NOEL</w:t>
            </w:r>
          </w:p>
        </w:tc>
        <w:tc>
          <w:tcPr>
            <w:tcW w:type="dxa" w:w="1337"/>
            <w:tcBorders>
              <w:bottom w:val="single" w:sz="8" w:space="0" w:color="000000"/>
            </w:tcBorders>
          </w:tcPr>
          <w:p>
            <w:r>
              <w:rPr>
                <w:rFonts w:ascii="Arial" w:hAnsi="Arial"/>
                <w:b/>
                <w:sz w:val="20"/>
              </w:rPr>
              <w:t>Direction</w:t>
            </w:r>
          </w:p>
        </w:tc>
      </w:tr>
      <w:tr>
        <w:tc>
          <w:tcPr>
            <w:tcW w:type="dxa" w:w="1337"/>
          </w:tcPr>
          <w:p>
            <w:r>
              <w:rPr>
                <w:sz w:val="20"/>
              </w:rPr>
              <w:t>Male</w:t>
            </w:r>
          </w:p>
        </w:tc>
        <w:tc>
          <w:tcPr>
            <w:tcW w:type="dxa" w:w="1337"/>
          </w:tcPr>
          <w:p>
            <w:r>
              <w:rPr>
                <w:sz w:val="20"/>
              </w:rPr>
              <w:t>Total Thyroxine</w:t>
            </w:r>
          </w:p>
        </w:tc>
        <w:tc>
          <w:tcPr>
            <w:tcW w:type="dxa" w:w="1337"/>
          </w:tcPr>
          <w:p>
            <w:r>
              <w:rPr>
                <w:sz w:val="20"/>
              </w:rPr>
              <w:t>8.54</w:t>
            </w:r>
          </w:p>
        </w:tc>
        <w:tc>
          <w:tcPr>
            <w:tcW w:type="dxa" w:w="1337"/>
          </w:tcPr>
          <w:p>
            <w:r>
              <w:rPr>
                <w:sz w:val="20"/>
              </w:rPr>
              <w:t>3.59</w:t>
            </w:r>
          </w:p>
        </w:tc>
        <w:tc>
          <w:tcPr>
            <w:tcW w:type="dxa" w:w="1337"/>
          </w:tcPr>
          <w:p>
            <w:r>
              <w:rPr>
                <w:sz w:val="20"/>
              </w:rPr>
              <w:t>37.0</w:t>
            </w:r>
          </w:p>
        </w:tc>
        <w:tc>
          <w:tcPr>
            <w:tcW w:type="dxa" w:w="1337"/>
          </w:tcPr>
          <w:p>
            <w:r>
              <w:rPr>
                <w:sz w:val="20"/>
              </w:rPr>
              <w:t>12.0</w:t>
            </w:r>
          </w:p>
        </w:tc>
        <w:tc>
          <w:tcPr>
            <w:tcW w:type="dxa" w:w="1337"/>
          </w:tcPr>
          <w:p>
            <w:r>
              <w:rPr>
                <w:sz w:val="20"/>
              </w:rPr>
              <w:t>DOWN</w:t>
            </w:r>
          </w:p>
        </w:tc>
      </w:tr>
      <w:tr>
        <w:tc>
          <w:tcPr>
            <w:tcW w:type="dxa" w:w="1337"/>
          </w:tcPr>
          <w:p>
            <w:r>
              <w:rPr>
                <w:sz w:val="20"/>
              </w:rPr>
              <w:t>Male</w:t>
            </w:r>
          </w:p>
        </w:tc>
        <w:tc>
          <w:tcPr>
            <w:tcW w:type="dxa" w:w="1337"/>
          </w:tcPr>
          <w:p>
            <w:r>
              <w:rPr>
                <w:sz w:val="20"/>
              </w:rPr>
              <w:t>Absolute Liver Weight</w:t>
            </w:r>
          </w:p>
        </w:tc>
        <w:tc>
          <w:tcPr>
            <w:tcW w:type="dxa" w:w="1337"/>
          </w:tcPr>
          <w:p>
            <w:r>
              <w:rPr>
                <w:sz w:val="20"/>
              </w:rPr>
              <w:t>20.5</w:t>
            </w:r>
          </w:p>
        </w:tc>
        <w:tc>
          <w:tcPr>
            <w:tcW w:type="dxa" w:w="1337"/>
          </w:tcPr>
          <w:p>
            <w:r>
              <w:rPr>
                <w:sz w:val="20"/>
              </w:rPr>
              <w:t>3.04</w:t>
            </w:r>
          </w:p>
        </w:tc>
        <w:tc>
          <w:tcPr>
            <w:tcW w:type="dxa" w:w="1337"/>
          </w:tcPr>
          <w:p>
            <w:r>
              <w:rPr>
                <w:sz w:val="20"/>
              </w:rPr>
              <w:t>12.0</w:t>
            </w:r>
          </w:p>
        </w:tc>
        <w:tc>
          <w:tcPr>
            <w:tcW w:type="dxa" w:w="1337"/>
          </w:tcPr>
          <w:p>
            <w:r>
              <w:rPr>
                <w:sz w:val="20"/>
              </w:rPr>
              <w:t>4.0</w:t>
            </w:r>
          </w:p>
        </w:tc>
        <w:tc>
          <w:tcPr>
            <w:tcW w:type="dxa" w:w="1337"/>
          </w:tcPr>
          <w:p>
            <w:r>
              <w:rPr>
                <w:sz w:val="20"/>
              </w:rPr>
              <w:t>UP</w:t>
            </w:r>
          </w:p>
        </w:tc>
      </w:tr>
      <w:tr>
        <w:tc>
          <w:tcPr>
            <w:tcW w:type="dxa" w:w="1337"/>
          </w:tcPr>
          <w:p>
            <w:r>
              <w:rPr>
                <w:sz w:val="20"/>
              </w:rPr>
              <w:t>Male</w:t>
            </w:r>
          </w:p>
        </w:tc>
        <w:tc>
          <w:tcPr>
            <w:tcW w:type="dxa" w:w="1337"/>
          </w:tcPr>
          <w:p>
            <w:r>
              <w:rPr>
                <w:sz w:val="20"/>
              </w:rPr>
              <w:t>Cholesterol</w:t>
            </w:r>
          </w:p>
        </w:tc>
        <w:tc>
          <w:tcPr>
            <w:tcW w:type="dxa" w:w="1337"/>
          </w:tcPr>
          <w:p>
            <w:r>
              <w:rPr>
                <w:sz w:val="20"/>
              </w:rPr>
              <w:t>101</w:t>
            </w:r>
          </w:p>
        </w:tc>
        <w:tc>
          <w:tcPr>
            <w:tcW w:type="dxa" w:w="1337"/>
          </w:tcPr>
          <w:p>
            <w:r>
              <w:rPr>
                <w:sz w:val="20"/>
              </w:rPr>
              <w:t>61.4</w:t>
            </w:r>
          </w:p>
        </w:tc>
        <w:tc>
          <w:tcPr>
            <w:tcW w:type="dxa" w:w="1337"/>
          </w:tcPr>
          <w:p>
            <w:r>
              <w:rPr>
                <w:sz w:val="20"/>
              </w:rPr>
              <w:t>—</w:t>
            </w:r>
          </w:p>
        </w:tc>
        <w:tc>
          <w:tcPr>
            <w:tcW w:type="dxa" w:w="1337"/>
          </w:tcPr>
          <w:p>
            <w:r>
              <w:rPr>
                <w:sz w:val="20"/>
              </w:rPr>
              <w:t>111.0</w:t>
            </w:r>
          </w:p>
        </w:tc>
        <w:tc>
          <w:tcPr>
            <w:tcW w:type="dxa" w:w="1337"/>
          </w:tcPr>
          <w:p>
            <w:r>
              <w:rPr>
                <w:sz w:val="20"/>
              </w:rPr>
              <w:t>DOWN</w:t>
            </w:r>
          </w:p>
        </w:tc>
      </w:tr>
      <w:tr>
        <w:tc>
          <w:tcPr>
            <w:tcW w:type="dxa" w:w="1337"/>
          </w:tcPr>
          <w:p>
            <w:r>
              <w:rPr>
                <w:sz w:val="20"/>
              </w:rPr>
              <w:t>Male</w:t>
            </w:r>
          </w:p>
        </w:tc>
        <w:tc>
          <w:tcPr>
            <w:tcW w:type="dxa" w:w="1337"/>
          </w:tcPr>
          <w:p>
            <w:r>
              <w:rPr>
                <w:sz w:val="20"/>
              </w:rPr>
              <w:t>Neutrophils</w:t>
            </w:r>
          </w:p>
        </w:tc>
        <w:tc>
          <w:tcPr>
            <w:tcW w:type="dxa" w:w="1337"/>
          </w:tcPr>
          <w:p>
            <w:r>
              <w:rPr>
                <w:sz w:val="20"/>
              </w:rPr>
              <w:t>NVM</w:t>
            </w:r>
          </w:p>
        </w:tc>
        <w:tc>
          <w:tcPr>
            <w:tcW w:type="dxa" w:w="1337"/>
          </w:tcPr>
          <w:p>
            <w:r>
              <w:rPr>
                <w:sz w:val="20"/>
              </w:rPr>
              <w:t>NVM</w:t>
            </w:r>
          </w:p>
        </w:tc>
        <w:tc>
          <w:tcPr>
            <w:tcW w:type="dxa" w:w="1337"/>
          </w:tcPr>
          <w:p>
            <w:r>
              <w:rPr>
                <w:sz w:val="20"/>
              </w:rPr>
              <w:t>4.0</w:t>
            </w:r>
          </w:p>
        </w:tc>
        <w:tc>
          <w:tcPr>
            <w:tcW w:type="dxa" w:w="1337"/>
          </w:tcPr>
          <w:p>
            <w:r>
              <w:rPr>
                <w:sz w:val="20"/>
              </w:rPr>
              <w:t>1.4</w:t>
            </w:r>
          </w:p>
        </w:tc>
        <w:tc>
          <w:tcPr>
            <w:tcW w:type="dxa" w:w="1337"/>
          </w:tcPr>
          <w:p>
            <w:r>
              <w:rPr>
                <w:sz w:val="20"/>
              </w:rPr>
              <w:t>UP</w:t>
            </w:r>
          </w:p>
        </w:tc>
      </w:tr>
      <w:tr>
        <w:tc>
          <w:tcPr>
            <w:tcW w:type="dxa" w:w="1337"/>
          </w:tcPr>
          <w:p>
            <w:r>
              <w:rPr>
                <w:sz w:val="20"/>
              </w:rPr>
              <w:t>Male</w:t>
            </w:r>
          </w:p>
        </w:tc>
        <w:tc>
          <w:tcPr>
            <w:tcW w:type="dxa" w:w="1337"/>
          </w:tcPr>
          <w:p>
            <w:r>
              <w:rPr>
                <w:sz w:val="20"/>
              </w:rPr>
              <w:t>Total Triiodothyronine</w:t>
            </w:r>
          </w:p>
        </w:tc>
        <w:tc>
          <w:tcPr>
            <w:tcW w:type="dxa" w:w="1337"/>
          </w:tcPr>
          <w:p>
            <w:r>
              <w:rPr>
                <w:sz w:val="20"/>
              </w:rPr>
              <w:t>—</w:t>
            </w:r>
          </w:p>
        </w:tc>
        <w:tc>
          <w:tcPr>
            <w:tcW w:type="dxa" w:w="1337"/>
          </w:tcPr>
          <w:p>
            <w:r>
              <w:rPr>
                <w:sz w:val="20"/>
              </w:rPr>
              <w:t>—</w:t>
            </w:r>
          </w:p>
        </w:tc>
        <w:tc>
          <w:tcPr>
            <w:tcW w:type="dxa" w:w="1337"/>
          </w:tcPr>
          <w:p>
            <w:r>
              <w:rPr>
                <w:sz w:val="20"/>
              </w:rPr>
              <w:t>111.0</w:t>
            </w:r>
          </w:p>
        </w:tc>
        <w:tc>
          <w:tcPr>
            <w:tcW w:type="dxa" w:w="1337"/>
          </w:tcPr>
          <w:p>
            <w:r>
              <w:rPr>
                <w:sz w:val="20"/>
              </w:rPr>
              <w:t>37.0</w:t>
            </w:r>
          </w:p>
        </w:tc>
        <w:tc>
          <w:tcPr>
            <w:tcW w:type="dxa" w:w="1337"/>
          </w:tcPr>
          <w:p>
            <w:r>
              <w:rPr>
                <w:sz w:val="20"/>
              </w:rPr>
              <w:t>DOWN</w:t>
            </w:r>
          </w:p>
        </w:tc>
      </w:tr>
      <w:tr>
        <w:tc>
          <w:tcPr>
            <w:tcW w:type="dxa" w:w="1337"/>
          </w:tcPr>
          <w:p>
            <w:r>
              <w:rPr>
                <w:sz w:val="20"/>
              </w:rPr>
              <w:t>Female</w:t>
            </w:r>
          </w:p>
        </w:tc>
        <w:tc>
          <w:tcPr>
            <w:tcW w:type="dxa" w:w="1337"/>
          </w:tcPr>
          <w:p>
            <w:r>
              <w:rPr>
                <w:sz w:val="20"/>
              </w:rPr>
              <w:t>Total Thyroxine</w:t>
            </w:r>
          </w:p>
        </w:tc>
        <w:tc>
          <w:tcPr>
            <w:tcW w:type="dxa" w:w="1337"/>
          </w:tcPr>
          <w:p>
            <w:r>
              <w:rPr>
                <w:sz w:val="20"/>
              </w:rPr>
              <w:t>14.8</w:t>
            </w:r>
          </w:p>
        </w:tc>
        <w:tc>
          <w:tcPr>
            <w:tcW w:type="dxa" w:w="1337"/>
          </w:tcPr>
          <w:p>
            <w:r>
              <w:rPr>
                <w:sz w:val="20"/>
              </w:rPr>
              <w:t>6.76</w:t>
            </w:r>
          </w:p>
        </w:tc>
        <w:tc>
          <w:tcPr>
            <w:tcW w:type="dxa" w:w="1337"/>
          </w:tcPr>
          <w:p>
            <w:r>
              <w:rPr>
                <w:sz w:val="20"/>
              </w:rPr>
              <w:t>37.0</w:t>
            </w:r>
          </w:p>
        </w:tc>
        <w:tc>
          <w:tcPr>
            <w:tcW w:type="dxa" w:w="1337"/>
          </w:tcPr>
          <w:p>
            <w:r>
              <w:rPr>
                <w:sz w:val="20"/>
              </w:rPr>
              <w:t>12.0</w:t>
            </w:r>
          </w:p>
        </w:tc>
        <w:tc>
          <w:tcPr>
            <w:tcW w:type="dxa" w:w="1337"/>
          </w:tcPr>
          <w:p>
            <w:r>
              <w:rPr>
                <w:sz w:val="20"/>
              </w:rPr>
              <w:t>DOWN</w:t>
            </w:r>
          </w:p>
        </w:tc>
      </w:tr>
      <w:tr>
        <w:tc>
          <w:tcPr>
            <w:tcW w:type="dxa" w:w="1337"/>
          </w:tcPr>
          <w:p>
            <w:r>
              <w:rPr>
                <w:sz w:val="20"/>
              </w:rPr>
              <w:t>Female</w:t>
            </w:r>
          </w:p>
        </w:tc>
        <w:tc>
          <w:tcPr>
            <w:tcW w:type="dxa" w:w="1337"/>
          </w:tcPr>
          <w:p>
            <w:r>
              <w:rPr>
                <w:sz w:val="20"/>
              </w:rPr>
              <w:t>Sorbitol Dehydrogenase</w:t>
            </w:r>
          </w:p>
        </w:tc>
        <w:tc>
          <w:tcPr>
            <w:tcW w:type="dxa" w:w="1337"/>
          </w:tcPr>
          <w:p>
            <w:r>
              <w:rPr>
                <w:sz w:val="20"/>
              </w:rPr>
              <w:t>126</w:t>
            </w:r>
          </w:p>
        </w:tc>
        <w:tc>
          <w:tcPr>
            <w:tcW w:type="dxa" w:w="1337"/>
          </w:tcPr>
          <w:p>
            <w:r>
              <w:rPr>
                <w:sz w:val="20"/>
              </w:rPr>
              <w:t>69.8</w:t>
            </w:r>
          </w:p>
        </w:tc>
        <w:tc>
          <w:tcPr>
            <w:tcW w:type="dxa" w:w="1337"/>
          </w:tcPr>
          <w:p>
            <w:r>
              <w:rPr>
                <w:sz w:val="20"/>
              </w:rPr>
              <w:t>37.0</w:t>
            </w:r>
          </w:p>
        </w:tc>
        <w:tc>
          <w:tcPr>
            <w:tcW w:type="dxa" w:w="1337"/>
          </w:tcPr>
          <w:p>
            <w:r>
              <w:rPr>
                <w:sz w:val="20"/>
              </w:rPr>
              <w:t>12.0</w:t>
            </w:r>
          </w:p>
        </w:tc>
        <w:tc>
          <w:tcPr>
            <w:tcW w:type="dxa" w:w="1337"/>
          </w:tcPr>
          <w:p>
            <w:r>
              <w:rPr>
                <w:sz w:val="20"/>
              </w:rPr>
              <w:t>DOWN</w:t>
            </w:r>
          </w:p>
        </w:tc>
      </w:tr>
      <w:tr>
        <w:tc>
          <w:tcPr>
            <w:tcW w:type="dxa" w:w="1337"/>
          </w:tcPr>
          <w:p>
            <w:r>
              <w:rPr>
                <w:sz w:val="20"/>
              </w:rPr>
              <w:t>Female</w:t>
            </w:r>
          </w:p>
        </w:tc>
        <w:tc>
          <w:tcPr>
            <w:tcW w:type="dxa" w:w="1337"/>
          </w:tcPr>
          <w:p>
            <w:r>
              <w:rPr>
                <w:sz w:val="20"/>
              </w:rPr>
              <w:t>Aspartate Aminotransferase</w:t>
            </w:r>
          </w:p>
        </w:tc>
        <w:tc>
          <w:tcPr>
            <w:tcW w:type="dxa" w:w="1337"/>
          </w:tcPr>
          <w:p>
            <w:r>
              <w:rPr>
                <w:sz w:val="20"/>
              </w:rPr>
              <w:t>193</w:t>
            </w:r>
          </w:p>
        </w:tc>
        <w:tc>
          <w:tcPr>
            <w:tcW w:type="dxa" w:w="1337"/>
          </w:tcPr>
          <w:p>
            <w:r>
              <w:rPr>
                <w:sz w:val="20"/>
              </w:rPr>
              <w:t>127</w:t>
            </w:r>
          </w:p>
        </w:tc>
        <w:tc>
          <w:tcPr>
            <w:tcW w:type="dxa" w:w="1337"/>
          </w:tcPr>
          <w:p>
            <w:r>
              <w:rPr>
                <w:sz w:val="20"/>
              </w:rPr>
              <w:t>111.0</w:t>
            </w:r>
          </w:p>
        </w:tc>
        <w:tc>
          <w:tcPr>
            <w:tcW w:type="dxa" w:w="1337"/>
          </w:tcPr>
          <w:p>
            <w:r>
              <w:rPr>
                <w:sz w:val="20"/>
              </w:rPr>
              <w:t>37.0</w:t>
            </w:r>
          </w:p>
        </w:tc>
        <w:tc>
          <w:tcPr>
            <w:tcW w:type="dxa" w:w="1337"/>
          </w:tcPr>
          <w:p>
            <w:r>
              <w:rPr>
                <w:sz w:val="20"/>
              </w:rPr>
              <w:t>DOWN</w:t>
            </w:r>
          </w:p>
        </w:tc>
      </w:tr>
      <w:tr>
        <w:tc>
          <w:tcPr>
            <w:tcW w:type="dxa" w:w="1337"/>
          </w:tcPr>
          <w:p>
            <w:r>
              <w:rPr>
                <w:sz w:val="20"/>
              </w:rPr>
              <w:t>Female</w:t>
            </w:r>
          </w:p>
        </w:tc>
        <w:tc>
          <w:tcPr>
            <w:tcW w:type="dxa" w:w="1337"/>
          </w:tcPr>
          <w:p>
            <w:r>
              <w:rPr>
                <w:sz w:val="20"/>
              </w:rPr>
              <w:t>Manual Hematocrit</w:t>
            </w:r>
          </w:p>
        </w:tc>
        <w:tc>
          <w:tcPr>
            <w:tcW w:type="dxa" w:w="1337"/>
          </w:tcPr>
          <w:p>
            <w:r>
              <w:rPr>
                <w:sz w:val="20"/>
              </w:rPr>
              <w:t>NVM</w:t>
            </w:r>
          </w:p>
        </w:tc>
        <w:tc>
          <w:tcPr>
            <w:tcW w:type="dxa" w:w="1337"/>
          </w:tcPr>
          <w:p>
            <w:r>
              <w:rPr>
                <w:sz w:val="20"/>
              </w:rPr>
              <w:t>NVM</w:t>
            </w:r>
          </w:p>
        </w:tc>
        <w:tc>
          <w:tcPr>
            <w:tcW w:type="dxa" w:w="1337"/>
          </w:tcPr>
          <w:p>
            <w:r>
              <w:rPr>
                <w:sz w:val="20"/>
              </w:rPr>
              <w:t>—</w:t>
            </w:r>
          </w:p>
        </w:tc>
        <w:tc>
          <w:tcPr>
            <w:tcW w:type="dxa" w:w="1337"/>
          </w:tcPr>
          <w:p>
            <w:r>
              <w:rPr>
                <w:sz w:val="20"/>
              </w:rPr>
              <w:t>111.0</w:t>
            </w:r>
          </w:p>
        </w:tc>
        <w:tc>
          <w:tcPr>
            <w:tcW w:type="dxa" w:w="1337"/>
          </w:tcPr>
          <w:p>
            <w:r>
              <w:rPr>
                <w:sz w:val="20"/>
              </w:rPr>
              <w:t>DOWN</w:t>
            </w:r>
          </w:p>
        </w:tc>
      </w:tr>
    </w:tbl>
    <w:p>
      <w:pPr>
        <w:pStyle w:val="3-03aHead2NoNumber"/>
      </w:pPr>
      <w:bookmarkStart w:id="33" w:name="_Toc_gene-sets"/>
      <w:r>
        <w:t>Gene Set Benchmark Dose Analysis</w:t>
      </w:r>
      <w:bookmarkEnd w:id="33"/>
    </w:p>
    <w:p>
      <w:r>
        <w:t>Hepatic gene expression profiling in male Sprague-Dawley rats following 5-day exposure to perfluorohexanesulfonamide (PFHxSA) identified 461 dose-responsive genes (259 upregulated, 202 downregulated) with benchmark doses (BMDs) spanning approximately 0.06 to 379 mg/kg/day. The most significantly enriched biological processes were response to xenobiotic stimulus (GO:0009410; 68 genes, FDR = 6.66×10⁻³⁴) and lipid metabolic process (GO:0006629; 81 genes, FDR = 1.12×10⁻³¹), followed by fatty acid metabolic process (GO:0006631; 39 genes, FDR = 9.63×10⁻²³) and fatty acid beta-oxidation (GO:0006635; 19 genes, FDR = 1.40×10⁻¹⁷). The predominant upregulation of genes within the metabolic pathway enrichment cluster—including ACOX1, EHHADH, ACAA1A, ACADM, and ACADVL—is consistent with peroxisome proliferator-activated receptor alpha (PPARα) activation, a well-established mechanism of action for perfluoroalkyl sulfonamide compounds. This interpretation is further supported by significant enrichment of the PPAR signaling pathway (path:rno03320/hsa03320; ACOX1, CYP7A1, PLIN2; FDR = 6.10×10⁻⁴) and the non-alcoholic fatty liver disease pathway (path:rno04936/hsa04936; ACOX1, CYP2E1, FOXO3, PPARGC1A; FDR = 6.51×10⁻⁴), with the majority of constituent genes upregulated, reflecting an adaptive transcriptional response to increased fatty acid flux. Concurrent enrichment of response to oxidative stress (GO:0006979; 27 genes, FDR = 2.51×10⁻¹³) and xenobiotic metabolic process (GO:0006805; 27 genes, FDR = 8.81×10⁻¹⁷) further indicates that PFHxSA exposure elicited a coordinated hepatic detoxification and antioxidant response, with upregulation of NFE2L2, HMOX1, GPX4, SOD1, SOD2, and TXNRD1 consistent with Nrf2 pathway activation. The acute-phase response (GO:0006953; 15 genes, FDR = 3.49×10⁻¹²) was also significantly enriched, with genes such as STAT3, HP, ORM1, and SERPINA1 represented, suggesting a hepatic inflammatory component to the response.</w:t>
        <w:br/>
        <w:br/>
        <w:t>BMD-ordered pathway analysis revealed a structured, dose-dependent progression of transcriptional perturbations. The lowest-BMD responses (median BMD ~3.7 mg/kg/day) involved downregulation of genes in the GnRH secretion and viral infection pathways (path:hsa04928, path:hsa05166), suggesting that neuroendocrine and immune-related transcriptional changes may represent early, sensitive endpoints. Pathways related to FoxO signaling (path:hsa04068), PI3K-Akt signaling (path:hsa04151), and cancer-associated signaling (path:hsa05223, path:hsa05225) exhibited median BMDs in the range of approximately 8–10 mg/kg/day, predominantly in the downward direction, indicating suppression of proliferative and survival signaling at moderate doses. The metabolic pathways most strongly associated with PPARα activation—including PPAR signaling (path:rno03320) and metabolic pathways (path:rno01100)—displayed median BMDs of approximately 28 mg/kg/day with predominantly upregulated gene members, consistent with an adaptive lipid-catabolic response occurring at higher doses. Pathways involving HIF-1 signaling (path:hsa04066), chemical carcinogenesis (path:hsa05208), and fluid shear stress (path:hsa05418) showed median BMDs in the range of 21–31 mg/kg/day with predominantly downregulated genes, suggesting that perturbation of stress-responsive and vascular signaling pathways occurs at intermediate-to-high exposure levels. Taken together, the BMD ordering indicates that the earliest transcriptional responses to PFHxSA involve downregulation of signaling pathways governing cell survival and endocrine function, followed at higher doses by induction of lipid metabolism and antioxidant defense programs.</w:t>
        <w:br/>
        <w:br/>
        <w:t>Organ signature analysis indicated that the transcriptional profile observed in rat liver was most strongly enriched relative to liver-specific gene expression databases (4.35-fold enrichment; 66+ genes), consistent with the hepatic tissue of origin. Significant cross-tissue enrichment was also observed for kidney (3.67-fold), heart (3.56-fold), and multiple neural and immune tissues, driven primarily by the broad expression of consensus stress-response genes including NFE2L2, HMOX1, GPX4, STAT3, and CDKN1A. The high enrichment scores observed for nasal fibroblasts, blood-brain barrier, and substantia nigra tissues (19–48-fold) reflect the known multi-tissue activity of Nrf2-target genes rather than primary target organ specificity. The enrichment of skeletal muscle and inguinal adipose tissue signatures (32-fold; PPARGC1A, SIRT3) is consistent with the known role of PGC-1α in mitochondrial biogenesis and energy metabolism, suggesting that PFHxSA may perturb mitochondrial homeostasis in addition to lipid catabolism. The overall pattern of pathway enrichment, BMD distribution, and organ signature is consistent with a hepatic response dominated by PPARα-mediated lipid metabolic reprogramming and Nrf2-driven oxidative stress adaptation, with secondary perturbation of cell cycle regulation, acute-phase signaling, and growth factor pathways at higher doses.</w:t>
      </w:r>
    </w:p>
    <w:p>
      <w:r>
        <w:t>Hepatic gene expression profiling in female Sprague Dawley rats following 5-day exposure to perfluorohexanesulfonamide (PFHxSA) identified 329 dose-responsive genes (256 upregulated, 73 downregulated; BMD range 0.814–366 mg/kg/day), indicating a predominantly transcriptional activation response. The most strongly enriched biological processes were fatty acid metabolic process (GO:0006631; 34 genes, FDR = 6.20×10⁻²²) and lipid metabolic process (GO:0006629; 54 genes, FDR = 5.30×10⁻¹⁹), with the large majority of constituent genes upregulated, a pattern consistent with peroxisome proliferator-activated receptor (PPAR) axis activation characteristic of perfluoroalkyl sulfonamide compounds. Fatty acid beta-oxidation (GO:0006635; 17 genes, FDR = 3.46×10⁻¹⁷) was similarly enriched, with upregulation of peroxisomal (ACOX1, ACOX2, EHHADH) and mitochondrial (ACADL, ACADM, ACADVL, CPT2, HADH, HADHB) oxidation genes, as well as acyl-CoA thioesterases (ACOT2, ACOT3, ACOT4, ACOT12) and fatty acid elongases (ELOVL5, ELOVL6), collectively indicating a broad induction of hepatic lipid catabolism and remodeling. Xenobiotic metabolic process (GO:0006805; 21 genes, FDR = 1.60×10⁻¹³) and response to xenobiotic stimulus (GO:0009410; 41 genes, FDR = 3.19×10⁻¹⁷) were also prominently enriched, driven by upregulation of multiple cytochrome P450 isoforms (CYP2B1, CYP2B2, CYP2B3, CYP2C11, CYP2D1, CYP2E1, CYP3A1, CYP3A2, CYP4A2) and phase II conjugation enzymes (GCLC, GSTA2, UGT1A1, UGT2B1), consistent with constitutive androstane receptor (CAR) and pregnane X receptor (PXR) co-activation. Response to oxidative stress (GO:0006979; 22 genes, FDR = 7.54×10⁻¹²) was enriched with predominantly upregulated antioxidant and proteasomal genes (SOD1, GCLC, GSR, TXNRD1, PRDX1, PRDX3, multiple PSMD subunits), suggesting an adaptive cellular defense response to oxidative burden. Additional enrichment of acute-phase response genes (GO:0006953; A2M, AHSG, F2, FGA, FN1, ORM1, SERPINA1; FDR = 1.80×10⁻⁶) and hemostasis-related genes (GO:0007599; FDR = 2.28×10⁻⁵) indicated broader hepatic stress signaling beyond lipid metabolism. Intracellular receptor signaling (GO:0030522; ESR1, NR1D2, NR1H3, NR1H4, NR1I3, PPARG, SREBF1; FDR = 5.15×10⁻⁵) and cholesterol homeostasis (GO:0042632; FDR = 9.41×10⁻⁵) were also enriched, with nuclear receptor genes predominantly upregulated, further supporting coordinate activation of lipid-sensing transcriptional programs.</w:t>
        <w:br/>
        <w:br/>
        <w:t>Pathway enrichment analysis identified the PI3K–Akt signaling pathway (rno04151/hsa04151; FDR = 2.37×10⁻⁵) as the most significantly enriched KEGG pathway, represented by CDKN1A, FGF21, HGF, HSP90AA1, and MDM2, all predominantly upregulated. Thyroid cancer (rno05218/hsa05218; FDR = 6.06×10⁻⁵) and pathways in cancer (rno05200/hsa05200; FDR = 2.29×10⁻⁴) were enriched through the same gene set, reflecting the convergence of growth factor and cell cycle regulatory signaling rather than a cancer-specific response per se. Cellular senescence (hsa04218/rno04218; FDR = 1.99×10⁻³) was enriched via CDKN1A, MDM2, and SQSTM1, with genes predominantly upregulated, consistent with p53 pathway activation and stress-induced cell cycle arrest. Cell cycle (hsa04110/rno04110; FDR = 3.56×10⁻³) was represented by CDKN1A and MDM2 in a bidirectional pattern, suggesting mixed proliferative and antiproliferative signaling. Benchmark dose ordering of pathway-level responses revealed that metabolic pathways (rno01100; median BMD ≈ 49 mg/kg/day) were among the earliest to respond, followed by PI3K–Akt and cancer-related pathways (median BMD ≈ 54 mg/kg/day), cell cycle and senescence pathways (median BMD ≈ 58–76 mg/kg/day), and growth factor receptor signaling pathways including Ras, MAPK, and calcium signaling (median BMD ≈ 70 mg/kg/day). This BMD ordering suggests that perturbation of hepatic lipid and xenobiotic metabolism precedes activation of cell stress and proliferative signaling cascades, a sequence consistent with secondary genotoxic or cytotoxic mechanisms rather than direct DNA damage. The PPAR signaling pathway (rno03320/hsa03320; median BMD ≈ 55 mg/kg/day) was represented by predominantly upregulated genes, reinforcing PPAR-alpha as a primary molecular initiating event. Notably, hepatocellular carcinoma-related pathways (rno05205/hsa05205) showed a predominantly downregulated gene pattern (median BMD ≈ 76 mg/kg/day), which may reflect suppression of tumor suppressor or differentiation-associated signaling at higher doses.</w:t>
        <w:br/>
        <w:br/>
        <w:t>Organ signature analysis predicted the strongest enrichment for liver-expressed genes (4.71-fold; 51+ genes), confirming the biological relevance of the hepatic transcriptional response. Enrichment was also observed for kidney, heart, muscle, and pancreas gene signatures, consistent with the known multi-organ distribution of perfluoroalkyl compounds and the broad expression of PPAR-regulated and oxidative stress genes across tissues. Enrichment of breast tissue (MCF-7 cell) signatures driven by ESR1 upregulation, and of immune system signatures driven by FGF21 and GDF15, suggests potential endocrine and systemic signaling perturbations secondary to hepatic metabolic reprogramming. The upregulation of mitophagy-associated genes (PINK1, TFAM, FIS1) contributed to enrichment of cardiomyocyte and pulmonary tissue signatures, indicating that mitochondrial quality control pathways were activated, potentially as an adaptive response to increased fatty acid oxidation flux and associated reactive oxygen species generation. Collectively, the transcriptional profile is consistent with a hepatic response dominated by PPAR-alpha–mediated lipid metabolic induction, coordinate xenobiotic enzyme induction via CAR/PXR, oxidative stress adaptation, and secondary activation of p53-associated cell cycle checkpoint and senescence pathways at higher doses, a pattern previously described for perfluoroalkyl sulfonyl compounds in rodent liver.</w:t>
      </w:r>
    </w:p>
    <w:p>
      <w:pPr>
        <w:pStyle w:val="0-25TableTitle"/>
      </w:pPr>
      <w:r>
        <w:t xml:space="preserve">Table </w:t>
      </w:r>
      <w:r>
        <w:fldChar w:fldCharType="begin"/>
        <w:instrText xml:space="preserve"> SEQ Table \* ARABIC </w:instrText>
        <w:fldChar w:fldCharType="separate"/>
      </w:r>
      <w:r>
        <w:t>9</w:t>
      </w:r>
      <w:r>
        <w:fldChar w:fldCharType="end"/>
      </w:r>
      <w:r>
        <w:t xml:space="preserve">. </w:t>
      </w:r>
      <w:r>
        <w:t>Top 10 Liver Gene Ontology Biological Process Gene Sets Ranked by Potency of Perturbation, Sorted by Benchmark Dose Median</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170"/>
        <w:gridCol w:w="1170"/>
        <w:gridCol w:w="1170"/>
        <w:gridCol w:w="1170"/>
        <w:gridCol w:w="1170"/>
        <w:gridCol w:w="1170"/>
        <w:gridCol w:w="1170"/>
        <w:gridCol w:w="1170"/>
      </w:tblGrid>
      <w:tr>
        <w:trPr>
          <w:tblHeader w:val="true"/>
        </w:trPr>
        <w:tc>
          <w:tcPr>
            <w:tcW w:type="dxa" w:w="1170"/>
            <w:tcBorders>
              <w:bottom w:val="single" w:sz="8" w:space="0" w:color="000000"/>
            </w:tcBorders>
          </w:tcPr>
          <w:p>
            <w:r>
              <w:rPr>
                <w:rFonts w:ascii="Arial" w:hAnsi="Arial"/>
                <w:b/>
                <w:sz w:val="20"/>
              </w:rPr>
              <w:t>Category Name</w:t>
            </w:r>
          </w:p>
        </w:tc>
        <w:tc>
          <w:tcPr>
            <w:tcW w:type="dxa" w:w="1170"/>
            <w:tcBorders>
              <w:bottom w:val="single" w:sz="8" w:space="0" w:color="000000"/>
            </w:tcBorders>
          </w:tcPr>
          <w:p>
            <w:r>
              <w:rPr>
                <w:rFonts w:ascii="Arial" w:hAnsi="Arial"/>
                <w:b/>
                <w:sz w:val="20"/>
              </w:rPr>
              <w:t>No. of Active Genes/ Platform Genes in Gene Set</w:t>
            </w:r>
          </w:p>
        </w:tc>
        <w:tc>
          <w:tcPr>
            <w:tcW w:type="dxa" w:w="1170"/>
            <w:tcBorders>
              <w:bottom w:val="single" w:sz="8" w:space="0" w:color="000000"/>
            </w:tcBorders>
          </w:tcPr>
          <w:p>
            <w:r>
              <w:rPr>
                <w:rFonts w:ascii="Arial" w:hAnsi="Arial"/>
                <w:b/>
                <w:sz w:val="20"/>
              </w:rPr>
              <w:t>% Gene Set Coverage</w:t>
            </w:r>
          </w:p>
        </w:tc>
        <w:tc>
          <w:tcPr>
            <w:tcW w:type="dxa" w:w="1170"/>
            <w:tcBorders>
              <w:bottom w:val="single" w:sz="8" w:space="0" w:color="000000"/>
            </w:tcBorders>
          </w:tcPr>
          <w:p>
            <w:r>
              <w:rPr>
                <w:rFonts w:ascii="Arial" w:hAnsi="Arial"/>
                <w:b/>
                <w:sz w:val="20"/>
              </w:rPr>
              <w:t>Active Genes</w:t>
            </w:r>
          </w:p>
        </w:tc>
        <w:tc>
          <w:tcPr>
            <w:tcW w:type="dxa" w:w="1170"/>
            <w:tcBorders>
              <w:bottom w:val="single" w:sz="8" w:space="0" w:color="000000"/>
            </w:tcBorders>
          </w:tcPr>
          <w:p>
            <w:r>
              <w:rPr>
                <w:rFonts w:ascii="Arial" w:hAnsi="Arial"/>
                <w:b/>
                <w:sz w:val="20"/>
              </w:rPr>
              <w:t>BMD1std Median of Gene Set Transcripts (mg/kg)</w:t>
            </w:r>
          </w:p>
        </w:tc>
        <w:tc>
          <w:tcPr>
            <w:tcW w:type="dxa" w:w="1170"/>
            <w:tcBorders>
              <w:bottom w:val="single" w:sz="8" w:space="0" w:color="000000"/>
            </w:tcBorders>
          </w:tcPr>
          <w:p>
            <w:r>
              <w:rPr>
                <w:rFonts w:ascii="Arial" w:hAnsi="Arial"/>
                <w:b/>
                <w:sz w:val="20"/>
              </w:rPr>
              <w:t>Median BMDL1Std–BMDU1Std (mg/kg)</w:t>
            </w:r>
          </w:p>
        </w:tc>
        <w:tc>
          <w:tcPr>
            <w:tcW w:type="dxa" w:w="1170"/>
            <w:tcBorders>
              <w:bottom w:val="single" w:sz="8" w:space="0" w:color="000000"/>
            </w:tcBorders>
          </w:tcPr>
          <w:p>
            <w:r>
              <w:rPr>
                <w:rFonts w:ascii="Arial" w:hAnsi="Arial"/>
                <w:b/>
                <w:sz w:val="20"/>
              </w:rPr>
              <w:t>Genes with Changed Direction Up</w:t>
            </w:r>
          </w:p>
        </w:tc>
        <w:tc>
          <w:tcPr>
            <w:tcW w:type="dxa" w:w="1170"/>
            <w:tcBorders>
              <w:bottom w:val="single" w:sz="8" w:space="0" w:color="000000"/>
            </w:tcBorders>
          </w:tcPr>
          <w:p>
            <w:r>
              <w:rPr>
                <w:rFonts w:ascii="Arial" w:hAnsi="Arial"/>
                <w:b/>
                <w:sz w:val="20"/>
              </w:rPr>
              <w:t>Genes with Changed Direction Down</w:t>
            </w:r>
          </w:p>
        </w:tc>
      </w:tr>
      <w:tr>
        <w:tc>
          <w:tcPr>
            <w:tcW w:type="dxa" w:w="9360"/>
            <w:gridSpan w:val="8"/>
          </w:tcPr>
          <w:p>
            <w:r>
              <w:rPr>
                <w:b/>
                <w:sz w:val="20"/>
              </w:rPr>
              <w:t>Male</w:t>
            </w:r>
          </w:p>
        </w:tc>
      </w:tr>
      <w:tr>
        <w:tc>
          <w:tcPr>
            <w:tcW w:type="dxa" w:w="1170"/>
          </w:tcPr>
          <w:p>
            <w:r>
              <w:rPr>
                <w:sz w:val="20"/>
              </w:rPr>
              <w:t>GO:0032368</w:t>
              <w:tab/>
              <w:t>regulation of lipid transport</w:t>
            </w:r>
          </w:p>
        </w:tc>
        <w:tc>
          <w:tcPr>
            <w:tcW w:type="dxa" w:w="1170"/>
          </w:tcPr>
          <w:p>
            <w:r>
              <w:rPr>
                <w:sz w:val="20"/>
              </w:rPr>
              <w:t>4/45</w:t>
            </w:r>
          </w:p>
        </w:tc>
        <w:tc>
          <w:tcPr>
            <w:tcW w:type="dxa" w:w="1170"/>
          </w:tcPr>
          <w:p>
            <w:r>
              <w:rPr>
                <w:sz w:val="20"/>
              </w:rPr>
              <w:t>9%</w:t>
            </w:r>
          </w:p>
        </w:tc>
        <w:tc>
          <w:tcPr>
            <w:tcW w:type="dxa" w:w="1170"/>
          </w:tcPr>
          <w:p>
            <w:r>
              <w:rPr>
                <w:sz w:val="20"/>
              </w:rPr>
              <w:t>nfkbia; egf; apoa2; apoa1</w:t>
            </w:r>
          </w:p>
        </w:tc>
        <w:tc>
          <w:tcPr>
            <w:tcW w:type="dxa" w:w="1170"/>
          </w:tcPr>
          <w:p>
            <w:r>
              <w:rPr>
                <w:sz w:val="20"/>
              </w:rPr>
              <w:t>3.838</w:t>
            </w:r>
          </w:p>
        </w:tc>
        <w:tc>
          <w:tcPr>
            <w:tcW w:type="dxa" w:w="1170"/>
          </w:tcPr>
          <w:p>
            <w:r>
              <w:rPr>
                <w:sz w:val="20"/>
              </w:rPr>
              <w:t>2.773–188.972</w:t>
            </w:r>
          </w:p>
        </w:tc>
        <w:tc>
          <w:tcPr>
            <w:tcW w:type="dxa" w:w="1170"/>
          </w:tcPr>
          <w:p>
            <w:r>
              <w:rPr>
                <w:sz w:val="20"/>
              </w:rPr>
              <w:t>1</w:t>
            </w:r>
          </w:p>
        </w:tc>
        <w:tc>
          <w:tcPr>
            <w:tcW w:type="dxa" w:w="1170"/>
          </w:tcPr>
          <w:p>
            <w:r>
              <w:rPr>
                <w:sz w:val="20"/>
              </w:rPr>
              <w:t>3</w:t>
            </w:r>
          </w:p>
        </w:tc>
      </w:tr>
      <w:tr>
        <w:tc>
          <w:tcPr>
            <w:tcW w:type="dxa" w:w="1170"/>
          </w:tcPr>
          <w:p>
            <w:r>
              <w:rPr>
                <w:sz w:val="20"/>
              </w:rPr>
              <w:t>GO:0030111</w:t>
              <w:tab/>
              <w:t>regulation of Wnt signaling pathway</w:t>
            </w:r>
          </w:p>
        </w:tc>
        <w:tc>
          <w:tcPr>
            <w:tcW w:type="dxa" w:w="1170"/>
          </w:tcPr>
          <w:p>
            <w:r>
              <w:rPr>
                <w:sz w:val="20"/>
              </w:rPr>
              <w:t>4/65</w:t>
            </w:r>
          </w:p>
        </w:tc>
        <w:tc>
          <w:tcPr>
            <w:tcW w:type="dxa" w:w="1170"/>
          </w:tcPr>
          <w:p>
            <w:r>
              <w:rPr>
                <w:sz w:val="20"/>
              </w:rPr>
              <w:t>6%</w:t>
            </w:r>
          </w:p>
        </w:tc>
        <w:tc>
          <w:tcPr>
            <w:tcW w:type="dxa" w:w="1170"/>
          </w:tcPr>
          <w:p>
            <w:r>
              <w:rPr>
                <w:sz w:val="20"/>
              </w:rPr>
              <w:t>tsku; foxo3; egr1; egf</w:t>
            </w:r>
          </w:p>
        </w:tc>
        <w:tc>
          <w:tcPr>
            <w:tcW w:type="dxa" w:w="1170"/>
          </w:tcPr>
          <w:p>
            <w:r>
              <w:rPr>
                <w:sz w:val="20"/>
              </w:rPr>
              <w:t>4.908</w:t>
            </w:r>
          </w:p>
        </w:tc>
        <w:tc>
          <w:tcPr>
            <w:tcW w:type="dxa" w:w="1170"/>
          </w:tcPr>
          <w:p>
            <w:r>
              <w:rPr>
                <w:sz w:val="20"/>
              </w:rPr>
              <w:t>1.478–18.658</w:t>
            </w:r>
          </w:p>
        </w:tc>
        <w:tc>
          <w:tcPr>
            <w:tcW w:type="dxa" w:w="1170"/>
          </w:tcPr>
          <w:p>
            <w:r>
              <w:rPr>
                <w:sz w:val="20"/>
              </w:rPr>
              <w:t>0</w:t>
            </w:r>
          </w:p>
        </w:tc>
        <w:tc>
          <w:tcPr>
            <w:tcW w:type="dxa" w:w="1170"/>
          </w:tcPr>
          <w:p>
            <w:r>
              <w:rPr>
                <w:sz w:val="20"/>
              </w:rPr>
              <w:t>4</w:t>
            </w:r>
          </w:p>
        </w:tc>
      </w:tr>
      <w:tr>
        <w:tc>
          <w:tcPr>
            <w:tcW w:type="dxa" w:w="1170"/>
          </w:tcPr>
          <w:p>
            <w:r>
              <w:rPr>
                <w:sz w:val="20"/>
              </w:rPr>
              <w:t>GO:0008203</w:t>
              <w:tab/>
              <w:t>cholesterol metabolic process</w:t>
            </w:r>
          </w:p>
        </w:tc>
        <w:tc>
          <w:tcPr>
            <w:tcW w:type="dxa" w:w="1170"/>
          </w:tcPr>
          <w:p>
            <w:r>
              <w:rPr>
                <w:sz w:val="20"/>
              </w:rPr>
              <w:t>9/54</w:t>
            </w:r>
          </w:p>
        </w:tc>
        <w:tc>
          <w:tcPr>
            <w:tcW w:type="dxa" w:w="1170"/>
          </w:tcPr>
          <w:p>
            <w:r>
              <w:rPr>
                <w:sz w:val="20"/>
              </w:rPr>
              <w:t>17%</w:t>
            </w:r>
          </w:p>
        </w:tc>
        <w:tc>
          <w:tcPr>
            <w:tcW w:type="dxa" w:w="1170"/>
          </w:tcPr>
          <w:p>
            <w:r>
              <w:rPr>
                <w:sz w:val="20"/>
              </w:rPr>
              <w:t>tsku; hsd17b7; hmgcs2; fgl1; cyp7a1; cyp1a2; apon; apoa2; apoa1</w:t>
            </w:r>
          </w:p>
        </w:tc>
        <w:tc>
          <w:tcPr>
            <w:tcW w:type="dxa" w:w="1170"/>
          </w:tcPr>
          <w:p>
            <w:r>
              <w:rPr>
                <w:sz w:val="20"/>
              </w:rPr>
              <w:t>6.417</w:t>
            </w:r>
          </w:p>
        </w:tc>
        <w:tc>
          <w:tcPr>
            <w:tcW w:type="dxa" w:w="1170"/>
          </w:tcPr>
          <w:p>
            <w:r>
              <w:rPr>
                <w:sz w:val="20"/>
              </w:rPr>
              <w:t>5.110–12.860</w:t>
            </w:r>
          </w:p>
        </w:tc>
        <w:tc>
          <w:tcPr>
            <w:tcW w:type="dxa" w:w="1170"/>
          </w:tcPr>
          <w:p>
            <w:r>
              <w:rPr>
                <w:sz w:val="20"/>
              </w:rPr>
              <w:t>3</w:t>
            </w:r>
          </w:p>
        </w:tc>
        <w:tc>
          <w:tcPr>
            <w:tcW w:type="dxa" w:w="1170"/>
          </w:tcPr>
          <w:p>
            <w:r>
              <w:rPr>
                <w:sz w:val="20"/>
              </w:rPr>
              <w:t>6</w:t>
            </w:r>
          </w:p>
        </w:tc>
      </w:tr>
      <w:tr>
        <w:tc>
          <w:tcPr>
            <w:tcW w:type="dxa" w:w="1170"/>
          </w:tcPr>
          <w:p>
            <w:r>
              <w:rPr>
                <w:sz w:val="20"/>
              </w:rPr>
              <w:t>GO:0016125</w:t>
              <w:tab/>
              <w:t>sterol metabolic process</w:t>
            </w:r>
          </w:p>
        </w:tc>
        <w:tc>
          <w:tcPr>
            <w:tcW w:type="dxa" w:w="1170"/>
          </w:tcPr>
          <w:p>
            <w:r>
              <w:rPr>
                <w:sz w:val="20"/>
              </w:rPr>
              <w:t>9/56</w:t>
            </w:r>
          </w:p>
        </w:tc>
        <w:tc>
          <w:tcPr>
            <w:tcW w:type="dxa" w:w="1170"/>
          </w:tcPr>
          <w:p>
            <w:r>
              <w:rPr>
                <w:sz w:val="20"/>
              </w:rPr>
              <w:t>16%</w:t>
            </w:r>
          </w:p>
        </w:tc>
        <w:tc>
          <w:tcPr>
            <w:tcW w:type="dxa" w:w="1170"/>
          </w:tcPr>
          <w:p>
            <w:r>
              <w:rPr>
                <w:sz w:val="20"/>
              </w:rPr>
              <w:t>tsku; hsd17b7; hmgcs2; fgl1; cyp7a1; cyp1a2; apon; apoa2; apoa1</w:t>
            </w:r>
          </w:p>
        </w:tc>
        <w:tc>
          <w:tcPr>
            <w:tcW w:type="dxa" w:w="1170"/>
          </w:tcPr>
          <w:p>
            <w:r>
              <w:rPr>
                <w:sz w:val="20"/>
              </w:rPr>
              <w:t>6.417</w:t>
            </w:r>
          </w:p>
        </w:tc>
        <w:tc>
          <w:tcPr>
            <w:tcW w:type="dxa" w:w="1170"/>
          </w:tcPr>
          <w:p>
            <w:r>
              <w:rPr>
                <w:sz w:val="20"/>
              </w:rPr>
              <w:t>5.110–12.860</w:t>
            </w:r>
          </w:p>
        </w:tc>
        <w:tc>
          <w:tcPr>
            <w:tcW w:type="dxa" w:w="1170"/>
          </w:tcPr>
          <w:p>
            <w:r>
              <w:rPr>
                <w:sz w:val="20"/>
              </w:rPr>
              <w:t>3</w:t>
            </w:r>
          </w:p>
        </w:tc>
        <w:tc>
          <w:tcPr>
            <w:tcW w:type="dxa" w:w="1170"/>
          </w:tcPr>
          <w:p>
            <w:r>
              <w:rPr>
                <w:sz w:val="20"/>
              </w:rPr>
              <w:t>6</w:t>
            </w:r>
          </w:p>
        </w:tc>
      </w:tr>
      <w:tr>
        <w:tc>
          <w:tcPr>
            <w:tcW w:type="dxa" w:w="1170"/>
          </w:tcPr>
          <w:p>
            <w:r>
              <w:rPr>
                <w:sz w:val="20"/>
              </w:rPr>
              <w:t>GO:0048568</w:t>
              <w:tab/>
              <w:t>embryonic organ development</w:t>
            </w:r>
          </w:p>
        </w:tc>
        <w:tc>
          <w:tcPr>
            <w:tcW w:type="dxa" w:w="1170"/>
          </w:tcPr>
          <w:p>
            <w:r>
              <w:rPr>
                <w:sz w:val="20"/>
              </w:rPr>
              <w:t>4/47</w:t>
            </w:r>
          </w:p>
        </w:tc>
        <w:tc>
          <w:tcPr>
            <w:tcW w:type="dxa" w:w="1170"/>
          </w:tcPr>
          <w:p>
            <w:r>
              <w:rPr>
                <w:sz w:val="20"/>
              </w:rPr>
              <w:t>9%</w:t>
            </w:r>
          </w:p>
        </w:tc>
        <w:tc>
          <w:tcPr>
            <w:tcW w:type="dxa" w:w="1170"/>
          </w:tcPr>
          <w:p>
            <w:r>
              <w:rPr>
                <w:sz w:val="20"/>
              </w:rPr>
              <w:t>plg; hsd17b7; gdnf; a2m</w:t>
            </w:r>
          </w:p>
        </w:tc>
        <w:tc>
          <w:tcPr>
            <w:tcW w:type="dxa" w:w="1170"/>
          </w:tcPr>
          <w:p>
            <w:r>
              <w:rPr>
                <w:sz w:val="20"/>
              </w:rPr>
              <w:t>7.820</w:t>
            </w:r>
          </w:p>
        </w:tc>
        <w:tc>
          <w:tcPr>
            <w:tcW w:type="dxa" w:w="1170"/>
          </w:tcPr>
          <w:p>
            <w:r>
              <w:rPr>
                <w:sz w:val="20"/>
              </w:rPr>
              <w:t>1.687</w:t>
            </w:r>
          </w:p>
        </w:tc>
        <w:tc>
          <w:tcPr>
            <w:tcW w:type="dxa" w:w="1170"/>
          </w:tcPr>
          <w:p>
            <w:r>
              <w:rPr>
                <w:sz w:val="20"/>
              </w:rPr>
              <w:t>0</w:t>
            </w:r>
          </w:p>
        </w:tc>
        <w:tc>
          <w:tcPr>
            <w:tcW w:type="dxa" w:w="1170"/>
          </w:tcPr>
          <w:p>
            <w:r>
              <w:rPr>
                <w:sz w:val="20"/>
              </w:rPr>
              <w:t>4</w:t>
            </w:r>
          </w:p>
        </w:tc>
      </w:tr>
      <w:tr>
        <w:tc>
          <w:tcPr>
            <w:tcW w:type="dxa" w:w="1170"/>
          </w:tcPr>
          <w:p>
            <w:r>
              <w:rPr>
                <w:sz w:val="20"/>
              </w:rPr>
              <w:t>GO:0055088</w:t>
              <w:tab/>
              <w:t>lipid homeostasis</w:t>
            </w:r>
          </w:p>
        </w:tc>
        <w:tc>
          <w:tcPr>
            <w:tcW w:type="dxa" w:w="1170"/>
          </w:tcPr>
          <w:p>
            <w:r>
              <w:rPr>
                <w:sz w:val="20"/>
              </w:rPr>
              <w:t>11/58</w:t>
            </w:r>
          </w:p>
        </w:tc>
        <w:tc>
          <w:tcPr>
            <w:tcW w:type="dxa" w:w="1170"/>
          </w:tcPr>
          <w:p>
            <w:r>
              <w:rPr>
                <w:sz w:val="20"/>
              </w:rPr>
              <w:t>19%</w:t>
            </w:r>
          </w:p>
        </w:tc>
        <w:tc>
          <w:tcPr>
            <w:tcW w:type="dxa" w:w="1170"/>
          </w:tcPr>
          <w:p>
            <w:r>
              <w:rPr>
                <w:sz w:val="20"/>
              </w:rPr>
              <w:t>tsku; slc37a4; got1; gck; ephx2; cyp7a1; apoa2; apoa1; acox1; abcg5; abcb11</w:t>
            </w:r>
          </w:p>
        </w:tc>
        <w:tc>
          <w:tcPr>
            <w:tcW w:type="dxa" w:w="1170"/>
          </w:tcPr>
          <w:p>
            <w:r>
              <w:rPr>
                <w:sz w:val="20"/>
              </w:rPr>
              <w:t>7.841</w:t>
            </w:r>
          </w:p>
        </w:tc>
        <w:tc>
          <w:tcPr>
            <w:tcW w:type="dxa" w:w="1170"/>
          </w:tcPr>
          <w:p>
            <w:r>
              <w:rPr>
                <w:sz w:val="20"/>
              </w:rPr>
              <w:t>3.838–21.352</w:t>
            </w:r>
          </w:p>
        </w:tc>
        <w:tc>
          <w:tcPr>
            <w:tcW w:type="dxa" w:w="1170"/>
          </w:tcPr>
          <w:p>
            <w:r>
              <w:rPr>
                <w:sz w:val="20"/>
              </w:rPr>
              <w:t>4</w:t>
            </w:r>
          </w:p>
        </w:tc>
        <w:tc>
          <w:tcPr>
            <w:tcW w:type="dxa" w:w="1170"/>
          </w:tcPr>
          <w:p>
            <w:r>
              <w:rPr>
                <w:sz w:val="20"/>
              </w:rPr>
              <w:t>7</w:t>
            </w:r>
          </w:p>
        </w:tc>
      </w:tr>
      <w:tr>
        <w:tc>
          <w:tcPr>
            <w:tcW w:type="dxa" w:w="1170"/>
          </w:tcPr>
          <w:p>
            <w:r>
              <w:rPr>
                <w:sz w:val="20"/>
              </w:rPr>
              <w:t>GO:0032526</w:t>
              <w:tab/>
              <w:t>response to retinoic acid</w:t>
            </w:r>
          </w:p>
        </w:tc>
        <w:tc>
          <w:tcPr>
            <w:tcW w:type="dxa" w:w="1170"/>
          </w:tcPr>
          <w:p>
            <w:r>
              <w:rPr>
                <w:sz w:val="20"/>
              </w:rPr>
              <w:t>5/51</w:t>
            </w:r>
          </w:p>
        </w:tc>
        <w:tc>
          <w:tcPr>
            <w:tcW w:type="dxa" w:w="1170"/>
          </w:tcPr>
          <w:p>
            <w:r>
              <w:rPr>
                <w:sz w:val="20"/>
              </w:rPr>
              <w:t>10%</w:t>
            </w:r>
          </w:p>
        </w:tc>
        <w:tc>
          <w:tcPr>
            <w:tcW w:type="dxa" w:w="1170"/>
          </w:tcPr>
          <w:p>
            <w:r>
              <w:rPr>
                <w:sz w:val="20"/>
              </w:rPr>
              <w:t>pck1; myc; map7; cyp17a1; aldh1a1</w:t>
            </w:r>
          </w:p>
        </w:tc>
        <w:tc>
          <w:tcPr>
            <w:tcW w:type="dxa" w:w="1170"/>
          </w:tcPr>
          <w:p>
            <w:r>
              <w:rPr>
                <w:sz w:val="20"/>
              </w:rPr>
              <w:t>8.763</w:t>
            </w:r>
          </w:p>
        </w:tc>
        <w:tc>
          <w:tcPr>
            <w:tcW w:type="dxa" w:w="1170"/>
          </w:tcPr>
          <w:p>
            <w:r>
              <w:rPr>
                <w:sz w:val="20"/>
              </w:rPr>
              <w:t>5.196–8.992</w:t>
            </w:r>
          </w:p>
        </w:tc>
        <w:tc>
          <w:tcPr>
            <w:tcW w:type="dxa" w:w="1170"/>
          </w:tcPr>
          <w:p>
            <w:r>
              <w:rPr>
                <w:sz w:val="20"/>
              </w:rPr>
              <w:t>3</w:t>
            </w:r>
          </w:p>
        </w:tc>
        <w:tc>
          <w:tcPr>
            <w:tcW w:type="dxa" w:w="1170"/>
          </w:tcPr>
          <w:p>
            <w:r>
              <w:rPr>
                <w:sz w:val="20"/>
              </w:rPr>
              <w:t>2</w:t>
            </w:r>
          </w:p>
        </w:tc>
      </w:tr>
      <w:tr>
        <w:tc>
          <w:tcPr>
            <w:tcW w:type="dxa" w:w="1170"/>
          </w:tcPr>
          <w:p>
            <w:r>
              <w:rPr>
                <w:sz w:val="20"/>
              </w:rPr>
              <w:t>GO:0043525</w:t>
              <w:tab/>
              <w:t>positive regulation of neuron apoptotic process</w:t>
            </w:r>
          </w:p>
        </w:tc>
        <w:tc>
          <w:tcPr>
            <w:tcW w:type="dxa" w:w="1170"/>
          </w:tcPr>
          <w:p>
            <w:r>
              <w:rPr>
                <w:sz w:val="20"/>
              </w:rPr>
              <w:t>3/45</w:t>
            </w:r>
          </w:p>
        </w:tc>
        <w:tc>
          <w:tcPr>
            <w:tcW w:type="dxa" w:w="1170"/>
          </w:tcPr>
          <w:p>
            <w:r>
              <w:rPr>
                <w:sz w:val="20"/>
              </w:rPr>
              <w:t>7%</w:t>
            </w:r>
          </w:p>
        </w:tc>
        <w:tc>
          <w:tcPr>
            <w:tcW w:type="dxa" w:w="1170"/>
          </w:tcPr>
          <w:p>
            <w:r>
              <w:rPr>
                <w:sz w:val="20"/>
              </w:rPr>
              <w:t>nr3c1; foxo3; egr1</w:t>
            </w:r>
          </w:p>
        </w:tc>
        <w:tc>
          <w:tcPr>
            <w:tcW w:type="dxa" w:w="1170"/>
          </w:tcPr>
          <w:p>
            <w:r>
              <w:rPr>
                <w:sz w:val="20"/>
              </w:rPr>
              <w:t>8.786</w:t>
            </w:r>
          </w:p>
        </w:tc>
        <w:tc>
          <w:tcPr>
            <w:tcW w:type="dxa" w:w="1170"/>
          </w:tcPr>
          <w:p>
            <w:r>
              <w:rPr>
                <w:sz w:val="20"/>
              </w:rPr>
              <w:t>2.634–29.339</w:t>
            </w:r>
          </w:p>
        </w:tc>
        <w:tc>
          <w:tcPr>
            <w:tcW w:type="dxa" w:w="1170"/>
          </w:tcPr>
          <w:p>
            <w:r>
              <w:rPr>
                <w:sz w:val="20"/>
              </w:rPr>
              <w:t>0</w:t>
            </w:r>
          </w:p>
        </w:tc>
        <w:tc>
          <w:tcPr>
            <w:tcW w:type="dxa" w:w="1170"/>
          </w:tcPr>
          <w:p>
            <w:r>
              <w:rPr>
                <w:sz w:val="20"/>
              </w:rPr>
              <w:t>3</w:t>
            </w:r>
          </w:p>
        </w:tc>
      </w:tr>
      <w:tr>
        <w:tc>
          <w:tcPr>
            <w:tcW w:type="dxa" w:w="1170"/>
          </w:tcPr>
          <w:p>
            <w:r>
              <w:rPr>
                <w:sz w:val="20"/>
              </w:rPr>
              <w:t>GO:0045582</w:t>
              <w:tab/>
              <w:t>positive regulation of T cell differentiation</w:t>
            </w:r>
          </w:p>
        </w:tc>
        <w:tc>
          <w:tcPr>
            <w:tcW w:type="dxa" w:w="1170"/>
          </w:tcPr>
          <w:p>
            <w:r>
              <w:rPr>
                <w:sz w:val="20"/>
              </w:rPr>
              <w:t>3/40</w:t>
            </w:r>
          </w:p>
        </w:tc>
        <w:tc>
          <w:tcPr>
            <w:tcW w:type="dxa" w:w="1170"/>
          </w:tcPr>
          <w:p>
            <w:r>
              <w:rPr>
                <w:sz w:val="20"/>
              </w:rPr>
              <w:t>8%</w:t>
            </w:r>
          </w:p>
        </w:tc>
        <w:tc>
          <w:tcPr>
            <w:tcW w:type="dxa" w:w="1170"/>
          </w:tcPr>
          <w:p>
            <w:r>
              <w:rPr>
                <w:sz w:val="20"/>
              </w:rPr>
              <w:t>vnn1; pck1; foxo3</w:t>
            </w:r>
          </w:p>
        </w:tc>
        <w:tc>
          <w:tcPr>
            <w:tcW w:type="dxa" w:w="1170"/>
          </w:tcPr>
          <w:p>
            <w:r>
              <w:rPr>
                <w:sz w:val="20"/>
              </w:rPr>
              <w:t>8.786</w:t>
            </w:r>
          </w:p>
        </w:tc>
        <w:tc>
          <w:tcPr>
            <w:tcW w:type="dxa" w:w="1170"/>
          </w:tcPr>
          <w:p>
            <w:r>
              <w:rPr>
                <w:sz w:val="20"/>
              </w:rPr>
              <w:t>2.634–15.205</w:t>
            </w:r>
          </w:p>
        </w:tc>
        <w:tc>
          <w:tcPr>
            <w:tcW w:type="dxa" w:w="1170"/>
          </w:tcPr>
          <w:p>
            <w:r>
              <w:rPr>
                <w:sz w:val="20"/>
              </w:rPr>
              <w:t>1</w:t>
            </w:r>
          </w:p>
        </w:tc>
        <w:tc>
          <w:tcPr>
            <w:tcW w:type="dxa" w:w="1170"/>
          </w:tcPr>
          <w:p>
            <w:r>
              <w:rPr>
                <w:sz w:val="20"/>
              </w:rPr>
              <w:t>2</w:t>
            </w:r>
          </w:p>
        </w:tc>
      </w:tr>
      <w:tr>
        <w:tc>
          <w:tcPr>
            <w:tcW w:type="dxa" w:w="1170"/>
          </w:tcPr>
          <w:p>
            <w:r>
              <w:rPr>
                <w:sz w:val="20"/>
              </w:rPr>
              <w:t>GO:0045621</w:t>
              <w:tab/>
              <w:t>positive regulation of lymphocyte differentiation</w:t>
            </w:r>
          </w:p>
        </w:tc>
        <w:tc>
          <w:tcPr>
            <w:tcW w:type="dxa" w:w="1170"/>
          </w:tcPr>
          <w:p>
            <w:r>
              <w:rPr>
                <w:sz w:val="20"/>
              </w:rPr>
              <w:t>3/43</w:t>
            </w:r>
          </w:p>
        </w:tc>
        <w:tc>
          <w:tcPr>
            <w:tcW w:type="dxa" w:w="1170"/>
          </w:tcPr>
          <w:p>
            <w:r>
              <w:rPr>
                <w:sz w:val="20"/>
              </w:rPr>
              <w:t>7%</w:t>
            </w:r>
          </w:p>
        </w:tc>
        <w:tc>
          <w:tcPr>
            <w:tcW w:type="dxa" w:w="1170"/>
          </w:tcPr>
          <w:p>
            <w:r>
              <w:rPr>
                <w:sz w:val="20"/>
              </w:rPr>
              <w:t>vnn1; pck1; foxo3</w:t>
            </w:r>
          </w:p>
        </w:tc>
        <w:tc>
          <w:tcPr>
            <w:tcW w:type="dxa" w:w="1170"/>
          </w:tcPr>
          <w:p>
            <w:r>
              <w:rPr>
                <w:sz w:val="20"/>
              </w:rPr>
              <w:t>8.786</w:t>
            </w:r>
          </w:p>
        </w:tc>
        <w:tc>
          <w:tcPr>
            <w:tcW w:type="dxa" w:w="1170"/>
          </w:tcPr>
          <w:p>
            <w:r>
              <w:rPr>
                <w:sz w:val="20"/>
              </w:rPr>
              <w:t>2.634–15.205</w:t>
            </w:r>
          </w:p>
        </w:tc>
        <w:tc>
          <w:tcPr>
            <w:tcW w:type="dxa" w:w="1170"/>
          </w:tcPr>
          <w:p>
            <w:r>
              <w:rPr>
                <w:sz w:val="20"/>
              </w:rPr>
              <w:t>1</w:t>
            </w:r>
          </w:p>
        </w:tc>
        <w:tc>
          <w:tcPr>
            <w:tcW w:type="dxa" w:w="1170"/>
          </w:tcPr>
          <w:p>
            <w:r>
              <w:rPr>
                <w:sz w:val="20"/>
              </w:rPr>
              <w:t>2</w:t>
            </w:r>
          </w:p>
        </w:tc>
      </w:tr>
      <w:tr>
        <w:tc>
          <w:tcPr>
            <w:tcW w:type="dxa" w:w="9360"/>
            <w:gridSpan w:val="8"/>
          </w:tcPr>
          <w:p>
            <w:r>
              <w:rPr>
                <w:b/>
                <w:sz w:val="20"/>
              </w:rPr>
              <w:t>Female</w:t>
            </w:r>
          </w:p>
        </w:tc>
      </w:tr>
      <w:tr>
        <w:tc>
          <w:tcPr>
            <w:tcW w:type="dxa" w:w="1170"/>
          </w:tcPr>
          <w:p>
            <w:r>
              <w:rPr>
                <w:sz w:val="20"/>
              </w:rPr>
              <w:t>GO:0002698</w:t>
              <w:tab/>
              <w:t>negative regulation of immune effector process</w:t>
            </w:r>
          </w:p>
        </w:tc>
        <w:tc>
          <w:tcPr>
            <w:tcW w:type="dxa" w:w="1170"/>
          </w:tcPr>
          <w:p>
            <w:r>
              <w:rPr>
                <w:sz w:val="20"/>
              </w:rPr>
              <w:t>5/45</w:t>
            </w:r>
          </w:p>
        </w:tc>
        <w:tc>
          <w:tcPr>
            <w:tcW w:type="dxa" w:w="1170"/>
          </w:tcPr>
          <w:p>
            <w:r>
              <w:rPr>
                <w:sz w:val="20"/>
              </w:rPr>
              <w:t>11%</w:t>
            </w:r>
          </w:p>
        </w:tc>
        <w:tc>
          <w:tcPr>
            <w:tcW w:type="dxa" w:w="1170"/>
          </w:tcPr>
          <w:p>
            <w:r>
              <w:rPr>
                <w:sz w:val="20"/>
              </w:rPr>
              <w:t>rps19; ppp3cb; apoa2; apoa1; a2m</w:t>
            </w:r>
          </w:p>
        </w:tc>
        <w:tc>
          <w:tcPr>
            <w:tcW w:type="dxa" w:w="1170"/>
          </w:tcPr>
          <w:p>
            <w:r>
              <w:rPr>
                <w:sz w:val="20"/>
              </w:rPr>
              <w:t>9.624</w:t>
            </w:r>
          </w:p>
        </w:tc>
        <w:tc>
          <w:tcPr>
            <w:tcW w:type="dxa" w:w="1170"/>
          </w:tcPr>
          <w:p>
            <w:r>
              <w:rPr>
                <w:sz w:val="20"/>
              </w:rPr>
              <w:t>8.189–13.709</w:t>
            </w:r>
          </w:p>
        </w:tc>
        <w:tc>
          <w:tcPr>
            <w:tcW w:type="dxa" w:w="1170"/>
          </w:tcPr>
          <w:p>
            <w:r>
              <w:rPr>
                <w:sz w:val="20"/>
              </w:rPr>
              <w:t>3</w:t>
            </w:r>
          </w:p>
        </w:tc>
        <w:tc>
          <w:tcPr>
            <w:tcW w:type="dxa" w:w="1170"/>
          </w:tcPr>
          <w:p>
            <w:r>
              <w:rPr>
                <w:sz w:val="20"/>
              </w:rPr>
              <w:t>2</w:t>
            </w:r>
          </w:p>
        </w:tc>
      </w:tr>
      <w:tr>
        <w:tc>
          <w:tcPr>
            <w:tcW w:type="dxa" w:w="1170"/>
          </w:tcPr>
          <w:p>
            <w:r>
              <w:rPr>
                <w:sz w:val="20"/>
              </w:rPr>
              <w:t>GO:0002718</w:t>
              <w:tab/>
              <w:t>regulation of cytokine production involved in immune response</w:t>
            </w:r>
          </w:p>
        </w:tc>
        <w:tc>
          <w:tcPr>
            <w:tcW w:type="dxa" w:w="1170"/>
          </w:tcPr>
          <w:p>
            <w:r>
              <w:rPr>
                <w:sz w:val="20"/>
              </w:rPr>
              <w:t>3/51</w:t>
            </w:r>
          </w:p>
        </w:tc>
        <w:tc>
          <w:tcPr>
            <w:tcW w:type="dxa" w:w="1170"/>
          </w:tcPr>
          <w:p>
            <w:r>
              <w:rPr>
                <w:sz w:val="20"/>
              </w:rPr>
              <w:t>6%</w:t>
            </w:r>
          </w:p>
        </w:tc>
        <w:tc>
          <w:tcPr>
            <w:tcW w:type="dxa" w:w="1170"/>
          </w:tcPr>
          <w:p>
            <w:r>
              <w:rPr>
                <w:sz w:val="20"/>
              </w:rPr>
              <w:t>cd74; apoa2; apoa1</w:t>
            </w:r>
          </w:p>
        </w:tc>
        <w:tc>
          <w:tcPr>
            <w:tcW w:type="dxa" w:w="1170"/>
          </w:tcPr>
          <w:p>
            <w:r>
              <w:rPr>
                <w:sz w:val="20"/>
              </w:rPr>
              <w:t>9.624</w:t>
            </w:r>
          </w:p>
        </w:tc>
        <w:tc>
          <w:tcPr>
            <w:tcW w:type="dxa" w:w="1170"/>
          </w:tcPr>
          <w:p>
            <w:r>
              <w:rPr>
                <w:sz w:val="20"/>
              </w:rPr>
              <w:t>8.189–13.709</w:t>
            </w:r>
          </w:p>
        </w:tc>
        <w:tc>
          <w:tcPr>
            <w:tcW w:type="dxa" w:w="1170"/>
          </w:tcPr>
          <w:p>
            <w:r>
              <w:rPr>
                <w:sz w:val="20"/>
              </w:rPr>
              <w:t>1</w:t>
            </w:r>
          </w:p>
        </w:tc>
        <w:tc>
          <w:tcPr>
            <w:tcW w:type="dxa" w:w="1170"/>
          </w:tcPr>
          <w:p>
            <w:r>
              <w:rPr>
                <w:sz w:val="20"/>
              </w:rPr>
              <w:t>2</w:t>
            </w:r>
          </w:p>
        </w:tc>
      </w:tr>
      <w:tr>
        <w:tc>
          <w:tcPr>
            <w:tcW w:type="dxa" w:w="1170"/>
          </w:tcPr>
          <w:p>
            <w:r>
              <w:rPr>
                <w:sz w:val="20"/>
              </w:rPr>
              <w:t>GO:0050764</w:t>
              <w:tab/>
              <w:t>regulation of phagocytosis</w:t>
            </w:r>
          </w:p>
        </w:tc>
        <w:tc>
          <w:tcPr>
            <w:tcW w:type="dxa" w:w="1170"/>
          </w:tcPr>
          <w:p>
            <w:r>
              <w:rPr>
                <w:sz w:val="20"/>
              </w:rPr>
              <w:t>5/50</w:t>
            </w:r>
          </w:p>
        </w:tc>
        <w:tc>
          <w:tcPr>
            <w:tcW w:type="dxa" w:w="1170"/>
          </w:tcPr>
          <w:p>
            <w:r>
              <w:rPr>
                <w:sz w:val="20"/>
              </w:rPr>
              <w:t>10%</w:t>
            </w:r>
          </w:p>
        </w:tc>
        <w:tc>
          <w:tcPr>
            <w:tcW w:type="dxa" w:w="1170"/>
          </w:tcPr>
          <w:p>
            <w:r>
              <w:rPr>
                <w:sz w:val="20"/>
              </w:rPr>
              <w:t>pparg; il2rg; apoa2; apoa1; ahsg</w:t>
            </w:r>
          </w:p>
        </w:tc>
        <w:tc>
          <w:tcPr>
            <w:tcW w:type="dxa" w:w="1170"/>
          </w:tcPr>
          <w:p>
            <w:r>
              <w:rPr>
                <w:sz w:val="20"/>
              </w:rPr>
              <w:t>9.624</w:t>
            </w:r>
          </w:p>
        </w:tc>
        <w:tc>
          <w:tcPr>
            <w:tcW w:type="dxa" w:w="1170"/>
          </w:tcPr>
          <w:p>
            <w:r>
              <w:rPr>
                <w:sz w:val="20"/>
              </w:rPr>
              <w:t>8.189–13.709</w:t>
            </w:r>
          </w:p>
        </w:tc>
        <w:tc>
          <w:tcPr>
            <w:tcW w:type="dxa" w:w="1170"/>
          </w:tcPr>
          <w:p>
            <w:r>
              <w:rPr>
                <w:sz w:val="20"/>
              </w:rPr>
              <w:t>2</w:t>
            </w:r>
          </w:p>
        </w:tc>
        <w:tc>
          <w:tcPr>
            <w:tcW w:type="dxa" w:w="1170"/>
          </w:tcPr>
          <w:p>
            <w:r>
              <w:rPr>
                <w:sz w:val="20"/>
              </w:rPr>
              <w:t>3</w:t>
            </w:r>
          </w:p>
        </w:tc>
      </w:tr>
      <w:tr>
        <w:tc>
          <w:tcPr>
            <w:tcW w:type="dxa" w:w="1170"/>
          </w:tcPr>
          <w:p>
            <w:r>
              <w:rPr>
                <w:sz w:val="20"/>
              </w:rPr>
              <w:t>GO:0097191</w:t>
              <w:tab/>
              <w:t>extrinsic apoptotic signaling pathway</w:t>
            </w:r>
          </w:p>
        </w:tc>
        <w:tc>
          <w:tcPr>
            <w:tcW w:type="dxa" w:w="1170"/>
          </w:tcPr>
          <w:p>
            <w:r>
              <w:rPr>
                <w:sz w:val="20"/>
              </w:rPr>
              <w:t>3/50</w:t>
            </w:r>
          </w:p>
        </w:tc>
        <w:tc>
          <w:tcPr>
            <w:tcW w:type="dxa" w:w="1170"/>
          </w:tcPr>
          <w:p>
            <w:r>
              <w:rPr>
                <w:sz w:val="20"/>
              </w:rPr>
              <w:t>6%</w:t>
            </w:r>
          </w:p>
        </w:tc>
        <w:tc>
          <w:tcPr>
            <w:tcW w:type="dxa" w:w="1170"/>
          </w:tcPr>
          <w:p>
            <w:r>
              <w:rPr>
                <w:sz w:val="20"/>
              </w:rPr>
              <w:t>krt8; krt18; bcl2a1</w:t>
            </w:r>
          </w:p>
        </w:tc>
        <w:tc>
          <w:tcPr>
            <w:tcW w:type="dxa" w:w="1170"/>
          </w:tcPr>
          <w:p>
            <w:r>
              <w:rPr>
                <w:sz w:val="20"/>
              </w:rPr>
              <w:t>17.260</w:t>
            </w:r>
          </w:p>
        </w:tc>
        <w:tc>
          <w:tcPr>
            <w:tcW w:type="dxa" w:w="1170"/>
          </w:tcPr>
          <w:p>
            <w:r>
              <w:rPr>
                <w:sz w:val="20"/>
              </w:rPr>
              <w:t>3.676–193.393</w:t>
            </w:r>
          </w:p>
        </w:tc>
        <w:tc>
          <w:tcPr>
            <w:tcW w:type="dxa" w:w="1170"/>
          </w:tcPr>
          <w:p>
            <w:r>
              <w:rPr>
                <w:sz w:val="20"/>
              </w:rPr>
              <w:t>2</w:t>
            </w:r>
          </w:p>
        </w:tc>
        <w:tc>
          <w:tcPr>
            <w:tcW w:type="dxa" w:w="1170"/>
          </w:tcPr>
          <w:p>
            <w:r>
              <w:rPr>
                <w:sz w:val="20"/>
              </w:rPr>
              <w:t>1</w:t>
            </w:r>
          </w:p>
        </w:tc>
      </w:tr>
      <w:tr>
        <w:tc>
          <w:tcPr>
            <w:tcW w:type="dxa" w:w="1170"/>
          </w:tcPr>
          <w:p>
            <w:r>
              <w:rPr>
                <w:sz w:val="20"/>
              </w:rPr>
              <w:t>GO:0006650</w:t>
              <w:tab/>
              <w:t>glycerophospholipid metabolic process</w:t>
            </w:r>
          </w:p>
        </w:tc>
        <w:tc>
          <w:tcPr>
            <w:tcW w:type="dxa" w:w="1170"/>
          </w:tcPr>
          <w:p>
            <w:r>
              <w:rPr>
                <w:sz w:val="20"/>
              </w:rPr>
              <w:t>4/53</w:t>
            </w:r>
          </w:p>
        </w:tc>
        <w:tc>
          <w:tcPr>
            <w:tcW w:type="dxa" w:w="1170"/>
          </w:tcPr>
          <w:p>
            <w:r>
              <w:rPr>
                <w:sz w:val="20"/>
              </w:rPr>
              <w:t>8%</w:t>
            </w:r>
          </w:p>
        </w:tc>
        <w:tc>
          <w:tcPr>
            <w:tcW w:type="dxa" w:w="1170"/>
          </w:tcPr>
          <w:p>
            <w:r>
              <w:rPr>
                <w:sz w:val="20"/>
              </w:rPr>
              <w:t>chpt1; apoa2; apoa1; abhd4</w:t>
            </w:r>
          </w:p>
        </w:tc>
        <w:tc>
          <w:tcPr>
            <w:tcW w:type="dxa" w:w="1170"/>
          </w:tcPr>
          <w:p>
            <w:r>
              <w:rPr>
                <w:sz w:val="20"/>
              </w:rPr>
              <w:t>17.411</w:t>
            </w:r>
          </w:p>
        </w:tc>
        <w:tc>
          <w:tcPr>
            <w:tcW w:type="dxa" w:w="1170"/>
          </w:tcPr>
          <w:p>
            <w:r>
              <w:rPr>
                <w:sz w:val="20"/>
              </w:rPr>
              <w:t>7.006–12.617</w:t>
            </w:r>
          </w:p>
        </w:tc>
        <w:tc>
          <w:tcPr>
            <w:tcW w:type="dxa" w:w="1170"/>
          </w:tcPr>
          <w:p>
            <w:r>
              <w:rPr>
                <w:sz w:val="20"/>
              </w:rPr>
              <w:t>3</w:t>
            </w:r>
          </w:p>
        </w:tc>
        <w:tc>
          <w:tcPr>
            <w:tcW w:type="dxa" w:w="1170"/>
          </w:tcPr>
          <w:p>
            <w:r>
              <w:rPr>
                <w:sz w:val="20"/>
              </w:rPr>
              <w:t>1</w:t>
            </w:r>
          </w:p>
        </w:tc>
      </w:tr>
      <w:tr>
        <w:tc>
          <w:tcPr>
            <w:tcW w:type="dxa" w:w="1170"/>
          </w:tcPr>
          <w:p>
            <w:r>
              <w:rPr>
                <w:sz w:val="20"/>
              </w:rPr>
              <w:t>GO:0045017</w:t>
              <w:tab/>
              <w:t>glycerolipid biosynthetic process</w:t>
            </w:r>
          </w:p>
        </w:tc>
        <w:tc>
          <w:tcPr>
            <w:tcW w:type="dxa" w:w="1170"/>
          </w:tcPr>
          <w:p>
            <w:r>
              <w:rPr>
                <w:sz w:val="20"/>
              </w:rPr>
              <w:t>4/42</w:t>
            </w:r>
          </w:p>
        </w:tc>
        <w:tc>
          <w:tcPr>
            <w:tcW w:type="dxa" w:w="1170"/>
          </w:tcPr>
          <w:p>
            <w:r>
              <w:rPr>
                <w:sz w:val="20"/>
              </w:rPr>
              <w:t>10%</w:t>
            </w:r>
          </w:p>
        </w:tc>
        <w:tc>
          <w:tcPr>
            <w:tcW w:type="dxa" w:w="1170"/>
          </w:tcPr>
          <w:p>
            <w:r>
              <w:rPr>
                <w:sz w:val="20"/>
              </w:rPr>
              <w:t>chpt1; apoa2; apoa1; abhd4</w:t>
            </w:r>
          </w:p>
        </w:tc>
        <w:tc>
          <w:tcPr>
            <w:tcW w:type="dxa" w:w="1170"/>
          </w:tcPr>
          <w:p>
            <w:r>
              <w:rPr>
                <w:sz w:val="20"/>
              </w:rPr>
              <w:t>17.411</w:t>
            </w:r>
          </w:p>
        </w:tc>
        <w:tc>
          <w:tcPr>
            <w:tcW w:type="dxa" w:w="1170"/>
          </w:tcPr>
          <w:p>
            <w:r>
              <w:rPr>
                <w:sz w:val="20"/>
              </w:rPr>
              <w:t>7.006–12.617</w:t>
            </w:r>
          </w:p>
        </w:tc>
        <w:tc>
          <w:tcPr>
            <w:tcW w:type="dxa" w:w="1170"/>
          </w:tcPr>
          <w:p>
            <w:r>
              <w:rPr>
                <w:sz w:val="20"/>
              </w:rPr>
              <w:t>3</w:t>
            </w:r>
          </w:p>
        </w:tc>
        <w:tc>
          <w:tcPr>
            <w:tcW w:type="dxa" w:w="1170"/>
          </w:tcPr>
          <w:p>
            <w:r>
              <w:rPr>
                <w:sz w:val="20"/>
              </w:rPr>
              <w:t>1</w:t>
            </w:r>
          </w:p>
        </w:tc>
      </w:tr>
      <w:tr>
        <w:tc>
          <w:tcPr>
            <w:tcW w:type="dxa" w:w="1170"/>
          </w:tcPr>
          <w:p>
            <w:r>
              <w:rPr>
                <w:sz w:val="20"/>
              </w:rPr>
              <w:t>GO:1901136</w:t>
              <w:tab/>
              <w:t>carbohydrate derivative catabolic process</w:t>
            </w:r>
          </w:p>
        </w:tc>
        <w:tc>
          <w:tcPr>
            <w:tcW w:type="dxa" w:w="1170"/>
          </w:tcPr>
          <w:p>
            <w:r>
              <w:rPr>
                <w:sz w:val="20"/>
              </w:rPr>
              <w:t>7/49</w:t>
            </w:r>
          </w:p>
        </w:tc>
        <w:tc>
          <w:tcPr>
            <w:tcW w:type="dxa" w:w="1170"/>
          </w:tcPr>
          <w:p>
            <w:r>
              <w:rPr>
                <w:sz w:val="20"/>
              </w:rPr>
              <w:t>14%</w:t>
            </w:r>
          </w:p>
        </w:tc>
        <w:tc>
          <w:tcPr>
            <w:tcW w:type="dxa" w:w="1170"/>
          </w:tcPr>
          <w:p>
            <w:r>
              <w:rPr>
                <w:sz w:val="20"/>
              </w:rPr>
              <w:t>vnn1; urad; gpd1; fuca1; aldoa; aldh1a1; acot2</w:t>
            </w:r>
          </w:p>
        </w:tc>
        <w:tc>
          <w:tcPr>
            <w:tcW w:type="dxa" w:w="1170"/>
          </w:tcPr>
          <w:p>
            <w:r>
              <w:rPr>
                <w:sz w:val="20"/>
              </w:rPr>
              <w:t>19.889</w:t>
            </w:r>
          </w:p>
        </w:tc>
        <w:tc>
          <w:tcPr>
            <w:tcW w:type="dxa" w:w="1170"/>
          </w:tcPr>
          <w:p>
            <w:r>
              <w:rPr>
                <w:sz w:val="20"/>
              </w:rPr>
              <w:t>14.897–85.544</w:t>
            </w:r>
          </w:p>
        </w:tc>
        <w:tc>
          <w:tcPr>
            <w:tcW w:type="dxa" w:w="1170"/>
          </w:tcPr>
          <w:p>
            <w:r>
              <w:rPr>
                <w:sz w:val="20"/>
              </w:rPr>
              <w:t>7</w:t>
            </w:r>
          </w:p>
        </w:tc>
        <w:tc>
          <w:tcPr>
            <w:tcW w:type="dxa" w:w="1170"/>
          </w:tcPr>
          <w:p>
            <w:r>
              <w:rPr>
                <w:sz w:val="20"/>
              </w:rPr>
              <w:t>0</w:t>
            </w:r>
          </w:p>
        </w:tc>
      </w:tr>
      <w:tr>
        <w:tc>
          <w:tcPr>
            <w:tcW w:type="dxa" w:w="1170"/>
          </w:tcPr>
          <w:p>
            <w:r>
              <w:rPr>
                <w:sz w:val="20"/>
              </w:rPr>
              <w:t>GO:0022408</w:t>
              <w:tab/>
              <w:t>negative regulation of cell-cell adhesion</w:t>
            </w:r>
          </w:p>
        </w:tc>
        <w:tc>
          <w:tcPr>
            <w:tcW w:type="dxa" w:w="1170"/>
          </w:tcPr>
          <w:p>
            <w:r>
              <w:rPr>
                <w:sz w:val="20"/>
              </w:rPr>
              <w:t>4/64</w:t>
            </w:r>
          </w:p>
        </w:tc>
        <w:tc>
          <w:tcPr>
            <w:tcW w:type="dxa" w:w="1170"/>
          </w:tcPr>
          <w:p>
            <w:r>
              <w:rPr>
                <w:sz w:val="20"/>
              </w:rPr>
              <w:t>6%</w:t>
            </w:r>
          </w:p>
        </w:tc>
        <w:tc>
          <w:tcPr>
            <w:tcW w:type="dxa" w:w="1170"/>
          </w:tcPr>
          <w:p>
            <w:r>
              <w:rPr>
                <w:sz w:val="20"/>
              </w:rPr>
              <w:t>hspb1; dusp3; cd74; apoa1</w:t>
            </w:r>
          </w:p>
        </w:tc>
        <w:tc>
          <w:tcPr>
            <w:tcW w:type="dxa" w:w="1170"/>
          </w:tcPr>
          <w:p>
            <w:r>
              <w:rPr>
                <w:sz w:val="20"/>
              </w:rPr>
              <w:t>20.305</w:t>
            </w:r>
          </w:p>
        </w:tc>
        <w:tc>
          <w:tcPr>
            <w:tcW w:type="dxa" w:w="1170"/>
          </w:tcPr>
          <w:p>
            <w:r>
              <w:rPr>
                <w:sz w:val="20"/>
              </w:rPr>
              <w:t>7.544–68.728</w:t>
            </w:r>
          </w:p>
        </w:tc>
        <w:tc>
          <w:tcPr>
            <w:tcW w:type="dxa" w:w="1170"/>
          </w:tcPr>
          <w:p>
            <w:r>
              <w:rPr>
                <w:sz w:val="20"/>
              </w:rPr>
              <w:t>2</w:t>
            </w:r>
          </w:p>
        </w:tc>
        <w:tc>
          <w:tcPr>
            <w:tcW w:type="dxa" w:w="1170"/>
          </w:tcPr>
          <w:p>
            <w:r>
              <w:rPr>
                <w:sz w:val="20"/>
              </w:rPr>
              <w:t>2</w:t>
            </w:r>
          </w:p>
        </w:tc>
      </w:tr>
      <w:tr>
        <w:tc>
          <w:tcPr>
            <w:tcW w:type="dxa" w:w="1170"/>
          </w:tcPr>
          <w:p>
            <w:r>
              <w:rPr>
                <w:sz w:val="20"/>
              </w:rPr>
              <w:t>GO:0032651</w:t>
              <w:tab/>
              <w:t>regulation of interleukin-1 beta production</w:t>
            </w:r>
          </w:p>
        </w:tc>
        <w:tc>
          <w:tcPr>
            <w:tcW w:type="dxa" w:w="1170"/>
          </w:tcPr>
          <w:p>
            <w:r>
              <w:rPr>
                <w:sz w:val="20"/>
              </w:rPr>
              <w:t>3/41</w:t>
            </w:r>
          </w:p>
        </w:tc>
        <w:tc>
          <w:tcPr>
            <w:tcW w:type="dxa" w:w="1170"/>
          </w:tcPr>
          <w:p>
            <w:r>
              <w:rPr>
                <w:sz w:val="20"/>
              </w:rPr>
              <w:t>7%</w:t>
            </w:r>
          </w:p>
        </w:tc>
        <w:tc>
          <w:tcPr>
            <w:tcW w:type="dxa" w:w="1170"/>
          </w:tcPr>
          <w:p>
            <w:r>
              <w:rPr>
                <w:sz w:val="20"/>
              </w:rPr>
              <w:t>orm1; hspb1; apoa1</w:t>
            </w:r>
          </w:p>
        </w:tc>
        <w:tc>
          <w:tcPr>
            <w:tcW w:type="dxa" w:w="1170"/>
          </w:tcPr>
          <w:p>
            <w:r>
              <w:rPr>
                <w:sz w:val="20"/>
              </w:rPr>
              <w:t>21.726</w:t>
            </w:r>
          </w:p>
        </w:tc>
        <w:tc>
          <w:tcPr>
            <w:tcW w:type="dxa" w:w="1170"/>
          </w:tcPr>
          <w:p>
            <w:r>
              <w:rPr>
                <w:sz w:val="20"/>
              </w:rPr>
              <w:t>8.189–23.188</w:t>
            </w:r>
          </w:p>
        </w:tc>
        <w:tc>
          <w:tcPr>
            <w:tcW w:type="dxa" w:w="1170"/>
          </w:tcPr>
          <w:p>
            <w:r>
              <w:rPr>
                <w:sz w:val="20"/>
              </w:rPr>
              <w:t>2</w:t>
            </w:r>
          </w:p>
        </w:tc>
        <w:tc>
          <w:tcPr>
            <w:tcW w:type="dxa" w:w="1170"/>
          </w:tcPr>
          <w:p>
            <w:r>
              <w:rPr>
                <w:sz w:val="20"/>
              </w:rPr>
              <w:t>1</w:t>
            </w:r>
          </w:p>
        </w:tc>
      </w:tr>
      <w:tr>
        <w:tc>
          <w:tcPr>
            <w:tcW w:type="dxa" w:w="1170"/>
          </w:tcPr>
          <w:p>
            <w:r>
              <w:rPr>
                <w:sz w:val="20"/>
              </w:rPr>
              <w:t>GO:0050868</w:t>
              <w:tab/>
              <w:t>negative regulation of T cell activation</w:t>
            </w:r>
          </w:p>
        </w:tc>
        <w:tc>
          <w:tcPr>
            <w:tcW w:type="dxa" w:w="1170"/>
          </w:tcPr>
          <w:p>
            <w:r>
              <w:rPr>
                <w:sz w:val="20"/>
              </w:rPr>
              <w:t>3/42</w:t>
            </w:r>
          </w:p>
        </w:tc>
        <w:tc>
          <w:tcPr>
            <w:tcW w:type="dxa" w:w="1170"/>
          </w:tcPr>
          <w:p>
            <w:r>
              <w:rPr>
                <w:sz w:val="20"/>
              </w:rPr>
              <w:t>7%</w:t>
            </w:r>
          </w:p>
        </w:tc>
        <w:tc>
          <w:tcPr>
            <w:tcW w:type="dxa" w:w="1170"/>
          </w:tcPr>
          <w:p>
            <w:r>
              <w:rPr>
                <w:sz w:val="20"/>
              </w:rPr>
              <w:t>hspb1; dusp3; cd74</w:t>
            </w:r>
          </w:p>
        </w:tc>
        <w:tc>
          <w:tcPr>
            <w:tcW w:type="dxa" w:w="1170"/>
          </w:tcPr>
          <w:p>
            <w:r>
              <w:rPr>
                <w:sz w:val="20"/>
              </w:rPr>
              <w:t>21.726</w:t>
            </w:r>
          </w:p>
        </w:tc>
        <w:tc>
          <w:tcPr>
            <w:tcW w:type="dxa" w:w="1170"/>
          </w:tcPr>
          <w:p>
            <w:r>
              <w:rPr>
                <w:sz w:val="20"/>
              </w:rPr>
              <w:t>6.900–85.626</w:t>
            </w:r>
          </w:p>
        </w:tc>
        <w:tc>
          <w:tcPr>
            <w:tcW w:type="dxa" w:w="1170"/>
          </w:tcPr>
          <w:p>
            <w:r>
              <w:rPr>
                <w:sz w:val="20"/>
              </w:rPr>
              <w:t>2</w:t>
            </w:r>
          </w:p>
        </w:tc>
        <w:tc>
          <w:tcPr>
            <w:tcW w:type="dxa" w:w="1170"/>
          </w:tcPr>
          <w:p>
            <w:r>
              <w:rPr>
                <w:sz w:val="20"/>
              </w:rPr>
              <w:t>1</w:t>
            </w:r>
          </w:p>
        </w:tc>
      </w:tr>
    </w:tbl>
    <w:p>
      <w:r>
        <w:t>Transcriptomic profiling of kidney tissue from male Sprague Dawley rats exposed to Perfluorohexanesulfonamide (PFHxSA) for 5 days identified 256 dose-responsive genes, of which 118 were upregulated and 138 were downregulated, indicating a predominantly suppressive transcriptional response. The most significantly enriched biological processes were centered on lipid and fatty acid metabolism, with GO terms for lipid metabolic process (66 genes, FDR=8.99e-36), fatty acid metabolic process (39 genes, FDR=2.04e-32), and fatty acid beta-oxidation (16 genes, FDR=2.52e-17) representing the dominant transcriptional signatures. The majority of genes contributing to fatty acid beta-oxidation and peroxisomal lipid catabolism—including ACOX1, ACAA1A, ACAA2, ACADM, ACADVL, EHHADH, and CPT2—were upregulated, consistent with activation of peroxisome proliferator-activated receptor alpha (PPAR-α) signaling, a well-established mechanism of action for perfluoroalkyl sulfonamide compounds. Corroborating this interpretation, KEGG pathway enrichment identified the PPAR signaling pathway (rno03320/hsa03320; ACOX1, PLIN2; FDR=1.70e-03) and metabolic pathways (rno01100/hsa01100; ACOX1, CYP2E1, GPX4; FDR=1.10e-03) as significantly enriched. Sterol and cholesterol biosynthetic processes were also prominently represented, with 12 genes in the sterol biosynthetic process GO term (FDR=3.65e-13) including HMGCR, HMGCS2, FDFT1, SQLE, and SREBF1, the majority of which were upregulated, suggesting coordinate induction of the mevalonate pathway. The xenobiotic metabolic process GO term (12 genes, FDR=2.50e-06) encompassed phase I and phase II enzymes including CYP2E1, UGT1A1, UGT2B15, UGT2B7, SULT1B1, and SULT1C3, indicating engagement of the xenobiotic detoxification machinery. The response to oxidative stress GO term (12 genes, FDR=5.41e-05) included GPX4, GPX2, and GSR, with a mixed directional pattern suggesting both adaptive antioxidant responses and potential perturbation of redox homeostasis.</w:t>
        <w:br/>
        <w:br/>
        <w:t>BMD-ordered pathway analysis revealed that the earliest dose-responsive pathways, with median BMDs in the range of approximately 34–40 mg/kg/day, were the alcoholic liver disease pathway (rno04936/hsa04936; ACOX1, CYP2E1) and the PPAR signaling pathway (rno03320/hsa03320; ACOX1, PLIN2), followed closely by global metabolic pathways (rno01100/hsa01100). The arachidonic acid metabolism pathway (rno00590/hsa00590; CYP2E1, GPX4) exhibited a slightly higher median BMD of approximately 60.5 mg/kg/day, while the chemical carcinogenesis–reactive oxygen species pathway (hsa05208/rno05208; AHR, CYP2E1) showed the highest median BMD among enriched pathways at approximately 90.5 mg/kg/day, with a mixed directional response. This BMD ordering suggests that perturbation of fatty acid oxidation and PPAR-α-regulated lipid catabolism represents the most sensitive transcriptional response in the kidney, with oxidative stress and xenobiotic receptor-mediated responses occurring at higher doses. The overall pattern of upregulated peroxisomal and mitochondrial fatty acid oxidation genes, combined with induction of cholesterol biosynthesis and xenobiotic metabolism enzymes, is consistent with an adaptive hepatic-like metabolic reprogramming in the kidney, a response previously documented for PPAR-α-activating perfluoroalkyl substances. The bidirectional nature of the full gene set (118 up, 138 down), however, indicates that suppressive effects on additional biological processes—including cellular response to insulin stimulus (PCK1, INSIG1, SREBF1) and nutrient response pathways—co-occur with the inductive responses, suggesting a complex, potentially adverse disruption of renal metabolic homeostasis at higher doses.</w:t>
      </w:r>
    </w:p>
    <w:p>
      <w:r>
        <w:t>Whole-transcriptome profiling of kidney tissue from female Sprague-Dawley rats administered perfluorohexanesulfonamide (PFHxSA) for five days identified 171 genes exhibiting statistically significant dose-responsive changes, with benchmark doses (BMDs) spanning approximately 0.4 to 1,420 mg/kg/day. Of these, 108 genes were upregulated and 63 were downregulated, indicating a predominantly inductive transcriptional response. The most strongly enriched biological processes, as determined by Gene Ontology analysis, were fatty acid metabolic process and fatty acid beta-oxidation, with 20 and 12 genes, respectively, mapping to these terms at exceptionally low false discovery rates. The majority of genes contributing to these lipid metabolism terms—including ACAA1A, ACAA2, ACADM, ACADVL, ECH1, ECI1, EHHADH, DECR1, and SLC27A2—were upregulated, consistent with peroxisome proliferator-activated receptor (PPAR)-mediated induction of peroxisomal and mitochondrial fatty acid catabolism, a response well-documented for perfluoroalkyl sulfonamide compounds. Cholesterol metabolic process (GO:0008203) and lipid metabolic process (GO:0006629) were similarly enriched, with upregulation of HMGCS2, INSIG1, NSDHL, and SREBF1 alongside PPARD, suggesting coordinate activation of lipid biosynthetic and catabolic programs. The response to xenobiotic stimulus term (GO:0009410) was also highly enriched, encompassing 25 genes including CYP2E1, CYP4A2, GSTA3, and ACOT2, further supporting a broad xenobiotic-responsive transcriptional program in the kidney. Circadian rhythm disruption was indicated by enrichment of GO:0007623, with bidirectional changes in NR1D1, NR1D2, NPAS2, ARNTL, NFIL3, BHLHE40, JUN, ATF5, and SREBF1, consistent with literature reports that perfluoroalkyl substances and related xenobiotics perturb molecular clock function. The G1/S transition of mitotic cell cycle (GO:0000082) and regulation of cell cycle (GO:0051726) terms were enriched, with CDKN1A, CCND1, CCNB2, and CDKN3 among the contributing genes, reflecting perturbation of cell cycle progression that may indicate early cytostatic or adaptive stress responses in renal epithelium.</w:t>
      </w:r>
    </w:p>
    <w:p>
      <w:pPr>
        <w:pStyle w:val="0-25TableTitle"/>
      </w:pPr>
      <w:r>
        <w:t xml:space="preserve">Table </w:t>
      </w:r>
      <w:r>
        <w:fldChar w:fldCharType="begin"/>
        <w:instrText xml:space="preserve"> SEQ Table \* ARABIC </w:instrText>
        <w:fldChar w:fldCharType="separate"/>
      </w:r>
      <w:r>
        <w:t>10</w:t>
      </w:r>
      <w:r>
        <w:fldChar w:fldCharType="end"/>
      </w:r>
      <w:r>
        <w:t xml:space="preserve">. </w:t>
      </w:r>
      <w:r>
        <w:t>Top 10 Kidney Gene Ontology Biological Process Gene Sets Ranked by Potency of Perturbation, Sorted by Benchmark Dose Median</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170"/>
        <w:gridCol w:w="1170"/>
        <w:gridCol w:w="1170"/>
        <w:gridCol w:w="1170"/>
        <w:gridCol w:w="1170"/>
        <w:gridCol w:w="1170"/>
        <w:gridCol w:w="1170"/>
        <w:gridCol w:w="1170"/>
      </w:tblGrid>
      <w:tr>
        <w:trPr>
          <w:tblHeader w:val="true"/>
        </w:trPr>
        <w:tc>
          <w:tcPr>
            <w:tcW w:type="dxa" w:w="1170"/>
            <w:tcBorders>
              <w:bottom w:val="single" w:sz="8" w:space="0" w:color="000000"/>
            </w:tcBorders>
          </w:tcPr>
          <w:p>
            <w:r>
              <w:rPr>
                <w:rFonts w:ascii="Arial" w:hAnsi="Arial"/>
                <w:b/>
                <w:sz w:val="20"/>
              </w:rPr>
              <w:t>Category Name</w:t>
            </w:r>
          </w:p>
        </w:tc>
        <w:tc>
          <w:tcPr>
            <w:tcW w:type="dxa" w:w="1170"/>
            <w:tcBorders>
              <w:bottom w:val="single" w:sz="8" w:space="0" w:color="000000"/>
            </w:tcBorders>
          </w:tcPr>
          <w:p>
            <w:r>
              <w:rPr>
                <w:rFonts w:ascii="Arial" w:hAnsi="Arial"/>
                <w:b/>
                <w:sz w:val="20"/>
              </w:rPr>
              <w:t>No. of Active Genes/ Platform Genes in Gene Set</w:t>
            </w:r>
          </w:p>
        </w:tc>
        <w:tc>
          <w:tcPr>
            <w:tcW w:type="dxa" w:w="1170"/>
            <w:tcBorders>
              <w:bottom w:val="single" w:sz="8" w:space="0" w:color="000000"/>
            </w:tcBorders>
          </w:tcPr>
          <w:p>
            <w:r>
              <w:rPr>
                <w:rFonts w:ascii="Arial" w:hAnsi="Arial"/>
                <w:b/>
                <w:sz w:val="20"/>
              </w:rPr>
              <w:t>% Gene Set Coverage</w:t>
            </w:r>
          </w:p>
        </w:tc>
        <w:tc>
          <w:tcPr>
            <w:tcW w:type="dxa" w:w="1170"/>
            <w:tcBorders>
              <w:bottom w:val="single" w:sz="8" w:space="0" w:color="000000"/>
            </w:tcBorders>
          </w:tcPr>
          <w:p>
            <w:r>
              <w:rPr>
                <w:rFonts w:ascii="Arial" w:hAnsi="Arial"/>
                <w:b/>
                <w:sz w:val="20"/>
              </w:rPr>
              <w:t>Active Genes</w:t>
            </w:r>
          </w:p>
        </w:tc>
        <w:tc>
          <w:tcPr>
            <w:tcW w:type="dxa" w:w="1170"/>
            <w:tcBorders>
              <w:bottom w:val="single" w:sz="8" w:space="0" w:color="000000"/>
            </w:tcBorders>
          </w:tcPr>
          <w:p>
            <w:r>
              <w:rPr>
                <w:rFonts w:ascii="Arial" w:hAnsi="Arial"/>
                <w:b/>
                <w:sz w:val="20"/>
              </w:rPr>
              <w:t>BMD1std Median of Gene Set Transcripts (mg/kg)</w:t>
            </w:r>
          </w:p>
        </w:tc>
        <w:tc>
          <w:tcPr>
            <w:tcW w:type="dxa" w:w="1170"/>
            <w:tcBorders>
              <w:bottom w:val="single" w:sz="8" w:space="0" w:color="000000"/>
            </w:tcBorders>
          </w:tcPr>
          <w:p>
            <w:r>
              <w:rPr>
                <w:rFonts w:ascii="Arial" w:hAnsi="Arial"/>
                <w:b/>
                <w:sz w:val="20"/>
              </w:rPr>
              <w:t>Median BMDL1Std–BMDU1Std (mg/kg)</w:t>
            </w:r>
          </w:p>
        </w:tc>
        <w:tc>
          <w:tcPr>
            <w:tcW w:type="dxa" w:w="1170"/>
            <w:tcBorders>
              <w:bottom w:val="single" w:sz="8" w:space="0" w:color="000000"/>
            </w:tcBorders>
          </w:tcPr>
          <w:p>
            <w:r>
              <w:rPr>
                <w:rFonts w:ascii="Arial" w:hAnsi="Arial"/>
                <w:b/>
                <w:sz w:val="20"/>
              </w:rPr>
              <w:t>Genes with Changed Direction Up</w:t>
            </w:r>
          </w:p>
        </w:tc>
        <w:tc>
          <w:tcPr>
            <w:tcW w:type="dxa" w:w="1170"/>
            <w:tcBorders>
              <w:bottom w:val="single" w:sz="8" w:space="0" w:color="000000"/>
            </w:tcBorders>
          </w:tcPr>
          <w:p>
            <w:r>
              <w:rPr>
                <w:rFonts w:ascii="Arial" w:hAnsi="Arial"/>
                <w:b/>
                <w:sz w:val="20"/>
              </w:rPr>
              <w:t>Genes with Changed Direction Down</w:t>
            </w:r>
          </w:p>
        </w:tc>
      </w:tr>
      <w:tr>
        <w:tc>
          <w:tcPr>
            <w:tcW w:type="dxa" w:w="9360"/>
            <w:gridSpan w:val="8"/>
          </w:tcPr>
          <w:p>
            <w:r>
              <w:rPr>
                <w:b/>
                <w:sz w:val="20"/>
              </w:rPr>
              <w:t>Male</w:t>
            </w:r>
          </w:p>
        </w:tc>
      </w:tr>
      <w:tr>
        <w:tc>
          <w:tcPr>
            <w:tcW w:type="dxa" w:w="1170"/>
          </w:tcPr>
          <w:p>
            <w:r>
              <w:rPr>
                <w:sz w:val="20"/>
              </w:rPr>
              <w:t>GO:1902893</w:t>
              <w:tab/>
              <w:t>regulation of miRNA transcription</w:t>
            </w:r>
          </w:p>
        </w:tc>
        <w:tc>
          <w:tcPr>
            <w:tcW w:type="dxa" w:w="1170"/>
          </w:tcPr>
          <w:p>
            <w:r>
              <w:rPr>
                <w:sz w:val="20"/>
              </w:rPr>
              <w:t>3/42</w:t>
            </w:r>
          </w:p>
        </w:tc>
        <w:tc>
          <w:tcPr>
            <w:tcW w:type="dxa" w:w="1170"/>
          </w:tcPr>
          <w:p>
            <w:r>
              <w:rPr>
                <w:sz w:val="20"/>
              </w:rPr>
              <w:t>7%</w:t>
            </w:r>
          </w:p>
        </w:tc>
        <w:tc>
          <w:tcPr>
            <w:tcW w:type="dxa" w:w="1170"/>
          </w:tcPr>
          <w:p>
            <w:r>
              <w:rPr>
                <w:sz w:val="20"/>
              </w:rPr>
              <w:t>srebf1; ppard; esr1</w:t>
            </w:r>
          </w:p>
        </w:tc>
        <w:tc>
          <w:tcPr>
            <w:tcW w:type="dxa" w:w="1170"/>
          </w:tcPr>
          <w:p>
            <w:r>
              <w:rPr>
                <w:sz w:val="20"/>
              </w:rPr>
              <w:t>10.422</w:t>
            </w:r>
          </w:p>
        </w:tc>
        <w:tc>
          <w:tcPr>
            <w:tcW w:type="dxa" w:w="1170"/>
          </w:tcPr>
          <w:p>
            <w:r>
              <w:rPr>
                <w:sz w:val="20"/>
              </w:rPr>
              <w:t>6.383–21.025</w:t>
            </w:r>
          </w:p>
        </w:tc>
        <w:tc>
          <w:tcPr>
            <w:tcW w:type="dxa" w:w="1170"/>
          </w:tcPr>
          <w:p>
            <w:r>
              <w:rPr>
                <w:sz w:val="20"/>
              </w:rPr>
              <w:t>2</w:t>
            </w:r>
          </w:p>
        </w:tc>
        <w:tc>
          <w:tcPr>
            <w:tcW w:type="dxa" w:w="1170"/>
          </w:tcPr>
          <w:p>
            <w:r>
              <w:rPr>
                <w:sz w:val="20"/>
              </w:rPr>
              <w:t>1</w:t>
            </w:r>
          </w:p>
        </w:tc>
      </w:tr>
      <w:tr>
        <w:tc>
          <w:tcPr>
            <w:tcW w:type="dxa" w:w="1170"/>
          </w:tcPr>
          <w:p>
            <w:r>
              <w:rPr>
                <w:sz w:val="20"/>
              </w:rPr>
              <w:t>GO:2000628</w:t>
              <w:tab/>
              <w:t>regulation of miRNA metabolic process</w:t>
            </w:r>
          </w:p>
        </w:tc>
        <w:tc>
          <w:tcPr>
            <w:tcW w:type="dxa" w:w="1170"/>
          </w:tcPr>
          <w:p>
            <w:r>
              <w:rPr>
                <w:sz w:val="20"/>
              </w:rPr>
              <w:t>3/45</w:t>
            </w:r>
          </w:p>
        </w:tc>
        <w:tc>
          <w:tcPr>
            <w:tcW w:type="dxa" w:w="1170"/>
          </w:tcPr>
          <w:p>
            <w:r>
              <w:rPr>
                <w:sz w:val="20"/>
              </w:rPr>
              <w:t>7%</w:t>
            </w:r>
          </w:p>
        </w:tc>
        <w:tc>
          <w:tcPr>
            <w:tcW w:type="dxa" w:w="1170"/>
          </w:tcPr>
          <w:p>
            <w:r>
              <w:rPr>
                <w:sz w:val="20"/>
              </w:rPr>
              <w:t>srebf1; ppard; esr1</w:t>
            </w:r>
          </w:p>
        </w:tc>
        <w:tc>
          <w:tcPr>
            <w:tcW w:type="dxa" w:w="1170"/>
          </w:tcPr>
          <w:p>
            <w:r>
              <w:rPr>
                <w:sz w:val="20"/>
              </w:rPr>
              <w:t>10.422</w:t>
            </w:r>
          </w:p>
        </w:tc>
        <w:tc>
          <w:tcPr>
            <w:tcW w:type="dxa" w:w="1170"/>
          </w:tcPr>
          <w:p>
            <w:r>
              <w:rPr>
                <w:sz w:val="20"/>
              </w:rPr>
              <w:t>6.383–21.025</w:t>
            </w:r>
          </w:p>
        </w:tc>
        <w:tc>
          <w:tcPr>
            <w:tcW w:type="dxa" w:w="1170"/>
          </w:tcPr>
          <w:p>
            <w:r>
              <w:rPr>
                <w:sz w:val="20"/>
              </w:rPr>
              <w:t>2</w:t>
            </w:r>
          </w:p>
        </w:tc>
        <w:tc>
          <w:tcPr>
            <w:tcW w:type="dxa" w:w="1170"/>
          </w:tcPr>
          <w:p>
            <w:r>
              <w:rPr>
                <w:sz w:val="20"/>
              </w:rPr>
              <w:t>1</w:t>
            </w:r>
          </w:p>
        </w:tc>
      </w:tr>
      <w:tr>
        <w:tc>
          <w:tcPr>
            <w:tcW w:type="dxa" w:w="1170"/>
          </w:tcPr>
          <w:p>
            <w:r>
              <w:rPr>
                <w:sz w:val="20"/>
              </w:rPr>
              <w:t>GO:0010565</w:t>
              <w:tab/>
              <w:t>regulation of cellular ketone metabolic process</w:t>
            </w:r>
          </w:p>
        </w:tc>
        <w:tc>
          <w:tcPr>
            <w:tcW w:type="dxa" w:w="1170"/>
          </w:tcPr>
          <w:p>
            <w:r>
              <w:rPr>
                <w:sz w:val="20"/>
              </w:rPr>
              <w:t>5/59</w:t>
            </w:r>
          </w:p>
        </w:tc>
        <w:tc>
          <w:tcPr>
            <w:tcW w:type="dxa" w:w="1170"/>
          </w:tcPr>
          <w:p>
            <w:r>
              <w:rPr>
                <w:sz w:val="20"/>
              </w:rPr>
              <w:t>8%</w:t>
            </w:r>
          </w:p>
        </w:tc>
        <w:tc>
          <w:tcPr>
            <w:tcW w:type="dxa" w:w="1170"/>
          </w:tcPr>
          <w:p>
            <w:r>
              <w:rPr>
                <w:sz w:val="20"/>
              </w:rPr>
              <w:t>srebf1; ppard; insig1; acadl; abcb11</w:t>
            </w:r>
          </w:p>
        </w:tc>
        <w:tc>
          <w:tcPr>
            <w:tcW w:type="dxa" w:w="1170"/>
          </w:tcPr>
          <w:p>
            <w:r>
              <w:rPr>
                <w:sz w:val="20"/>
              </w:rPr>
              <w:t>11.964</w:t>
            </w:r>
          </w:p>
        </w:tc>
        <w:tc>
          <w:tcPr>
            <w:tcW w:type="dxa" w:w="1170"/>
          </w:tcPr>
          <w:p>
            <w:r>
              <w:rPr>
                <w:sz w:val="20"/>
              </w:rPr>
              <w:t>7.573–21.025</w:t>
            </w:r>
          </w:p>
        </w:tc>
        <w:tc>
          <w:tcPr>
            <w:tcW w:type="dxa" w:w="1170"/>
          </w:tcPr>
          <w:p>
            <w:r>
              <w:rPr>
                <w:sz w:val="20"/>
              </w:rPr>
              <w:t>5</w:t>
            </w:r>
          </w:p>
        </w:tc>
        <w:tc>
          <w:tcPr>
            <w:tcW w:type="dxa" w:w="1170"/>
          </w:tcPr>
          <w:p>
            <w:r>
              <w:rPr>
                <w:sz w:val="20"/>
              </w:rPr>
              <w:t>0</w:t>
            </w:r>
          </w:p>
        </w:tc>
      </w:tr>
      <w:tr>
        <w:tc>
          <w:tcPr>
            <w:tcW w:type="dxa" w:w="1170"/>
          </w:tcPr>
          <w:p>
            <w:r>
              <w:rPr>
                <w:sz w:val="20"/>
              </w:rPr>
              <w:t>GO:0019217</w:t>
              <w:tab/>
              <w:t>regulation of fatty acid metabolic process</w:t>
            </w:r>
          </w:p>
        </w:tc>
        <w:tc>
          <w:tcPr>
            <w:tcW w:type="dxa" w:w="1170"/>
          </w:tcPr>
          <w:p>
            <w:r>
              <w:rPr>
                <w:sz w:val="20"/>
              </w:rPr>
              <w:t>5/46</w:t>
            </w:r>
          </w:p>
        </w:tc>
        <w:tc>
          <w:tcPr>
            <w:tcW w:type="dxa" w:w="1170"/>
          </w:tcPr>
          <w:p>
            <w:r>
              <w:rPr>
                <w:sz w:val="20"/>
              </w:rPr>
              <w:t>11%</w:t>
            </w:r>
          </w:p>
        </w:tc>
        <w:tc>
          <w:tcPr>
            <w:tcW w:type="dxa" w:w="1170"/>
          </w:tcPr>
          <w:p>
            <w:r>
              <w:rPr>
                <w:sz w:val="20"/>
              </w:rPr>
              <w:t>srebf1; ppard; insig1; acadl; abcb11</w:t>
            </w:r>
          </w:p>
        </w:tc>
        <w:tc>
          <w:tcPr>
            <w:tcW w:type="dxa" w:w="1170"/>
          </w:tcPr>
          <w:p>
            <w:r>
              <w:rPr>
                <w:sz w:val="20"/>
              </w:rPr>
              <w:t>11.964</w:t>
            </w:r>
          </w:p>
        </w:tc>
        <w:tc>
          <w:tcPr>
            <w:tcW w:type="dxa" w:w="1170"/>
          </w:tcPr>
          <w:p>
            <w:r>
              <w:rPr>
                <w:sz w:val="20"/>
              </w:rPr>
              <w:t>7.573–21.025</w:t>
            </w:r>
          </w:p>
        </w:tc>
        <w:tc>
          <w:tcPr>
            <w:tcW w:type="dxa" w:w="1170"/>
          </w:tcPr>
          <w:p>
            <w:r>
              <w:rPr>
                <w:sz w:val="20"/>
              </w:rPr>
              <w:t>5</w:t>
            </w:r>
          </w:p>
        </w:tc>
        <w:tc>
          <w:tcPr>
            <w:tcW w:type="dxa" w:w="1170"/>
          </w:tcPr>
          <w:p>
            <w:r>
              <w:rPr>
                <w:sz w:val="20"/>
              </w:rPr>
              <w:t>0</w:t>
            </w:r>
          </w:p>
        </w:tc>
      </w:tr>
      <w:tr>
        <w:tc>
          <w:tcPr>
            <w:tcW w:type="dxa" w:w="1170"/>
          </w:tcPr>
          <w:p>
            <w:r>
              <w:rPr>
                <w:sz w:val="20"/>
              </w:rPr>
              <w:t>GO:0045598</w:t>
              <w:tab/>
              <w:t>regulation of fat cell differentiation</w:t>
            </w:r>
          </w:p>
        </w:tc>
        <w:tc>
          <w:tcPr>
            <w:tcW w:type="dxa" w:w="1170"/>
          </w:tcPr>
          <w:p>
            <w:r>
              <w:rPr>
                <w:sz w:val="20"/>
              </w:rPr>
              <w:t>3/41</w:t>
            </w:r>
          </w:p>
        </w:tc>
        <w:tc>
          <w:tcPr>
            <w:tcW w:type="dxa" w:w="1170"/>
          </w:tcPr>
          <w:p>
            <w:r>
              <w:rPr>
                <w:sz w:val="20"/>
              </w:rPr>
              <w:t>7%</w:t>
            </w:r>
          </w:p>
        </w:tc>
        <w:tc>
          <w:tcPr>
            <w:tcW w:type="dxa" w:w="1170"/>
          </w:tcPr>
          <w:p>
            <w:r>
              <w:rPr>
                <w:sz w:val="20"/>
              </w:rPr>
              <w:t>ppard; lpl; insig1</w:t>
            </w:r>
          </w:p>
        </w:tc>
        <w:tc>
          <w:tcPr>
            <w:tcW w:type="dxa" w:w="1170"/>
          </w:tcPr>
          <w:p>
            <w:r>
              <w:rPr>
                <w:sz w:val="20"/>
              </w:rPr>
              <w:t>11.964</w:t>
            </w:r>
          </w:p>
        </w:tc>
        <w:tc>
          <w:tcPr>
            <w:tcW w:type="dxa" w:w="1170"/>
          </w:tcPr>
          <w:p>
            <w:r>
              <w:rPr>
                <w:sz w:val="20"/>
              </w:rPr>
              <w:t>7.573</w:t>
            </w:r>
          </w:p>
        </w:tc>
        <w:tc>
          <w:tcPr>
            <w:tcW w:type="dxa" w:w="1170"/>
          </w:tcPr>
          <w:p>
            <w:r>
              <w:rPr>
                <w:sz w:val="20"/>
              </w:rPr>
              <w:t>3</w:t>
            </w:r>
          </w:p>
        </w:tc>
        <w:tc>
          <w:tcPr>
            <w:tcW w:type="dxa" w:w="1170"/>
          </w:tcPr>
          <w:p>
            <w:r>
              <w:rPr>
                <w:sz w:val="20"/>
              </w:rPr>
              <w:t>0</w:t>
            </w:r>
          </w:p>
        </w:tc>
      </w:tr>
      <w:tr>
        <w:tc>
          <w:tcPr>
            <w:tcW w:type="dxa" w:w="1170"/>
          </w:tcPr>
          <w:p>
            <w:r>
              <w:rPr>
                <w:sz w:val="20"/>
              </w:rPr>
              <w:t>GO:0033273</w:t>
              <w:tab/>
              <w:t>response to vitamin</w:t>
            </w:r>
          </w:p>
        </w:tc>
        <w:tc>
          <w:tcPr>
            <w:tcW w:type="dxa" w:w="1170"/>
          </w:tcPr>
          <w:p>
            <w:r>
              <w:rPr>
                <w:sz w:val="20"/>
              </w:rPr>
              <w:t>5/85</w:t>
            </w:r>
          </w:p>
        </w:tc>
        <w:tc>
          <w:tcPr>
            <w:tcW w:type="dxa" w:w="1170"/>
          </w:tcPr>
          <w:p>
            <w:r>
              <w:rPr>
                <w:sz w:val="20"/>
              </w:rPr>
              <w:t>6%</w:t>
            </w:r>
          </w:p>
        </w:tc>
        <w:tc>
          <w:tcPr>
            <w:tcW w:type="dxa" w:w="1170"/>
          </w:tcPr>
          <w:p>
            <w:r>
              <w:rPr>
                <w:sz w:val="20"/>
              </w:rPr>
              <w:t>zfp354a; ppard; gsr; fads1; cyp11a1</w:t>
            </w:r>
          </w:p>
        </w:tc>
        <w:tc>
          <w:tcPr>
            <w:tcW w:type="dxa" w:w="1170"/>
          </w:tcPr>
          <w:p>
            <w:r>
              <w:rPr>
                <w:sz w:val="20"/>
              </w:rPr>
              <w:t>12.069</w:t>
            </w:r>
          </w:p>
        </w:tc>
        <w:tc>
          <w:tcPr>
            <w:tcW w:type="dxa" w:w="1170"/>
          </w:tcPr>
          <w:p>
            <w:r>
              <w:rPr>
                <w:sz w:val="20"/>
              </w:rPr>
              <w:t>5.945–21.025</w:t>
            </w:r>
          </w:p>
        </w:tc>
        <w:tc>
          <w:tcPr>
            <w:tcW w:type="dxa" w:w="1170"/>
          </w:tcPr>
          <w:p>
            <w:r>
              <w:rPr>
                <w:sz w:val="20"/>
              </w:rPr>
              <w:t>3</w:t>
            </w:r>
          </w:p>
        </w:tc>
        <w:tc>
          <w:tcPr>
            <w:tcW w:type="dxa" w:w="1170"/>
          </w:tcPr>
          <w:p>
            <w:r>
              <w:rPr>
                <w:sz w:val="20"/>
              </w:rPr>
              <w:t>2</w:t>
            </w:r>
          </w:p>
        </w:tc>
      </w:tr>
      <w:tr>
        <w:tc>
          <w:tcPr>
            <w:tcW w:type="dxa" w:w="1170"/>
          </w:tcPr>
          <w:p>
            <w:r>
              <w:rPr>
                <w:sz w:val="20"/>
              </w:rPr>
              <w:t>GO:0014910</w:t>
              <w:tab/>
              <w:t>regulation of smooth muscle cell migration</w:t>
            </w:r>
          </w:p>
        </w:tc>
        <w:tc>
          <w:tcPr>
            <w:tcW w:type="dxa" w:w="1170"/>
          </w:tcPr>
          <w:p>
            <w:r>
              <w:rPr>
                <w:sz w:val="20"/>
              </w:rPr>
              <w:t>3/59</w:t>
            </w:r>
          </w:p>
        </w:tc>
        <w:tc>
          <w:tcPr>
            <w:tcW w:type="dxa" w:w="1170"/>
          </w:tcPr>
          <w:p>
            <w:r>
              <w:rPr>
                <w:sz w:val="20"/>
              </w:rPr>
              <w:t>5%</w:t>
            </w:r>
          </w:p>
        </w:tc>
        <w:tc>
          <w:tcPr>
            <w:tcW w:type="dxa" w:w="1170"/>
          </w:tcPr>
          <w:p>
            <w:r>
              <w:rPr>
                <w:sz w:val="20"/>
              </w:rPr>
              <w:t>ppard; f3; apex1</w:t>
            </w:r>
          </w:p>
        </w:tc>
        <w:tc>
          <w:tcPr>
            <w:tcW w:type="dxa" w:w="1170"/>
          </w:tcPr>
          <w:p>
            <w:r>
              <w:rPr>
                <w:sz w:val="20"/>
              </w:rPr>
              <w:t>16.015</w:t>
            </w:r>
          </w:p>
        </w:tc>
        <w:tc>
          <w:tcPr>
            <w:tcW w:type="dxa" w:w="1170"/>
          </w:tcPr>
          <w:p>
            <w:r>
              <w:rPr>
                <w:sz w:val="20"/>
              </w:rPr>
              <w:t>14.961–39.407</w:t>
            </w:r>
          </w:p>
        </w:tc>
        <w:tc>
          <w:tcPr>
            <w:tcW w:type="dxa" w:w="1170"/>
          </w:tcPr>
          <w:p>
            <w:r>
              <w:rPr>
                <w:sz w:val="20"/>
              </w:rPr>
              <w:t>3</w:t>
            </w:r>
          </w:p>
        </w:tc>
        <w:tc>
          <w:tcPr>
            <w:tcW w:type="dxa" w:w="1170"/>
          </w:tcPr>
          <w:p>
            <w:r>
              <w:rPr>
                <w:sz w:val="20"/>
              </w:rPr>
              <w:t>0</w:t>
            </w:r>
          </w:p>
        </w:tc>
      </w:tr>
      <w:tr>
        <w:tc>
          <w:tcPr>
            <w:tcW w:type="dxa" w:w="1170"/>
          </w:tcPr>
          <w:p>
            <w:r>
              <w:rPr>
                <w:sz w:val="20"/>
              </w:rPr>
              <w:t>GO:0009743</w:t>
              <w:tab/>
              <w:t>response to carbohydrate</w:t>
            </w:r>
          </w:p>
        </w:tc>
        <w:tc>
          <w:tcPr>
            <w:tcW w:type="dxa" w:w="1170"/>
          </w:tcPr>
          <w:p>
            <w:r>
              <w:rPr>
                <w:sz w:val="20"/>
              </w:rPr>
              <w:t>8/135</w:t>
            </w:r>
          </w:p>
        </w:tc>
        <w:tc>
          <w:tcPr>
            <w:tcW w:type="dxa" w:w="1170"/>
          </w:tcPr>
          <w:p>
            <w:r>
              <w:rPr>
                <w:sz w:val="20"/>
              </w:rPr>
              <w:t>6%</w:t>
            </w:r>
          </w:p>
        </w:tc>
        <w:tc>
          <w:tcPr>
            <w:tcW w:type="dxa" w:w="1170"/>
          </w:tcPr>
          <w:p>
            <w:r>
              <w:rPr>
                <w:sz w:val="20"/>
              </w:rPr>
              <w:t>srebf1; ppard; pck1; lyn; hmgcs2; glrx; fads1; cyp11a1</w:t>
            </w:r>
          </w:p>
        </w:tc>
        <w:tc>
          <w:tcPr>
            <w:tcW w:type="dxa" w:w="1170"/>
          </w:tcPr>
          <w:p>
            <w:r>
              <w:rPr>
                <w:sz w:val="20"/>
              </w:rPr>
              <w:t>21.516</w:t>
            </w:r>
          </w:p>
        </w:tc>
        <w:tc>
          <w:tcPr>
            <w:tcW w:type="dxa" w:w="1170"/>
          </w:tcPr>
          <w:p>
            <w:r>
              <w:rPr>
                <w:sz w:val="20"/>
              </w:rPr>
              <w:t>11.197–21.110</w:t>
            </w:r>
          </w:p>
        </w:tc>
        <w:tc>
          <w:tcPr>
            <w:tcW w:type="dxa" w:w="1170"/>
          </w:tcPr>
          <w:p>
            <w:r>
              <w:rPr>
                <w:sz w:val="20"/>
              </w:rPr>
              <w:t>7</w:t>
            </w:r>
          </w:p>
        </w:tc>
        <w:tc>
          <w:tcPr>
            <w:tcW w:type="dxa" w:w="1170"/>
          </w:tcPr>
          <w:p>
            <w:r>
              <w:rPr>
                <w:sz w:val="20"/>
              </w:rPr>
              <w:t>1</w:t>
            </w:r>
          </w:p>
        </w:tc>
      </w:tr>
      <w:tr>
        <w:tc>
          <w:tcPr>
            <w:tcW w:type="dxa" w:w="1170"/>
          </w:tcPr>
          <w:p>
            <w:r>
              <w:rPr>
                <w:sz w:val="20"/>
              </w:rPr>
              <w:t>GO:0034284</w:t>
              <w:tab/>
              <w:t>response to monosaccharide</w:t>
            </w:r>
          </w:p>
        </w:tc>
        <w:tc>
          <w:tcPr>
            <w:tcW w:type="dxa" w:w="1170"/>
          </w:tcPr>
          <w:p>
            <w:r>
              <w:rPr>
                <w:sz w:val="20"/>
              </w:rPr>
              <w:t>6/119</w:t>
            </w:r>
          </w:p>
        </w:tc>
        <w:tc>
          <w:tcPr>
            <w:tcW w:type="dxa" w:w="1170"/>
          </w:tcPr>
          <w:p>
            <w:r>
              <w:rPr>
                <w:sz w:val="20"/>
              </w:rPr>
              <w:t>5%</w:t>
            </w:r>
          </w:p>
        </w:tc>
        <w:tc>
          <w:tcPr>
            <w:tcW w:type="dxa" w:w="1170"/>
          </w:tcPr>
          <w:p>
            <w:r>
              <w:rPr>
                <w:sz w:val="20"/>
              </w:rPr>
              <w:t>srebf1; ppard; pck1; hmgcs2; glrx; cyp11a1</w:t>
            </w:r>
          </w:p>
        </w:tc>
        <w:tc>
          <w:tcPr>
            <w:tcW w:type="dxa" w:w="1170"/>
          </w:tcPr>
          <w:p>
            <w:r>
              <w:rPr>
                <w:sz w:val="20"/>
              </w:rPr>
              <w:t>21.516</w:t>
            </w:r>
          </w:p>
        </w:tc>
        <w:tc>
          <w:tcPr>
            <w:tcW w:type="dxa" w:w="1170"/>
          </w:tcPr>
          <w:p>
            <w:r>
              <w:rPr>
                <w:sz w:val="20"/>
              </w:rPr>
              <w:t>11.197–21.110</w:t>
            </w:r>
          </w:p>
        </w:tc>
        <w:tc>
          <w:tcPr>
            <w:tcW w:type="dxa" w:w="1170"/>
          </w:tcPr>
          <w:p>
            <w:r>
              <w:rPr>
                <w:sz w:val="20"/>
              </w:rPr>
              <w:t>6</w:t>
            </w:r>
          </w:p>
        </w:tc>
        <w:tc>
          <w:tcPr>
            <w:tcW w:type="dxa" w:w="1170"/>
          </w:tcPr>
          <w:p>
            <w:r>
              <w:rPr>
                <w:sz w:val="20"/>
              </w:rPr>
              <w:t>0</w:t>
            </w:r>
          </w:p>
        </w:tc>
      </w:tr>
      <w:tr>
        <w:tc>
          <w:tcPr>
            <w:tcW w:type="dxa" w:w="1170"/>
          </w:tcPr>
          <w:p>
            <w:r>
              <w:rPr>
                <w:sz w:val="20"/>
              </w:rPr>
              <w:t>GO:0032869</w:t>
              <w:tab/>
              <w:t>cellular response to insulin stimulus</w:t>
            </w:r>
          </w:p>
        </w:tc>
        <w:tc>
          <w:tcPr>
            <w:tcW w:type="dxa" w:w="1170"/>
          </w:tcPr>
          <w:p>
            <w:r>
              <w:rPr>
                <w:sz w:val="20"/>
              </w:rPr>
              <w:t>6/63</w:t>
            </w:r>
          </w:p>
        </w:tc>
        <w:tc>
          <w:tcPr>
            <w:tcW w:type="dxa" w:w="1170"/>
          </w:tcPr>
          <w:p>
            <w:r>
              <w:rPr>
                <w:sz w:val="20"/>
              </w:rPr>
              <w:t>10%</w:t>
            </w:r>
          </w:p>
        </w:tc>
        <w:tc>
          <w:tcPr>
            <w:tcW w:type="dxa" w:w="1170"/>
          </w:tcPr>
          <w:p>
            <w:r>
              <w:rPr>
                <w:sz w:val="20"/>
              </w:rPr>
              <w:t>srebf1; pck1; insig1; hprt1; hmgcs2; alas1</w:t>
            </w:r>
          </w:p>
        </w:tc>
        <w:tc>
          <w:tcPr>
            <w:tcW w:type="dxa" w:w="1170"/>
          </w:tcPr>
          <w:p>
            <w:r>
              <w:rPr>
                <w:sz w:val="20"/>
              </w:rPr>
              <w:t>22.899</w:t>
            </w:r>
          </w:p>
        </w:tc>
        <w:tc>
          <w:tcPr>
            <w:tcW w:type="dxa" w:w="1170"/>
          </w:tcPr>
          <w:p>
            <w:r>
              <w:rPr>
                <w:sz w:val="20"/>
              </w:rPr>
              <w:t>10.342–16.860</w:t>
            </w:r>
          </w:p>
        </w:tc>
        <w:tc>
          <w:tcPr>
            <w:tcW w:type="dxa" w:w="1170"/>
          </w:tcPr>
          <w:p>
            <w:r>
              <w:rPr>
                <w:sz w:val="20"/>
              </w:rPr>
              <w:t>6</w:t>
            </w:r>
          </w:p>
        </w:tc>
        <w:tc>
          <w:tcPr>
            <w:tcW w:type="dxa" w:w="1170"/>
          </w:tcPr>
          <w:p>
            <w:r>
              <w:rPr>
                <w:sz w:val="20"/>
              </w:rPr>
              <w:t>0</w:t>
            </w:r>
          </w:p>
        </w:tc>
      </w:tr>
      <w:tr>
        <w:tc>
          <w:tcPr>
            <w:tcW w:type="dxa" w:w="9360"/>
            <w:gridSpan w:val="8"/>
          </w:tcPr>
          <w:p>
            <w:r>
              <w:rPr>
                <w:b/>
                <w:sz w:val="20"/>
              </w:rPr>
              <w:t>Female</w:t>
            </w:r>
          </w:p>
        </w:tc>
      </w:tr>
      <w:tr>
        <w:tc>
          <w:tcPr>
            <w:tcW w:type="dxa" w:w="1170"/>
          </w:tcPr>
          <w:p>
            <w:r>
              <w:rPr>
                <w:sz w:val="20"/>
              </w:rPr>
              <w:t>GO:0051301</w:t>
              <w:tab/>
              <w:t>cell division</w:t>
            </w:r>
          </w:p>
        </w:tc>
        <w:tc>
          <w:tcPr>
            <w:tcW w:type="dxa" w:w="1170"/>
          </w:tcPr>
          <w:p>
            <w:r>
              <w:rPr>
                <w:sz w:val="20"/>
              </w:rPr>
              <w:t>7/84</w:t>
            </w:r>
          </w:p>
        </w:tc>
        <w:tc>
          <w:tcPr>
            <w:tcW w:type="dxa" w:w="1170"/>
          </w:tcPr>
          <w:p>
            <w:r>
              <w:rPr>
                <w:sz w:val="20"/>
              </w:rPr>
              <w:t>8%</w:t>
            </w:r>
          </w:p>
        </w:tc>
        <w:tc>
          <w:tcPr>
            <w:tcW w:type="dxa" w:w="1170"/>
          </w:tcPr>
          <w:p>
            <w:r>
              <w:rPr>
                <w:sz w:val="20"/>
              </w:rPr>
              <w:t>spc24; kif18b; haus8; cdca3; ccnd1; ccnb2; ccnb2-ps2</w:t>
            </w:r>
          </w:p>
        </w:tc>
        <w:tc>
          <w:tcPr>
            <w:tcW w:type="dxa" w:w="1170"/>
          </w:tcPr>
          <w:p>
            <w:r>
              <w:rPr>
                <w:sz w:val="20"/>
              </w:rPr>
              <w:t>2.428</w:t>
            </w:r>
          </w:p>
        </w:tc>
        <w:tc>
          <w:tcPr>
            <w:tcW w:type="dxa" w:w="1170"/>
          </w:tcPr>
          <w:p>
            <w:r>
              <w:rPr>
                <w:sz w:val="20"/>
              </w:rPr>
              <w:t>0.543–103.587</w:t>
            </w:r>
          </w:p>
        </w:tc>
        <w:tc>
          <w:tcPr>
            <w:tcW w:type="dxa" w:w="1170"/>
          </w:tcPr>
          <w:p>
            <w:r>
              <w:rPr>
                <w:sz w:val="20"/>
              </w:rPr>
              <w:t>6</w:t>
            </w:r>
          </w:p>
        </w:tc>
        <w:tc>
          <w:tcPr>
            <w:tcW w:type="dxa" w:w="1170"/>
          </w:tcPr>
          <w:p>
            <w:r>
              <w:rPr>
                <w:sz w:val="20"/>
              </w:rPr>
              <w:t>0</w:t>
            </w:r>
          </w:p>
        </w:tc>
      </w:tr>
      <w:tr>
        <w:tc>
          <w:tcPr>
            <w:tcW w:type="dxa" w:w="1170"/>
          </w:tcPr>
          <w:p>
            <w:r>
              <w:rPr>
                <w:sz w:val="20"/>
              </w:rPr>
              <w:t>GO:1903047</w:t>
              <w:tab/>
              <w:t>mitotic cell cycle process</w:t>
            </w:r>
          </w:p>
        </w:tc>
        <w:tc>
          <w:tcPr>
            <w:tcW w:type="dxa" w:w="1170"/>
          </w:tcPr>
          <w:p>
            <w:r>
              <w:rPr>
                <w:sz w:val="20"/>
              </w:rPr>
              <w:t>9/149</w:t>
            </w:r>
          </w:p>
        </w:tc>
        <w:tc>
          <w:tcPr>
            <w:tcW w:type="dxa" w:w="1170"/>
          </w:tcPr>
          <w:p>
            <w:r>
              <w:rPr>
                <w:sz w:val="20"/>
              </w:rPr>
              <w:t>6%</w:t>
            </w:r>
          </w:p>
        </w:tc>
        <w:tc>
          <w:tcPr>
            <w:tcW w:type="dxa" w:w="1170"/>
          </w:tcPr>
          <w:p>
            <w:r>
              <w:rPr>
                <w:sz w:val="20"/>
              </w:rPr>
              <w:t>racgap1; plcb1; kntc1; kif18b; ckap2; cdkn1a; ccnd1; ccnb2; ccnb2-ps2</w:t>
            </w:r>
          </w:p>
        </w:tc>
        <w:tc>
          <w:tcPr>
            <w:tcW w:type="dxa" w:w="1170"/>
          </w:tcPr>
          <w:p>
            <w:r>
              <w:rPr>
                <w:sz w:val="20"/>
              </w:rPr>
              <w:t>2.428</w:t>
            </w:r>
          </w:p>
        </w:tc>
        <w:tc>
          <w:tcPr>
            <w:tcW w:type="dxa" w:w="1170"/>
          </w:tcPr>
          <w:p>
            <w:r>
              <w:rPr>
                <w:sz w:val="20"/>
              </w:rPr>
              <w:t>0.543–254.712</w:t>
            </w:r>
          </w:p>
        </w:tc>
        <w:tc>
          <w:tcPr>
            <w:tcW w:type="dxa" w:w="1170"/>
          </w:tcPr>
          <w:p>
            <w:r>
              <w:rPr>
                <w:sz w:val="20"/>
              </w:rPr>
              <w:t>6</w:t>
            </w:r>
          </w:p>
        </w:tc>
        <w:tc>
          <w:tcPr>
            <w:tcW w:type="dxa" w:w="1170"/>
          </w:tcPr>
          <w:p>
            <w:r>
              <w:rPr>
                <w:sz w:val="20"/>
              </w:rPr>
              <w:t>2</w:t>
            </w:r>
          </w:p>
        </w:tc>
      </w:tr>
      <w:tr>
        <w:tc>
          <w:tcPr>
            <w:tcW w:type="dxa" w:w="1170"/>
          </w:tcPr>
          <w:p>
            <w:r>
              <w:rPr>
                <w:sz w:val="20"/>
              </w:rPr>
              <w:t>GO:0007059</w:t>
              <w:tab/>
              <w:t>chromosome segregation</w:t>
            </w:r>
          </w:p>
        </w:tc>
        <w:tc>
          <w:tcPr>
            <w:tcW w:type="dxa" w:w="1170"/>
          </w:tcPr>
          <w:p>
            <w:r>
              <w:rPr>
                <w:sz w:val="20"/>
              </w:rPr>
              <w:t>4/41</w:t>
            </w:r>
          </w:p>
        </w:tc>
        <w:tc>
          <w:tcPr>
            <w:tcW w:type="dxa" w:w="1170"/>
          </w:tcPr>
          <w:p>
            <w:r>
              <w:rPr>
                <w:sz w:val="20"/>
              </w:rPr>
              <w:t>10%</w:t>
            </w:r>
          </w:p>
        </w:tc>
        <w:tc>
          <w:tcPr>
            <w:tcW w:type="dxa" w:w="1170"/>
          </w:tcPr>
          <w:p>
            <w:r>
              <w:rPr>
                <w:sz w:val="20"/>
              </w:rPr>
              <w:t>spc24; kntc1; kif18b; bex4</w:t>
            </w:r>
          </w:p>
        </w:tc>
        <w:tc>
          <w:tcPr>
            <w:tcW w:type="dxa" w:w="1170"/>
          </w:tcPr>
          <w:p>
            <w:r>
              <w:rPr>
                <w:sz w:val="20"/>
              </w:rPr>
              <w:t>4.390</w:t>
            </w:r>
          </w:p>
        </w:tc>
        <w:tc>
          <w:tcPr>
            <w:tcW w:type="dxa" w:w="1170"/>
          </w:tcPr>
          <w:p>
            <w:r>
              <w:rPr>
                <w:sz w:val="20"/>
              </w:rPr>
              <w:t>1.376–10.982</w:t>
            </w:r>
          </w:p>
        </w:tc>
        <w:tc>
          <w:tcPr>
            <w:tcW w:type="dxa" w:w="1170"/>
          </w:tcPr>
          <w:p>
            <w:r>
              <w:rPr>
                <w:sz w:val="20"/>
              </w:rPr>
              <w:t>4</w:t>
            </w:r>
          </w:p>
        </w:tc>
        <w:tc>
          <w:tcPr>
            <w:tcW w:type="dxa" w:w="1170"/>
          </w:tcPr>
          <w:p>
            <w:r>
              <w:rPr>
                <w:sz w:val="20"/>
              </w:rPr>
              <w:t>0</w:t>
            </w:r>
          </w:p>
        </w:tc>
      </w:tr>
      <w:tr>
        <w:tc>
          <w:tcPr>
            <w:tcW w:type="dxa" w:w="1170"/>
          </w:tcPr>
          <w:p>
            <w:r>
              <w:rPr>
                <w:sz w:val="20"/>
              </w:rPr>
              <w:t>GO:0022402</w:t>
              <w:tab/>
              <w:t>cell cycle process</w:t>
            </w:r>
          </w:p>
        </w:tc>
        <w:tc>
          <w:tcPr>
            <w:tcW w:type="dxa" w:w="1170"/>
          </w:tcPr>
          <w:p>
            <w:r>
              <w:rPr>
                <w:sz w:val="20"/>
              </w:rPr>
              <w:t>13/194</w:t>
            </w:r>
          </w:p>
        </w:tc>
        <w:tc>
          <w:tcPr>
            <w:tcW w:type="dxa" w:w="1170"/>
          </w:tcPr>
          <w:p>
            <w:r>
              <w:rPr>
                <w:sz w:val="20"/>
              </w:rPr>
              <w:t>7%</w:t>
            </w:r>
          </w:p>
        </w:tc>
        <w:tc>
          <w:tcPr>
            <w:tcW w:type="dxa" w:w="1170"/>
          </w:tcPr>
          <w:p>
            <w:r>
              <w:rPr>
                <w:sz w:val="20"/>
              </w:rPr>
              <w:t>spc24; racgap1; plcb1; npm1; kntc1; kif18b; haus8; ckap2; cdkn1a; ccnd1; ccnb2; ccnb2-ps2; bex4</w:t>
            </w:r>
          </w:p>
        </w:tc>
        <w:tc>
          <w:tcPr>
            <w:tcW w:type="dxa" w:w="1170"/>
          </w:tcPr>
          <w:p>
            <w:r>
              <w:rPr>
                <w:sz w:val="20"/>
              </w:rPr>
              <w:t>5.071</w:t>
            </w:r>
          </w:p>
        </w:tc>
        <w:tc>
          <w:tcPr>
            <w:tcW w:type="dxa" w:w="1170"/>
          </w:tcPr>
          <w:p>
            <w:r>
              <w:rPr>
                <w:sz w:val="20"/>
              </w:rPr>
              <w:t>1.835–110.576</w:t>
            </w:r>
          </w:p>
        </w:tc>
        <w:tc>
          <w:tcPr>
            <w:tcW w:type="dxa" w:w="1170"/>
          </w:tcPr>
          <w:p>
            <w:r>
              <w:rPr>
                <w:sz w:val="20"/>
              </w:rPr>
              <w:t>10</w:t>
            </w:r>
          </w:p>
        </w:tc>
        <w:tc>
          <w:tcPr>
            <w:tcW w:type="dxa" w:w="1170"/>
          </w:tcPr>
          <w:p>
            <w:r>
              <w:rPr>
                <w:sz w:val="20"/>
              </w:rPr>
              <w:t>2</w:t>
            </w:r>
          </w:p>
        </w:tc>
      </w:tr>
      <w:tr>
        <w:tc>
          <w:tcPr>
            <w:tcW w:type="dxa" w:w="1170"/>
          </w:tcPr>
          <w:p>
            <w:r>
              <w:rPr>
                <w:sz w:val="20"/>
              </w:rPr>
              <w:t>GO:0044770</w:t>
              <w:tab/>
              <w:t>cell cycle phase transition</w:t>
            </w:r>
          </w:p>
        </w:tc>
        <w:tc>
          <w:tcPr>
            <w:tcW w:type="dxa" w:w="1170"/>
          </w:tcPr>
          <w:p>
            <w:r>
              <w:rPr>
                <w:sz w:val="20"/>
              </w:rPr>
              <w:t>4/58</w:t>
            </w:r>
          </w:p>
        </w:tc>
        <w:tc>
          <w:tcPr>
            <w:tcW w:type="dxa" w:w="1170"/>
          </w:tcPr>
          <w:p>
            <w:r>
              <w:rPr>
                <w:sz w:val="20"/>
              </w:rPr>
              <w:t>7%</w:t>
            </w:r>
          </w:p>
        </w:tc>
        <w:tc>
          <w:tcPr>
            <w:tcW w:type="dxa" w:w="1170"/>
          </w:tcPr>
          <w:p>
            <w:r>
              <w:rPr>
                <w:sz w:val="20"/>
              </w:rPr>
              <w:t>plcb1; ccnd1; ccnb2; ccnb2-ps2</w:t>
            </w:r>
          </w:p>
        </w:tc>
        <w:tc>
          <w:tcPr>
            <w:tcW w:type="dxa" w:w="1170"/>
          </w:tcPr>
          <w:p>
            <w:r>
              <w:rPr>
                <w:sz w:val="20"/>
              </w:rPr>
              <w:t>12.171</w:t>
            </w:r>
          </w:p>
        </w:tc>
        <w:tc>
          <w:tcPr>
            <w:tcW w:type="dxa" w:w="1170"/>
          </w:tcPr>
          <w:p>
            <w:r>
              <w:rPr>
                <w:sz w:val="20"/>
              </w:rPr>
              <w:t>4.692–260.924</w:t>
            </w:r>
          </w:p>
        </w:tc>
        <w:tc>
          <w:tcPr>
            <w:tcW w:type="dxa" w:w="1170"/>
          </w:tcPr>
          <w:p>
            <w:r>
              <w:rPr>
                <w:sz w:val="20"/>
              </w:rPr>
              <w:t>2</w:t>
            </w:r>
          </w:p>
        </w:tc>
        <w:tc>
          <w:tcPr>
            <w:tcW w:type="dxa" w:w="1170"/>
          </w:tcPr>
          <w:p>
            <w:r>
              <w:rPr>
                <w:sz w:val="20"/>
              </w:rPr>
              <w:t>1</w:t>
            </w:r>
          </w:p>
        </w:tc>
      </w:tr>
      <w:tr>
        <w:tc>
          <w:tcPr>
            <w:tcW w:type="dxa" w:w="1170"/>
          </w:tcPr>
          <w:p>
            <w:r>
              <w:rPr>
                <w:sz w:val="20"/>
              </w:rPr>
              <w:t>GO:0044772</w:t>
              <w:tab/>
              <w:t>mitotic cell cycle phase transition</w:t>
            </w:r>
          </w:p>
        </w:tc>
        <w:tc>
          <w:tcPr>
            <w:tcW w:type="dxa" w:w="1170"/>
          </w:tcPr>
          <w:p>
            <w:r>
              <w:rPr>
                <w:sz w:val="20"/>
              </w:rPr>
              <w:t>4/52</w:t>
            </w:r>
          </w:p>
        </w:tc>
        <w:tc>
          <w:tcPr>
            <w:tcW w:type="dxa" w:w="1170"/>
          </w:tcPr>
          <w:p>
            <w:r>
              <w:rPr>
                <w:sz w:val="20"/>
              </w:rPr>
              <w:t>8%</w:t>
            </w:r>
          </w:p>
        </w:tc>
        <w:tc>
          <w:tcPr>
            <w:tcW w:type="dxa" w:w="1170"/>
          </w:tcPr>
          <w:p>
            <w:r>
              <w:rPr>
                <w:sz w:val="20"/>
              </w:rPr>
              <w:t>plcb1; ccnd1; ccnb2; ccnb2-ps2</w:t>
            </w:r>
          </w:p>
        </w:tc>
        <w:tc>
          <w:tcPr>
            <w:tcW w:type="dxa" w:w="1170"/>
          </w:tcPr>
          <w:p>
            <w:r>
              <w:rPr>
                <w:sz w:val="20"/>
              </w:rPr>
              <w:t>12.171</w:t>
            </w:r>
          </w:p>
        </w:tc>
        <w:tc>
          <w:tcPr>
            <w:tcW w:type="dxa" w:w="1170"/>
          </w:tcPr>
          <w:p>
            <w:r>
              <w:rPr>
                <w:sz w:val="20"/>
              </w:rPr>
              <w:t>4.692–260.924</w:t>
            </w:r>
          </w:p>
        </w:tc>
        <w:tc>
          <w:tcPr>
            <w:tcW w:type="dxa" w:w="1170"/>
          </w:tcPr>
          <w:p>
            <w:r>
              <w:rPr>
                <w:sz w:val="20"/>
              </w:rPr>
              <w:t>2</w:t>
            </w:r>
          </w:p>
        </w:tc>
        <w:tc>
          <w:tcPr>
            <w:tcW w:type="dxa" w:w="1170"/>
          </w:tcPr>
          <w:p>
            <w:r>
              <w:rPr>
                <w:sz w:val="20"/>
              </w:rPr>
              <w:t>1</w:t>
            </w:r>
          </w:p>
        </w:tc>
      </w:tr>
      <w:tr>
        <w:tc>
          <w:tcPr>
            <w:tcW w:type="dxa" w:w="1170"/>
          </w:tcPr>
          <w:p>
            <w:r>
              <w:rPr>
                <w:sz w:val="20"/>
              </w:rPr>
              <w:t>GO:0032526</w:t>
              <w:tab/>
              <w:t>response to retinoic acid</w:t>
            </w:r>
          </w:p>
        </w:tc>
        <w:tc>
          <w:tcPr>
            <w:tcW w:type="dxa" w:w="1170"/>
          </w:tcPr>
          <w:p>
            <w:r>
              <w:rPr>
                <w:sz w:val="20"/>
              </w:rPr>
              <w:t>4/51</w:t>
            </w:r>
          </w:p>
        </w:tc>
        <w:tc>
          <w:tcPr>
            <w:tcW w:type="dxa" w:w="1170"/>
          </w:tcPr>
          <w:p>
            <w:r>
              <w:rPr>
                <w:sz w:val="20"/>
              </w:rPr>
              <w:t>8%</w:t>
            </w:r>
          </w:p>
        </w:tc>
        <w:tc>
          <w:tcPr>
            <w:tcW w:type="dxa" w:w="1170"/>
          </w:tcPr>
          <w:p>
            <w:r>
              <w:rPr>
                <w:sz w:val="20"/>
              </w:rPr>
              <w:t>srebf1; pck1; ccl2; apoe</w:t>
            </w:r>
          </w:p>
        </w:tc>
        <w:tc>
          <w:tcPr>
            <w:tcW w:type="dxa" w:w="1170"/>
          </w:tcPr>
          <w:p>
            <w:r>
              <w:rPr>
                <w:sz w:val="20"/>
              </w:rPr>
              <w:t>18.081</w:t>
            </w:r>
          </w:p>
        </w:tc>
        <w:tc>
          <w:tcPr>
            <w:tcW w:type="dxa" w:w="1170"/>
          </w:tcPr>
          <w:p>
            <w:r>
              <w:rPr>
                <w:sz w:val="20"/>
              </w:rPr>
              <w:t>6.161–12.964</w:t>
            </w:r>
          </w:p>
        </w:tc>
        <w:tc>
          <w:tcPr>
            <w:tcW w:type="dxa" w:w="1170"/>
          </w:tcPr>
          <w:p>
            <w:r>
              <w:rPr>
                <w:sz w:val="20"/>
              </w:rPr>
              <w:t>3</w:t>
            </w:r>
          </w:p>
        </w:tc>
        <w:tc>
          <w:tcPr>
            <w:tcW w:type="dxa" w:w="1170"/>
          </w:tcPr>
          <w:p>
            <w:r>
              <w:rPr>
                <w:sz w:val="20"/>
              </w:rPr>
              <w:t>1</w:t>
            </w:r>
          </w:p>
        </w:tc>
      </w:tr>
      <w:tr>
        <w:tc>
          <w:tcPr>
            <w:tcW w:type="dxa" w:w="1170"/>
          </w:tcPr>
          <w:p>
            <w:r>
              <w:rPr>
                <w:sz w:val="20"/>
              </w:rPr>
              <w:t>GO:0046889</w:t>
              <w:tab/>
              <w:t>positive regulation of lipid biosynthetic process</w:t>
            </w:r>
          </w:p>
        </w:tc>
        <w:tc>
          <w:tcPr>
            <w:tcW w:type="dxa" w:w="1170"/>
          </w:tcPr>
          <w:p>
            <w:r>
              <w:rPr>
                <w:sz w:val="20"/>
              </w:rPr>
              <w:t>7/52</w:t>
            </w:r>
          </w:p>
        </w:tc>
        <w:tc>
          <w:tcPr>
            <w:tcW w:type="dxa" w:w="1170"/>
          </w:tcPr>
          <w:p>
            <w:r>
              <w:rPr>
                <w:sz w:val="20"/>
              </w:rPr>
              <w:t>13%</w:t>
            </w:r>
          </w:p>
        </w:tc>
        <w:tc>
          <w:tcPr>
            <w:tcW w:type="dxa" w:w="1170"/>
          </w:tcPr>
          <w:p>
            <w:r>
              <w:rPr>
                <w:sz w:val="20"/>
              </w:rPr>
              <w:t>srebf1; por; pck1; nr1d1; ccn1; cd74; apoe</w:t>
            </w:r>
          </w:p>
        </w:tc>
        <w:tc>
          <w:tcPr>
            <w:tcW w:type="dxa" w:w="1170"/>
          </w:tcPr>
          <w:p>
            <w:r>
              <w:rPr>
                <w:sz w:val="20"/>
              </w:rPr>
              <w:t>20.625</w:t>
            </w:r>
          </w:p>
        </w:tc>
        <w:tc>
          <w:tcPr>
            <w:tcW w:type="dxa" w:w="1170"/>
          </w:tcPr>
          <w:p>
            <w:r>
              <w:rPr>
                <w:sz w:val="20"/>
              </w:rPr>
              <w:t>6.467–93.407</w:t>
            </w:r>
          </w:p>
        </w:tc>
        <w:tc>
          <w:tcPr>
            <w:tcW w:type="dxa" w:w="1170"/>
          </w:tcPr>
          <w:p>
            <w:r>
              <w:rPr>
                <w:sz w:val="20"/>
              </w:rPr>
              <w:t>5</w:t>
            </w:r>
          </w:p>
        </w:tc>
        <w:tc>
          <w:tcPr>
            <w:tcW w:type="dxa" w:w="1170"/>
          </w:tcPr>
          <w:p>
            <w:r>
              <w:rPr>
                <w:sz w:val="20"/>
              </w:rPr>
              <w:t>1</w:t>
            </w:r>
          </w:p>
        </w:tc>
      </w:tr>
      <w:tr>
        <w:tc>
          <w:tcPr>
            <w:tcW w:type="dxa" w:w="1170"/>
          </w:tcPr>
          <w:p>
            <w:r>
              <w:rPr>
                <w:sz w:val="20"/>
              </w:rPr>
              <w:t>GO:0046165</w:t>
              <w:tab/>
              <w:t>alcohol biosynthetic process</w:t>
            </w:r>
          </w:p>
        </w:tc>
        <w:tc>
          <w:tcPr>
            <w:tcW w:type="dxa" w:w="1170"/>
          </w:tcPr>
          <w:p>
            <w:r>
              <w:rPr>
                <w:sz w:val="20"/>
              </w:rPr>
              <w:t>4/42</w:t>
            </w:r>
          </w:p>
        </w:tc>
        <w:tc>
          <w:tcPr>
            <w:tcW w:type="dxa" w:w="1170"/>
          </w:tcPr>
          <w:p>
            <w:r>
              <w:rPr>
                <w:sz w:val="20"/>
              </w:rPr>
              <w:t>10%</w:t>
            </w:r>
          </w:p>
        </w:tc>
        <w:tc>
          <w:tcPr>
            <w:tcW w:type="dxa" w:w="1170"/>
          </w:tcPr>
          <w:p>
            <w:r>
              <w:rPr>
                <w:sz w:val="20"/>
              </w:rPr>
              <w:t>srebf1; pck1; insig1; hmgcs2</w:t>
            </w:r>
          </w:p>
        </w:tc>
        <w:tc>
          <w:tcPr>
            <w:tcW w:type="dxa" w:w="1170"/>
          </w:tcPr>
          <w:p>
            <w:r>
              <w:rPr>
                <w:sz w:val="20"/>
              </w:rPr>
              <w:t>21.657</w:t>
            </w:r>
          </w:p>
        </w:tc>
        <w:tc>
          <w:tcPr>
            <w:tcW w:type="dxa" w:w="1170"/>
          </w:tcPr>
          <w:p>
            <w:r>
              <w:rPr>
                <w:sz w:val="20"/>
              </w:rPr>
              <w:t>11.214–25.379</w:t>
            </w:r>
          </w:p>
        </w:tc>
        <w:tc>
          <w:tcPr>
            <w:tcW w:type="dxa" w:w="1170"/>
          </w:tcPr>
          <w:p>
            <w:r>
              <w:rPr>
                <w:sz w:val="20"/>
              </w:rPr>
              <w:t>4</w:t>
            </w:r>
          </w:p>
        </w:tc>
        <w:tc>
          <w:tcPr>
            <w:tcW w:type="dxa" w:w="1170"/>
          </w:tcPr>
          <w:p>
            <w:r>
              <w:rPr>
                <w:sz w:val="20"/>
              </w:rPr>
              <w:t>0</w:t>
            </w:r>
          </w:p>
        </w:tc>
      </w:tr>
      <w:tr>
        <w:tc>
          <w:tcPr>
            <w:tcW w:type="dxa" w:w="1170"/>
          </w:tcPr>
          <w:p>
            <w:r>
              <w:rPr>
                <w:sz w:val="20"/>
              </w:rPr>
              <w:t>GO:0000075</w:t>
              <w:tab/>
              <w:t>cell cycle checkpoint signaling</w:t>
            </w:r>
          </w:p>
        </w:tc>
        <w:tc>
          <w:tcPr>
            <w:tcW w:type="dxa" w:w="1170"/>
          </w:tcPr>
          <w:p>
            <w:r>
              <w:rPr>
                <w:sz w:val="20"/>
              </w:rPr>
              <w:t>3/46</w:t>
            </w:r>
          </w:p>
        </w:tc>
        <w:tc>
          <w:tcPr>
            <w:tcW w:type="dxa" w:w="1170"/>
          </w:tcPr>
          <w:p>
            <w:r>
              <w:rPr>
                <w:sz w:val="20"/>
              </w:rPr>
              <w:t>7%</w:t>
            </w:r>
          </w:p>
        </w:tc>
        <w:tc>
          <w:tcPr>
            <w:tcW w:type="dxa" w:w="1170"/>
          </w:tcPr>
          <w:p>
            <w:r>
              <w:rPr>
                <w:sz w:val="20"/>
              </w:rPr>
              <w:t>kntc1; cdkn1a; ccnd1</w:t>
            </w:r>
          </w:p>
        </w:tc>
        <w:tc>
          <w:tcPr>
            <w:tcW w:type="dxa" w:w="1170"/>
          </w:tcPr>
          <w:p>
            <w:r>
              <w:rPr>
                <w:sz w:val="20"/>
              </w:rPr>
              <w:t>22.204</w:t>
            </w:r>
          </w:p>
        </w:tc>
        <w:tc>
          <w:tcPr>
            <w:tcW w:type="dxa" w:w="1170"/>
          </w:tcPr>
          <w:p>
            <w:r>
              <w:rPr>
                <w:sz w:val="20"/>
              </w:rPr>
              <w:t>8.906–43.403</w:t>
            </w:r>
          </w:p>
        </w:tc>
        <w:tc>
          <w:tcPr>
            <w:tcW w:type="dxa" w:w="1170"/>
          </w:tcPr>
          <w:p>
            <w:r>
              <w:rPr>
                <w:sz w:val="20"/>
              </w:rPr>
              <w:t>2</w:t>
            </w:r>
          </w:p>
        </w:tc>
        <w:tc>
          <w:tcPr>
            <w:tcW w:type="dxa" w:w="1170"/>
          </w:tcPr>
          <w:p>
            <w:r>
              <w:rPr>
                <w:sz w:val="20"/>
              </w:rPr>
              <w:t>1</w:t>
            </w:r>
          </w:p>
        </w:tc>
      </w:tr>
    </w:tbl>
    <w:p>
      <w:pPr>
        <w:pStyle w:val="3-03aHead2NoNumber"/>
      </w:pPr>
      <w:bookmarkStart w:id="34" w:name="_Toc_gene-bmd"/>
      <w:r>
        <w:t>Gene Benchmark Dose Analysis</w:t>
      </w:r>
      <w:bookmarkEnd w:id="34"/>
    </w:p>
    <w:p>
      <w:r>
        <w:t>Among the individual dose-responsive genes, the most sensitive transcriptional changes—as reflected by the lowest BMD values within enriched pathways—were associated with genes involved in lipid transport and peroxisomal fatty acid oxidation, including ACOX1, EHHADH, and SLC27A2, as well as the cytochrome P450 family members CYP2E1, CYP4A2, and CYP7A1. The induction of ACOX1 and CYP4A2 is a canonical marker of PPARα activation in rodent liver and has been consistently reported following exposure to perfluoroalkyl substances (PFAS) in multiple species. CYP7A1, the rate-limiting enzyme in bile acid biosynthesis, was also upregulated, suggesting perturbation of cholesterol catabolism consistent with prior reports of PFAS-mediated disruption of bile acid homeostasis. NFE2L2 (Nrf2) and its downstream targets HMOX1, GPX4, SOD1, SOD2, and TXNRD1 were upregulated across a range of BMDs, indicating activation of the canonical antioxidant response element (ARE) transcriptional program. NFE2L2 is among the most extensively documented consensus genes in the toxicogenomics literature (383 supporting papers), with well-established roles in hepatic oxidative stress responses to xenobiotic exposures; its induction in the present study is consistent with the known electrophilic and oxidative properties of sulfonamide metabolites. HMOX1 (142 papers) and GPX4 (156 papers) similarly represent high-confidence consensus genes with broad cross-tissue expression and established roles in cytoprotection against lipid peroxidation and ferroptotic cell death, respectively. The upregulation of GPX4 alongside NFE2L2 and HMOX1 suggests that PFHxSA exposure may promote conditions conducive to lipid peroxidation, with concurrent induction of protective mechanisms.</w:t>
        <w:br/>
        <w:br/>
        <w:t>CDKN1A (p21/WAF1), a well-characterized cell cycle inhibitor and genotoxic stress marker, was identified as a dose-responsive gene with a BMD in the range of approximately 7–9 mg/kg/day and was predominantly downregulated in the context of multiple enriched pathways, including HIF-1 signaling, cancer pathways, and AP-2 transcription factor regulation. The downregulation of CDKN1A in the context of STAT3 and VEGFA co-regulation is noteworthy; published literature has identified CDKN1A as one of four functional genotoxic marker genes capable of distinguishing genotoxic from non-genotoxic hepatocarcinogens in rat liver, and its directional response in the present study warrants consideration in the context of carcinogenicity hazard assessment. STAT3, which was downregulated across multiple signaling pathways at median BMDs of approximately 24–40 mg/kg/day, is a pleiotropic transcription factor with roles in acute-phase response, cell survival, and immune modulation; its suppression may reflect attenuation of hepatic regenerative or inflammatory signaling at higher doses. VEGFA downregulation, observed in concert with STAT3 and FOXO3 in HIF-1 and cancer-related pathways, suggests potential perturbation of angiogenic signaling, though the biological significance of this finding in the context of a 5-day study requires further investigation. PPARGC1A (PGC-1α; 34 supporting papers), a master regulator of mitochondrial biogenesis and oxidative metabolism, was upregulated and contributed to enrichment of both the non-alcoholic fatty liver disease pathway and the skeletal muscle organ signature, consistent with a compensatory mitochondrial response to increased fatty acid load.</w:t>
        <w:br/>
        <w:br/>
        <w:t>Confidence in the biological interpretation of the gene expression data is considered high for the lipid metabolic and oxidative stress response signatures, given the large number of constituent genes, the statistical robustness of the GO and pathway enrichment results, and the extensive literature support for the consensus genes identified. The PPARα activation signature, supported by ACOX1, EHHADH, CYP4A2, CYP7A1, PLIN2, and PPARGC1A, is consistent with the established mechanism of action of long-chain perfluoroalkyl sulfonamides and is corroborated by prior transcriptomic studies of structurally related PFAS compounds. Confidence is moderate for the cell cycle and growth factor signaling perturbations, as these were represented by smaller gene sets (2–4 genes per pathway) and predominantly involved genes—such as CDKN1A, STAT3, and VEGFA—with broad biological roles that may reflect indirect or secondary responses to metabolic stress rather than direct receptor-mediated effects. The acute-phase response signature, while statistically significant, is also consistent with a non-specific hepatic stress response and should be interpreted in conjunction with histopathological findings. Single-study or lower-confidence genes, including FOXO3, FOXO4, and ERBB3, contributed to pathway enrichment but are supported by fewer independent literature sources and are therefore considered lower-confidence biomarkers of PFHxSA-specific hepatotoxicity in the present study.</w:t>
      </w:r>
    </w:p>
    <w:p>
      <w:r>
        <w:t>Among the individual dose-responsive genes, CDKN1A (p21/WAF1/CIP1) was identified as a high-confidence sentinel gene supported by 52 publications and represented across the broadest range of tissue signatures in the organ enrichment analysis. Its upregulation, shared across PI3K–Akt, cellular senescence, cell cycle, and multiple cancer-related KEGG pathways, is consistent with p53 pathway activation and has been validated as a functional marker distinguishing genotoxic from non-genotoxic hepatocarcinogens in rat liver in short-term in vivo studies. MDM2, a negative regulator of p53 that is itself transcriptionally induced by p53, was co-upregulated with CDKN1A across multiple enriched pathways, suggesting a canonical p53 stress response feedback loop. FGF21 and GDF15, both supported by multiple independent publications as early-response toxicity biomarkers predictive of drug-induced liver and kidney injury, were upregulated in a dose-responsive manner and contributed to enrichment of PI3K–Akt, thyroid cancer, and hepatocellular carcinoma pathways. FGF21 has additionally been identified as a gene signature predictive of drug-induced hepatic steatosis in rats, and its induction here is consistent with PPAR-alpha–mediated transcriptional activation. HGF (hepatocyte growth factor), co-upregulated with FGF21 and CDKN1A in the PI3K–Akt and cancer-related pathways, is a known hepatoprotective and regenerative signal, and its induction may reflect a compensatory response to hepatocellular stress. HSP90AA1, supported by 17 publications and enriched in stress response and unfolded protein response contexts, was upregulated and contributed to PI3K–Akt and prostate cancer pathway enrichment, consistent with its role as a molecular chaperone activated under proteotoxic stress conditions.</w:t>
        <w:br/>
        <w:br/>
        <w:t>Lipid metabolic genes with strong literature support included ACOX1, EHHADH, ACADM, ACADVL, HADHB, HMGCS2, and PPARG, the latter supported by nine publications linking it to lipid homeostasis, NAFLD/MASLD, and nuclear receptor signaling. The upregulation of PPARG alongside NR1H3 (LXR-alpha), NR1H4 (FXR), SREBF1, and RXRA indicates coordinate activation of multiple lipid-sensing nuclear receptor axes, consistent with the known ability of perfluoroalkyl compounds to act as ligands or co-activators of PPAR-alpha and related receptors. CYP2E1, supported by 14 publications and identified as a liver-specific xenobiotic metabolism gene, was upregulated and contributed to both xenobiotic metabolic process and fatty acid metabolic process GO term enrichment; its induction is associated with increased microsomal oxidative metabolism and reactive oxygen species generation. GCLC, the rate-limiting enzyme of glutathione biosynthesis, was upregulated and supported by 20 publications as a biomarker of glutathione depletion and oxidative stress, with its induction here interpreted as an adaptive Nrf2-mediated antioxidant response. SQSTM1 (p62), supported by 23 publications in the context of autophagy, selective protein degradation, and NRF2 pathway regulation, was upregulated alongside multiple proteasomal subunits, suggesting activation of proteostatic quality control mechanisms. PINK1 and TFAM, supported by nine and seven publications respectively, were upregulated and contributed to mitophagy and mitochondrial biogenesis pathway enrichment, consistent with mitochondrial stress adaptation secondary to elevated fatty acid oxidation.</w:t>
        <w:br/>
        <w:br/>
        <w:t>Confidence in the overall transcriptional response is high, as the dominant biological themes—hepatic lipid metabolic induction, xenobiotic enzyme upregulation, oxidative stress adaptation, and p53-associated cell cycle checkpoint activation—are each supported by multiple independent consensus genes with extensive literature validation in rodent liver toxicology. The BMD range for responsive genes (0.814–366 mg/kg/day) spans approximately two orders of magnitude, with the most sensitive individual gene responses occurring well below the median pathway BMD values, indicating that lipid metabolic and xenobiotic response genes are among the earliest molecular perturbations. ESR1 upregulation, supported by nine publications and driving the highest organ signature enrichment (breast tissue, MCF-7 cells; 67.5-fold), warrants attention as a potential indicator of endocrine-disrupting activity, consistent with reports of PFAS compounds modulating estrogen receptor signaling. The acute-phase response gene signature (A2M, FGA, FGG, SERPINA1, ORM1) and the downregulation of hepatocellular carcinoma pathway genes at higher BMD values collectively suggest that at elevated doses, PFHxSA induces hepatic inflammatory signaling and suppresses normal hepatocyte differentiation programs, transitions that may be relevant to the hepatotoxic and potential hepatocarcinogenic hazard characterization of this compound class.</w:t>
      </w:r>
    </w:p>
    <w:p>
      <w:pPr>
        <w:pStyle w:val="0-25TableTitle"/>
      </w:pPr>
      <w:r>
        <w:t xml:space="preserve">Table </w:t>
      </w:r>
      <w:r>
        <w:fldChar w:fldCharType="begin"/>
        <w:instrText xml:space="preserve"> SEQ Table \* ARABIC </w:instrText>
        <w:fldChar w:fldCharType="separate"/>
      </w:r>
      <w:r>
        <w:t>11</w:t>
      </w:r>
      <w:r>
        <w:fldChar w:fldCharType="end"/>
      </w:r>
      <w:r>
        <w:t xml:space="preserve">. </w:t>
      </w:r>
      <w:r>
        <w:t>Top 10 Liver Genes Ranked by Potency of Perturbation, Sorted by Benchmark Dose Median</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rFonts w:ascii="Arial" w:hAnsi="Arial"/>
                <w:b/>
                <w:sz w:val="20"/>
              </w:rPr>
              <w:t>Gene Symbol</w:t>
            </w:r>
          </w:p>
        </w:tc>
        <w:tc>
          <w:tcPr>
            <w:tcW w:type="dxa" w:w="1560"/>
            <w:tcBorders>
              <w:bottom w:val="single" w:sz="8" w:space="0" w:color="000000"/>
            </w:tcBorders>
          </w:tcPr>
          <w:p>
            <w:r>
              <w:rPr>
                <w:rFonts w:ascii="Arial" w:hAnsi="Arial"/>
                <w:b/>
                <w:sz w:val="20"/>
              </w:rPr>
              <w:t>Entrez Gene IDs</w:t>
            </w:r>
          </w:p>
        </w:tc>
        <w:tc>
          <w:tcPr>
            <w:tcW w:type="dxa" w:w="1560"/>
            <w:tcBorders>
              <w:bottom w:val="single" w:sz="8" w:space="0" w:color="000000"/>
            </w:tcBorders>
          </w:tcPr>
          <w:p>
            <w:r>
              <w:rPr>
                <w:rFonts w:ascii="Arial" w:hAnsi="Arial"/>
                <w:b/>
                <w:sz w:val="20"/>
              </w:rPr>
              <w:t>Probe IDs</w:t>
            </w:r>
          </w:p>
        </w:tc>
        <w:tc>
          <w:tcPr>
            <w:tcW w:type="dxa" w:w="1560"/>
            <w:tcBorders>
              <w:bottom w:val="single" w:sz="8" w:space="0" w:color="000000"/>
            </w:tcBorders>
          </w:tcPr>
          <w:p>
            <w:r>
              <w:rPr>
                <w:rFonts w:ascii="Arial" w:hAnsi="Arial"/>
                <w:b/>
                <w:sz w:val="20"/>
              </w:rPr>
              <w:t>BMD1Std (BMDL1std–BMDU1std) in mg/kg</w:t>
            </w:r>
          </w:p>
        </w:tc>
        <w:tc>
          <w:tcPr>
            <w:tcW w:type="dxa" w:w="1560"/>
            <w:tcBorders>
              <w:bottom w:val="single" w:sz="8" w:space="0" w:color="000000"/>
            </w:tcBorders>
          </w:tcPr>
          <w:p>
            <w:r>
              <w:rPr>
                <w:rFonts w:ascii="Arial" w:hAnsi="Arial"/>
                <w:b/>
                <w:sz w:val="20"/>
              </w:rPr>
              <w:t>Maximum Fold Change</w:t>
            </w:r>
          </w:p>
        </w:tc>
        <w:tc>
          <w:tcPr>
            <w:tcW w:type="dxa" w:w="1560"/>
            <w:tcBorders>
              <w:bottom w:val="single" w:sz="8" w:space="0" w:color="000000"/>
            </w:tcBorders>
          </w:tcPr>
          <w:p>
            <w:r>
              <w:rPr>
                <w:rFonts w:ascii="Arial" w:hAnsi="Arial"/>
                <w:b/>
                <w:sz w:val="20"/>
              </w:rPr>
              <w:t>Direction of Expression Change</w:t>
            </w:r>
          </w:p>
        </w:tc>
      </w:tr>
      <w:tr>
        <w:tc>
          <w:tcPr>
            <w:tcW w:type="dxa" w:w="9360"/>
            <w:gridSpan w:val="6"/>
          </w:tcPr>
          <w:p>
            <w:r>
              <w:rPr>
                <w:b/>
                <w:sz w:val="20"/>
              </w:rPr>
              <w:t>Male</w:t>
            </w:r>
          </w:p>
        </w:tc>
      </w:tr>
      <w:tr>
        <w:tc>
          <w:tcPr>
            <w:tcW w:type="dxa" w:w="1560"/>
          </w:tcPr>
          <w:p>
            <w:r>
              <w:rPr>
                <w:sz w:val="20"/>
              </w:rPr>
              <w:t>PRLR</w:t>
            </w:r>
          </w:p>
        </w:tc>
        <w:tc>
          <w:tcPr>
            <w:tcW w:type="dxa" w:w="1560"/>
          </w:tcPr>
          <w:p>
            <w:r>
              <w:rPr>
                <w:sz w:val="20"/>
              </w:rPr>
              <w:t>—</w:t>
            </w:r>
          </w:p>
        </w:tc>
        <w:tc>
          <w:tcPr>
            <w:tcW w:type="dxa" w:w="1560"/>
          </w:tcPr>
          <w:p>
            <w:r>
              <w:rPr>
                <w:sz w:val="20"/>
              </w:rPr>
              <w:t>PRLR_9571</w:t>
            </w:r>
          </w:p>
        </w:tc>
        <w:tc>
          <w:tcPr>
            <w:tcW w:type="dxa" w:w="1560"/>
          </w:tcPr>
          <w:p>
            <w:r>
              <w:rPr>
                <w:sz w:val="20"/>
              </w:rPr>
              <w:t>0.059 (0.012–0.267)</w:t>
            </w:r>
          </w:p>
        </w:tc>
        <w:tc>
          <w:tcPr>
            <w:tcW w:type="dxa" w:w="1560"/>
          </w:tcPr>
          <w:p>
            <w:r>
              <w:rPr>
                <w:sz w:val="20"/>
              </w:rPr>
              <w:t>3.1</w:t>
            </w:r>
          </w:p>
        </w:tc>
        <w:tc>
          <w:tcPr>
            <w:tcW w:type="dxa" w:w="1560"/>
          </w:tcPr>
          <w:p>
            <w:r>
              <w:rPr>
                <w:sz w:val="20"/>
              </w:rPr>
              <w:t>DOWN</w:t>
            </w:r>
          </w:p>
        </w:tc>
      </w:tr>
      <w:tr>
        <w:tc>
          <w:tcPr>
            <w:tcW w:type="dxa" w:w="1560"/>
          </w:tcPr>
          <w:p>
            <w:r>
              <w:rPr>
                <w:sz w:val="20"/>
              </w:rPr>
              <w:t>SULT2A6</w:t>
            </w:r>
          </w:p>
        </w:tc>
        <w:tc>
          <w:tcPr>
            <w:tcW w:type="dxa" w:w="1560"/>
          </w:tcPr>
          <w:p>
            <w:r>
              <w:rPr>
                <w:sz w:val="20"/>
              </w:rPr>
              <w:t>—</w:t>
            </w:r>
          </w:p>
        </w:tc>
        <w:tc>
          <w:tcPr>
            <w:tcW w:type="dxa" w:w="1560"/>
          </w:tcPr>
          <w:p>
            <w:r>
              <w:rPr>
                <w:sz w:val="20"/>
              </w:rPr>
              <w:t>SULT2A6_32471</w:t>
            </w:r>
          </w:p>
        </w:tc>
        <w:tc>
          <w:tcPr>
            <w:tcW w:type="dxa" w:w="1560"/>
          </w:tcPr>
          <w:p>
            <w:r>
              <w:rPr>
                <w:sz w:val="20"/>
              </w:rPr>
              <w:t>0.099 (0.023–0.490)</w:t>
            </w:r>
          </w:p>
        </w:tc>
        <w:tc>
          <w:tcPr>
            <w:tcW w:type="dxa" w:w="1560"/>
          </w:tcPr>
          <w:p>
            <w:r>
              <w:rPr>
                <w:sz w:val="20"/>
              </w:rPr>
              <w:t>2.4</w:t>
            </w:r>
          </w:p>
        </w:tc>
        <w:tc>
          <w:tcPr>
            <w:tcW w:type="dxa" w:w="1560"/>
          </w:tcPr>
          <w:p>
            <w:r>
              <w:rPr>
                <w:sz w:val="20"/>
              </w:rPr>
              <w:t>DOWN</w:t>
            </w:r>
          </w:p>
        </w:tc>
      </w:tr>
      <w:tr>
        <w:tc>
          <w:tcPr>
            <w:tcW w:type="dxa" w:w="1560"/>
          </w:tcPr>
          <w:p>
            <w:r>
              <w:rPr>
                <w:sz w:val="20"/>
              </w:rPr>
              <w:t>SULT2A6</w:t>
            </w:r>
          </w:p>
        </w:tc>
        <w:tc>
          <w:tcPr>
            <w:tcW w:type="dxa" w:w="1560"/>
          </w:tcPr>
          <w:p>
            <w:r>
              <w:rPr>
                <w:sz w:val="20"/>
              </w:rPr>
              <w:t>—</w:t>
            </w:r>
          </w:p>
        </w:tc>
        <w:tc>
          <w:tcPr>
            <w:tcW w:type="dxa" w:w="1560"/>
          </w:tcPr>
          <w:p>
            <w:r>
              <w:rPr>
                <w:sz w:val="20"/>
              </w:rPr>
              <w:t>SULT2A6_9972</w:t>
            </w:r>
          </w:p>
        </w:tc>
        <w:tc>
          <w:tcPr>
            <w:tcW w:type="dxa" w:w="1560"/>
          </w:tcPr>
          <w:p>
            <w:r>
              <w:rPr>
                <w:sz w:val="20"/>
              </w:rPr>
              <w:t>0.132 (0.025–99.328)</w:t>
            </w:r>
          </w:p>
        </w:tc>
        <w:tc>
          <w:tcPr>
            <w:tcW w:type="dxa" w:w="1560"/>
          </w:tcPr>
          <w:p>
            <w:r>
              <w:rPr>
                <w:sz w:val="20"/>
              </w:rPr>
              <w:t>2.3</w:t>
            </w:r>
          </w:p>
        </w:tc>
        <w:tc>
          <w:tcPr>
            <w:tcW w:type="dxa" w:w="1560"/>
          </w:tcPr>
          <w:p>
            <w:r>
              <w:rPr>
                <w:sz w:val="20"/>
              </w:rPr>
              <w:t>DOWN</w:t>
            </w:r>
          </w:p>
        </w:tc>
      </w:tr>
      <w:tr>
        <w:tc>
          <w:tcPr>
            <w:tcW w:type="dxa" w:w="1560"/>
          </w:tcPr>
          <w:p>
            <w:r>
              <w:rPr>
                <w:sz w:val="20"/>
              </w:rPr>
              <w:t>ABCB1A</w:t>
            </w:r>
          </w:p>
        </w:tc>
        <w:tc>
          <w:tcPr>
            <w:tcW w:type="dxa" w:w="1560"/>
          </w:tcPr>
          <w:p>
            <w:r>
              <w:rPr>
                <w:sz w:val="20"/>
              </w:rPr>
              <w:t>—</w:t>
            </w:r>
          </w:p>
        </w:tc>
        <w:tc>
          <w:tcPr>
            <w:tcW w:type="dxa" w:w="1560"/>
          </w:tcPr>
          <w:p>
            <w:r>
              <w:rPr>
                <w:sz w:val="20"/>
              </w:rPr>
              <w:t>ABCB1A_7938</w:t>
            </w:r>
          </w:p>
        </w:tc>
        <w:tc>
          <w:tcPr>
            <w:tcW w:type="dxa" w:w="1560"/>
          </w:tcPr>
          <w:p>
            <w:r>
              <w:rPr>
                <w:sz w:val="20"/>
              </w:rPr>
              <w:t>0.156 (0.039–2.272)</w:t>
            </w:r>
          </w:p>
        </w:tc>
        <w:tc>
          <w:tcPr>
            <w:tcW w:type="dxa" w:w="1560"/>
          </w:tcPr>
          <w:p>
            <w:r>
              <w:rPr>
                <w:sz w:val="20"/>
              </w:rPr>
              <w:t>1.8</w:t>
            </w:r>
          </w:p>
        </w:tc>
        <w:tc>
          <w:tcPr>
            <w:tcW w:type="dxa" w:w="1560"/>
          </w:tcPr>
          <w:p>
            <w:r>
              <w:rPr>
                <w:sz w:val="20"/>
              </w:rPr>
              <w:t>DOWN</w:t>
            </w:r>
          </w:p>
        </w:tc>
      </w:tr>
      <w:tr>
        <w:tc>
          <w:tcPr>
            <w:tcW w:type="dxa" w:w="1560"/>
          </w:tcPr>
          <w:p>
            <w:r>
              <w:rPr>
                <w:sz w:val="20"/>
              </w:rPr>
              <w:t>LSS</w:t>
            </w:r>
          </w:p>
        </w:tc>
        <w:tc>
          <w:tcPr>
            <w:tcW w:type="dxa" w:w="1560"/>
          </w:tcPr>
          <w:p>
            <w:r>
              <w:rPr>
                <w:sz w:val="20"/>
              </w:rPr>
              <w:t>—</w:t>
            </w:r>
          </w:p>
        </w:tc>
        <w:tc>
          <w:tcPr>
            <w:tcW w:type="dxa" w:w="1560"/>
          </w:tcPr>
          <w:p>
            <w:r>
              <w:rPr>
                <w:sz w:val="20"/>
              </w:rPr>
              <w:t>LSS_9163</w:t>
            </w:r>
          </w:p>
        </w:tc>
        <w:tc>
          <w:tcPr>
            <w:tcW w:type="dxa" w:w="1560"/>
          </w:tcPr>
          <w:p>
            <w:r>
              <w:rPr>
                <w:sz w:val="20"/>
              </w:rPr>
              <w:t>0.183 (0.068)</w:t>
            </w:r>
          </w:p>
        </w:tc>
        <w:tc>
          <w:tcPr>
            <w:tcW w:type="dxa" w:w="1560"/>
          </w:tcPr>
          <w:p>
            <w:r>
              <w:rPr>
                <w:sz w:val="20"/>
              </w:rPr>
              <w:t>1.4</w:t>
            </w:r>
          </w:p>
        </w:tc>
        <w:tc>
          <w:tcPr>
            <w:tcW w:type="dxa" w:w="1560"/>
          </w:tcPr>
          <w:p>
            <w:r>
              <w:rPr>
                <w:sz w:val="20"/>
              </w:rPr>
              <w:t>DOWN</w:t>
            </w:r>
          </w:p>
        </w:tc>
      </w:tr>
      <w:tr>
        <w:tc>
          <w:tcPr>
            <w:tcW w:type="dxa" w:w="1560"/>
          </w:tcPr>
          <w:p>
            <w:r>
              <w:rPr>
                <w:sz w:val="20"/>
              </w:rPr>
              <w:t>ZFP354A</w:t>
            </w:r>
          </w:p>
        </w:tc>
        <w:tc>
          <w:tcPr>
            <w:tcW w:type="dxa" w:w="1560"/>
          </w:tcPr>
          <w:p>
            <w:r>
              <w:rPr>
                <w:sz w:val="20"/>
              </w:rPr>
              <w:t>—</w:t>
            </w:r>
          </w:p>
        </w:tc>
        <w:tc>
          <w:tcPr>
            <w:tcW w:type="dxa" w:w="1560"/>
          </w:tcPr>
          <w:p>
            <w:r>
              <w:rPr>
                <w:sz w:val="20"/>
              </w:rPr>
              <w:t>ZFP354A_10203</w:t>
            </w:r>
          </w:p>
        </w:tc>
        <w:tc>
          <w:tcPr>
            <w:tcW w:type="dxa" w:w="1560"/>
          </w:tcPr>
          <w:p>
            <w:r>
              <w:rPr>
                <w:sz w:val="20"/>
              </w:rPr>
              <w:t>0.287 (0.029–1.406)</w:t>
            </w:r>
          </w:p>
        </w:tc>
        <w:tc>
          <w:tcPr>
            <w:tcW w:type="dxa" w:w="1560"/>
          </w:tcPr>
          <w:p>
            <w:r>
              <w:rPr>
                <w:sz w:val="20"/>
              </w:rPr>
              <w:t>4.4</w:t>
            </w:r>
          </w:p>
        </w:tc>
        <w:tc>
          <w:tcPr>
            <w:tcW w:type="dxa" w:w="1560"/>
          </w:tcPr>
          <w:p>
            <w:r>
              <w:rPr>
                <w:sz w:val="20"/>
              </w:rPr>
              <w:t>DOWN</w:t>
            </w:r>
          </w:p>
        </w:tc>
      </w:tr>
      <w:tr>
        <w:tc>
          <w:tcPr>
            <w:tcW w:type="dxa" w:w="1560"/>
          </w:tcPr>
          <w:p>
            <w:r>
              <w:rPr>
                <w:sz w:val="20"/>
              </w:rPr>
              <w:t>EGR1</w:t>
            </w:r>
          </w:p>
        </w:tc>
        <w:tc>
          <w:tcPr>
            <w:tcW w:type="dxa" w:w="1560"/>
          </w:tcPr>
          <w:p>
            <w:r>
              <w:rPr>
                <w:sz w:val="20"/>
              </w:rPr>
              <w:t>—</w:t>
            </w:r>
          </w:p>
        </w:tc>
        <w:tc>
          <w:tcPr>
            <w:tcW w:type="dxa" w:w="1560"/>
          </w:tcPr>
          <w:p>
            <w:r>
              <w:rPr>
                <w:sz w:val="20"/>
              </w:rPr>
              <w:t>EGR1_8533</w:t>
            </w:r>
          </w:p>
        </w:tc>
        <w:tc>
          <w:tcPr>
            <w:tcW w:type="dxa" w:w="1560"/>
          </w:tcPr>
          <w:p>
            <w:r>
              <w:rPr>
                <w:sz w:val="20"/>
              </w:rPr>
              <w:t>0.335 (0.045–7.977)</w:t>
            </w:r>
          </w:p>
        </w:tc>
        <w:tc>
          <w:tcPr>
            <w:tcW w:type="dxa" w:w="1560"/>
          </w:tcPr>
          <w:p>
            <w:r>
              <w:rPr>
                <w:sz w:val="20"/>
              </w:rPr>
              <w:t>3.5</w:t>
            </w:r>
          </w:p>
        </w:tc>
        <w:tc>
          <w:tcPr>
            <w:tcW w:type="dxa" w:w="1560"/>
          </w:tcPr>
          <w:p>
            <w:r>
              <w:rPr>
                <w:sz w:val="20"/>
              </w:rPr>
              <w:t>DOWN</w:t>
            </w:r>
          </w:p>
        </w:tc>
      </w:tr>
      <w:tr>
        <w:tc>
          <w:tcPr>
            <w:tcW w:type="dxa" w:w="1560"/>
          </w:tcPr>
          <w:p>
            <w:r>
              <w:rPr>
                <w:sz w:val="20"/>
              </w:rPr>
              <w:t>RPS27L</w:t>
            </w:r>
          </w:p>
        </w:tc>
        <w:tc>
          <w:tcPr>
            <w:tcW w:type="dxa" w:w="1560"/>
          </w:tcPr>
          <w:p>
            <w:r>
              <w:rPr>
                <w:sz w:val="20"/>
              </w:rPr>
              <w:t>—</w:t>
            </w:r>
          </w:p>
        </w:tc>
        <w:tc>
          <w:tcPr>
            <w:tcW w:type="dxa" w:w="1560"/>
          </w:tcPr>
          <w:p>
            <w:r>
              <w:rPr>
                <w:sz w:val="20"/>
              </w:rPr>
              <w:t>RPS27L_33046</w:t>
            </w:r>
          </w:p>
        </w:tc>
        <w:tc>
          <w:tcPr>
            <w:tcW w:type="dxa" w:w="1560"/>
          </w:tcPr>
          <w:p>
            <w:r>
              <w:rPr>
                <w:sz w:val="20"/>
              </w:rPr>
              <w:t>0.353 (243.093)</w:t>
            </w:r>
          </w:p>
        </w:tc>
        <w:tc>
          <w:tcPr>
            <w:tcW w:type="dxa" w:w="1560"/>
          </w:tcPr>
          <w:p>
            <w:r>
              <w:rPr>
                <w:sz w:val="20"/>
              </w:rPr>
              <w:t>1.5</w:t>
            </w:r>
          </w:p>
        </w:tc>
        <w:tc>
          <w:tcPr>
            <w:tcW w:type="dxa" w:w="1560"/>
          </w:tcPr>
          <w:p>
            <w:r>
              <w:rPr>
                <w:sz w:val="20"/>
              </w:rPr>
              <w:t>UP</w:t>
            </w:r>
          </w:p>
        </w:tc>
      </w:tr>
      <w:tr>
        <w:tc>
          <w:tcPr>
            <w:tcW w:type="dxa" w:w="1560"/>
          </w:tcPr>
          <w:p>
            <w:r>
              <w:rPr>
                <w:sz w:val="20"/>
              </w:rPr>
              <w:t>MYC</w:t>
            </w:r>
          </w:p>
        </w:tc>
        <w:tc>
          <w:tcPr>
            <w:tcW w:type="dxa" w:w="1560"/>
          </w:tcPr>
          <w:p>
            <w:r>
              <w:rPr>
                <w:sz w:val="20"/>
              </w:rPr>
              <w:t>—</w:t>
            </w:r>
          </w:p>
        </w:tc>
        <w:tc>
          <w:tcPr>
            <w:tcW w:type="dxa" w:w="1560"/>
          </w:tcPr>
          <w:p>
            <w:r>
              <w:rPr>
                <w:sz w:val="20"/>
              </w:rPr>
              <w:t>MYC_9271</w:t>
            </w:r>
          </w:p>
        </w:tc>
        <w:tc>
          <w:tcPr>
            <w:tcW w:type="dxa" w:w="1560"/>
          </w:tcPr>
          <w:p>
            <w:r>
              <w:rPr>
                <w:sz w:val="20"/>
              </w:rPr>
              <w:t>0.437 (0.050–2.498)</w:t>
            </w:r>
          </w:p>
        </w:tc>
        <w:tc>
          <w:tcPr>
            <w:tcW w:type="dxa" w:w="1560"/>
          </w:tcPr>
          <w:p>
            <w:r>
              <w:rPr>
                <w:sz w:val="20"/>
              </w:rPr>
              <w:t>1.9</w:t>
            </w:r>
          </w:p>
        </w:tc>
        <w:tc>
          <w:tcPr>
            <w:tcW w:type="dxa" w:w="1560"/>
          </w:tcPr>
          <w:p>
            <w:r>
              <w:rPr>
                <w:sz w:val="20"/>
              </w:rPr>
              <w:t>DOWN</w:t>
            </w:r>
          </w:p>
        </w:tc>
      </w:tr>
      <w:tr>
        <w:tc>
          <w:tcPr>
            <w:tcW w:type="dxa" w:w="1560"/>
          </w:tcPr>
          <w:p>
            <w:r>
              <w:rPr>
                <w:sz w:val="20"/>
              </w:rPr>
              <w:t>NFKBIA</w:t>
            </w:r>
          </w:p>
        </w:tc>
        <w:tc>
          <w:tcPr>
            <w:tcW w:type="dxa" w:w="1560"/>
          </w:tcPr>
          <w:p>
            <w:r>
              <w:rPr>
                <w:sz w:val="20"/>
              </w:rPr>
              <w:t>—</w:t>
            </w:r>
          </w:p>
        </w:tc>
        <w:tc>
          <w:tcPr>
            <w:tcW w:type="dxa" w:w="1560"/>
          </w:tcPr>
          <w:p>
            <w:r>
              <w:rPr>
                <w:sz w:val="20"/>
              </w:rPr>
              <w:t>NFKBIA_9307</w:t>
            </w:r>
          </w:p>
        </w:tc>
        <w:tc>
          <w:tcPr>
            <w:tcW w:type="dxa" w:w="1560"/>
          </w:tcPr>
          <w:p>
            <w:r>
              <w:rPr>
                <w:sz w:val="20"/>
              </w:rPr>
              <w:t>0.567 (0.155–1186.515)</w:t>
            </w:r>
          </w:p>
        </w:tc>
        <w:tc>
          <w:tcPr>
            <w:tcW w:type="dxa" w:w="1560"/>
          </w:tcPr>
          <w:p>
            <w:r>
              <w:rPr>
                <w:sz w:val="20"/>
              </w:rPr>
              <w:t>1.5</w:t>
            </w:r>
          </w:p>
        </w:tc>
        <w:tc>
          <w:tcPr>
            <w:tcW w:type="dxa" w:w="1560"/>
          </w:tcPr>
          <w:p>
            <w:r>
              <w:rPr>
                <w:sz w:val="20"/>
              </w:rPr>
              <w:t>DOWN</w:t>
            </w:r>
          </w:p>
        </w:tc>
      </w:tr>
      <w:tr>
        <w:tc>
          <w:tcPr>
            <w:tcW w:type="dxa" w:w="9360"/>
            <w:gridSpan w:val="6"/>
          </w:tcPr>
          <w:p>
            <w:r>
              <w:rPr>
                <w:b/>
                <w:sz w:val="20"/>
              </w:rPr>
              <w:t>Female</w:t>
            </w:r>
          </w:p>
        </w:tc>
      </w:tr>
      <w:tr>
        <w:tc>
          <w:tcPr>
            <w:tcW w:type="dxa" w:w="1560"/>
          </w:tcPr>
          <w:p>
            <w:r>
              <w:rPr>
                <w:sz w:val="20"/>
              </w:rPr>
              <w:t>A2M</w:t>
            </w:r>
          </w:p>
        </w:tc>
        <w:tc>
          <w:tcPr>
            <w:tcW w:type="dxa" w:w="1560"/>
          </w:tcPr>
          <w:p>
            <w:r>
              <w:rPr>
                <w:sz w:val="20"/>
              </w:rPr>
              <w:t>—</w:t>
            </w:r>
          </w:p>
        </w:tc>
        <w:tc>
          <w:tcPr>
            <w:tcW w:type="dxa" w:w="1560"/>
          </w:tcPr>
          <w:p>
            <w:r>
              <w:rPr>
                <w:sz w:val="20"/>
              </w:rPr>
              <w:t>A2M_7932</w:t>
            </w:r>
          </w:p>
        </w:tc>
        <w:tc>
          <w:tcPr>
            <w:tcW w:type="dxa" w:w="1560"/>
          </w:tcPr>
          <w:p>
            <w:r>
              <w:rPr>
                <w:sz w:val="20"/>
              </w:rPr>
              <w:t>0.814 (0.117–6.701)</w:t>
            </w:r>
          </w:p>
        </w:tc>
        <w:tc>
          <w:tcPr>
            <w:tcW w:type="dxa" w:w="1560"/>
          </w:tcPr>
          <w:p>
            <w:r>
              <w:rPr>
                <w:sz w:val="20"/>
              </w:rPr>
              <w:t>1.9</w:t>
            </w:r>
          </w:p>
        </w:tc>
        <w:tc>
          <w:tcPr>
            <w:tcW w:type="dxa" w:w="1560"/>
          </w:tcPr>
          <w:p>
            <w:r>
              <w:rPr>
                <w:sz w:val="20"/>
              </w:rPr>
              <w:t>DOWN</w:t>
            </w:r>
          </w:p>
        </w:tc>
      </w:tr>
      <w:tr>
        <w:tc>
          <w:tcPr>
            <w:tcW w:type="dxa" w:w="1560"/>
          </w:tcPr>
          <w:p>
            <w:r>
              <w:rPr>
                <w:sz w:val="20"/>
              </w:rPr>
              <w:t>CYP2B2</w:t>
            </w:r>
          </w:p>
        </w:tc>
        <w:tc>
          <w:tcPr>
            <w:tcW w:type="dxa" w:w="1560"/>
          </w:tcPr>
          <w:p>
            <w:r>
              <w:rPr>
                <w:sz w:val="20"/>
              </w:rPr>
              <w:t>—</w:t>
            </w:r>
          </w:p>
        </w:tc>
        <w:tc>
          <w:tcPr>
            <w:tcW w:type="dxa" w:w="1560"/>
          </w:tcPr>
          <w:p>
            <w:r>
              <w:rPr>
                <w:sz w:val="20"/>
              </w:rPr>
              <w:t>CYP2B2_32473</w:t>
            </w:r>
          </w:p>
        </w:tc>
        <w:tc>
          <w:tcPr>
            <w:tcW w:type="dxa" w:w="1560"/>
          </w:tcPr>
          <w:p>
            <w:r>
              <w:rPr>
                <w:sz w:val="20"/>
              </w:rPr>
              <w:t>1.332 (0.557–2.883)</w:t>
            </w:r>
          </w:p>
        </w:tc>
        <w:tc>
          <w:tcPr>
            <w:tcW w:type="dxa" w:w="1560"/>
          </w:tcPr>
          <w:p>
            <w:r>
              <w:rPr>
                <w:sz w:val="20"/>
              </w:rPr>
              <w:t>23.6</w:t>
            </w:r>
          </w:p>
        </w:tc>
        <w:tc>
          <w:tcPr>
            <w:tcW w:type="dxa" w:w="1560"/>
          </w:tcPr>
          <w:p>
            <w:r>
              <w:rPr>
                <w:sz w:val="20"/>
              </w:rPr>
              <w:t>UP</w:t>
            </w:r>
          </w:p>
        </w:tc>
      </w:tr>
      <w:tr>
        <w:tc>
          <w:tcPr>
            <w:tcW w:type="dxa" w:w="1560"/>
          </w:tcPr>
          <w:p>
            <w:r>
              <w:rPr>
                <w:sz w:val="20"/>
              </w:rPr>
              <w:t>BHLHE40</w:t>
            </w:r>
          </w:p>
        </w:tc>
        <w:tc>
          <w:tcPr>
            <w:tcW w:type="dxa" w:w="1560"/>
          </w:tcPr>
          <w:p>
            <w:r>
              <w:rPr>
                <w:sz w:val="20"/>
              </w:rPr>
              <w:t>—</w:t>
            </w:r>
          </w:p>
        </w:tc>
        <w:tc>
          <w:tcPr>
            <w:tcW w:type="dxa" w:w="1560"/>
          </w:tcPr>
          <w:p>
            <w:r>
              <w:rPr>
                <w:sz w:val="20"/>
              </w:rPr>
              <w:t>BHLHE40_8141</w:t>
            </w:r>
          </w:p>
        </w:tc>
        <w:tc>
          <w:tcPr>
            <w:tcW w:type="dxa" w:w="1560"/>
          </w:tcPr>
          <w:p>
            <w:r>
              <w:rPr>
                <w:sz w:val="20"/>
              </w:rPr>
              <w:t>1.864 (0.350–7.745)</w:t>
            </w:r>
          </w:p>
        </w:tc>
        <w:tc>
          <w:tcPr>
            <w:tcW w:type="dxa" w:w="1560"/>
          </w:tcPr>
          <w:p>
            <w:r>
              <w:rPr>
                <w:sz w:val="20"/>
              </w:rPr>
              <w:t>1.5</w:t>
            </w:r>
          </w:p>
        </w:tc>
        <w:tc>
          <w:tcPr>
            <w:tcW w:type="dxa" w:w="1560"/>
          </w:tcPr>
          <w:p>
            <w:r>
              <w:rPr>
                <w:sz w:val="20"/>
              </w:rPr>
              <w:t>DOWN</w:t>
            </w:r>
          </w:p>
        </w:tc>
      </w:tr>
      <w:tr>
        <w:tc>
          <w:tcPr>
            <w:tcW w:type="dxa" w:w="1560"/>
          </w:tcPr>
          <w:p>
            <w:r>
              <w:rPr>
                <w:sz w:val="20"/>
              </w:rPr>
              <w:t>CYP2B1</w:t>
            </w:r>
          </w:p>
        </w:tc>
        <w:tc>
          <w:tcPr>
            <w:tcW w:type="dxa" w:w="1560"/>
          </w:tcPr>
          <w:p>
            <w:r>
              <w:rPr>
                <w:sz w:val="20"/>
              </w:rPr>
              <w:t>—</w:t>
            </w:r>
          </w:p>
        </w:tc>
        <w:tc>
          <w:tcPr>
            <w:tcW w:type="dxa" w:w="1560"/>
          </w:tcPr>
          <w:p>
            <w:r>
              <w:rPr>
                <w:sz w:val="20"/>
              </w:rPr>
              <w:t>CYP2B1_32451</w:t>
            </w:r>
          </w:p>
        </w:tc>
        <w:tc>
          <w:tcPr>
            <w:tcW w:type="dxa" w:w="1560"/>
          </w:tcPr>
          <w:p>
            <w:r>
              <w:rPr>
                <w:sz w:val="20"/>
              </w:rPr>
              <w:t>2.261 (1.299–7.724)</w:t>
            </w:r>
          </w:p>
        </w:tc>
        <w:tc>
          <w:tcPr>
            <w:tcW w:type="dxa" w:w="1560"/>
          </w:tcPr>
          <w:p>
            <w:r>
              <w:rPr>
                <w:sz w:val="20"/>
              </w:rPr>
              <w:t>34.2</w:t>
            </w:r>
          </w:p>
        </w:tc>
        <w:tc>
          <w:tcPr>
            <w:tcW w:type="dxa" w:w="1560"/>
          </w:tcPr>
          <w:p>
            <w:r>
              <w:rPr>
                <w:sz w:val="20"/>
              </w:rPr>
              <w:t>UP</w:t>
            </w:r>
          </w:p>
        </w:tc>
      </w:tr>
      <w:tr>
        <w:tc>
          <w:tcPr>
            <w:tcW w:type="dxa" w:w="1560"/>
          </w:tcPr>
          <w:p>
            <w:r>
              <w:rPr>
                <w:sz w:val="20"/>
              </w:rPr>
              <w:t>CAR3</w:t>
            </w:r>
          </w:p>
        </w:tc>
        <w:tc>
          <w:tcPr>
            <w:tcW w:type="dxa" w:w="1560"/>
          </w:tcPr>
          <w:p>
            <w:r>
              <w:rPr>
                <w:sz w:val="20"/>
              </w:rPr>
              <w:t>—</w:t>
            </w:r>
          </w:p>
        </w:tc>
        <w:tc>
          <w:tcPr>
            <w:tcW w:type="dxa" w:w="1560"/>
          </w:tcPr>
          <w:p>
            <w:r>
              <w:rPr>
                <w:sz w:val="20"/>
              </w:rPr>
              <w:t>CAR3_8196</w:t>
            </w:r>
          </w:p>
        </w:tc>
        <w:tc>
          <w:tcPr>
            <w:tcW w:type="dxa" w:w="1560"/>
          </w:tcPr>
          <w:p>
            <w:r>
              <w:rPr>
                <w:sz w:val="20"/>
              </w:rPr>
              <w:t>2.417 (0.147–17.999)</w:t>
            </w:r>
          </w:p>
        </w:tc>
        <w:tc>
          <w:tcPr>
            <w:tcW w:type="dxa" w:w="1560"/>
          </w:tcPr>
          <w:p>
            <w:r>
              <w:rPr>
                <w:sz w:val="20"/>
              </w:rPr>
              <w:t>3.1</w:t>
            </w:r>
          </w:p>
        </w:tc>
        <w:tc>
          <w:tcPr>
            <w:tcW w:type="dxa" w:w="1560"/>
          </w:tcPr>
          <w:p>
            <w:r>
              <w:rPr>
                <w:sz w:val="20"/>
              </w:rPr>
              <w:t>DOWN</w:t>
            </w:r>
          </w:p>
        </w:tc>
      </w:tr>
      <w:tr>
        <w:tc>
          <w:tcPr>
            <w:tcW w:type="dxa" w:w="1560"/>
          </w:tcPr>
          <w:p>
            <w:r>
              <w:rPr>
                <w:sz w:val="20"/>
              </w:rPr>
              <w:t>EPHX2</w:t>
            </w:r>
          </w:p>
        </w:tc>
        <w:tc>
          <w:tcPr>
            <w:tcW w:type="dxa" w:w="1560"/>
          </w:tcPr>
          <w:p>
            <w:r>
              <w:rPr>
                <w:sz w:val="20"/>
              </w:rPr>
              <w:t>—</w:t>
            </w:r>
          </w:p>
        </w:tc>
        <w:tc>
          <w:tcPr>
            <w:tcW w:type="dxa" w:w="1560"/>
          </w:tcPr>
          <w:p>
            <w:r>
              <w:rPr>
                <w:sz w:val="20"/>
              </w:rPr>
              <w:t>EPHX2_33282</w:t>
            </w:r>
          </w:p>
        </w:tc>
        <w:tc>
          <w:tcPr>
            <w:tcW w:type="dxa" w:w="1560"/>
          </w:tcPr>
          <w:p>
            <w:r>
              <w:rPr>
                <w:sz w:val="20"/>
              </w:rPr>
              <w:t>3.822 (0.668–11.352)</w:t>
            </w:r>
          </w:p>
        </w:tc>
        <w:tc>
          <w:tcPr>
            <w:tcW w:type="dxa" w:w="1560"/>
          </w:tcPr>
          <w:p>
            <w:r>
              <w:rPr>
                <w:sz w:val="20"/>
              </w:rPr>
              <w:t>2.1</w:t>
            </w:r>
          </w:p>
        </w:tc>
        <w:tc>
          <w:tcPr>
            <w:tcW w:type="dxa" w:w="1560"/>
          </w:tcPr>
          <w:p>
            <w:r>
              <w:rPr>
                <w:sz w:val="20"/>
              </w:rPr>
              <w:t>UP</w:t>
            </w:r>
          </w:p>
        </w:tc>
      </w:tr>
      <w:tr>
        <w:tc>
          <w:tcPr>
            <w:tcW w:type="dxa" w:w="1560"/>
          </w:tcPr>
          <w:p>
            <w:r>
              <w:rPr>
                <w:sz w:val="20"/>
              </w:rPr>
              <w:t>C2CD2L</w:t>
            </w:r>
          </w:p>
        </w:tc>
        <w:tc>
          <w:tcPr>
            <w:tcW w:type="dxa" w:w="1560"/>
          </w:tcPr>
          <w:p>
            <w:r>
              <w:rPr>
                <w:sz w:val="20"/>
              </w:rPr>
              <w:t>—</w:t>
            </w:r>
          </w:p>
        </w:tc>
        <w:tc>
          <w:tcPr>
            <w:tcW w:type="dxa" w:w="1560"/>
          </w:tcPr>
          <w:p>
            <w:r>
              <w:rPr>
                <w:sz w:val="20"/>
              </w:rPr>
              <w:t>C2CD2L_8174</w:t>
            </w:r>
          </w:p>
        </w:tc>
        <w:tc>
          <w:tcPr>
            <w:tcW w:type="dxa" w:w="1560"/>
          </w:tcPr>
          <w:p>
            <w:r>
              <w:rPr>
                <w:sz w:val="20"/>
              </w:rPr>
              <w:t>3.830 (0.717–9834.082)</w:t>
            </w:r>
          </w:p>
        </w:tc>
        <w:tc>
          <w:tcPr>
            <w:tcW w:type="dxa" w:w="1560"/>
          </w:tcPr>
          <w:p>
            <w:r>
              <w:rPr>
                <w:sz w:val="20"/>
              </w:rPr>
              <w:t>1.3</w:t>
            </w:r>
          </w:p>
        </w:tc>
        <w:tc>
          <w:tcPr>
            <w:tcW w:type="dxa" w:w="1560"/>
          </w:tcPr>
          <w:p>
            <w:r>
              <w:rPr>
                <w:sz w:val="20"/>
              </w:rPr>
              <w:t>UP</w:t>
            </w:r>
          </w:p>
        </w:tc>
      </w:tr>
      <w:tr>
        <w:tc>
          <w:tcPr>
            <w:tcW w:type="dxa" w:w="1560"/>
          </w:tcPr>
          <w:p>
            <w:r>
              <w:rPr>
                <w:sz w:val="20"/>
              </w:rPr>
              <w:t>ECI3</w:t>
            </w:r>
          </w:p>
        </w:tc>
        <w:tc>
          <w:tcPr>
            <w:tcW w:type="dxa" w:w="1560"/>
          </w:tcPr>
          <w:p>
            <w:r>
              <w:rPr>
                <w:sz w:val="20"/>
              </w:rPr>
              <w:t>—</w:t>
            </w:r>
          </w:p>
        </w:tc>
        <w:tc>
          <w:tcPr>
            <w:tcW w:type="dxa" w:w="1560"/>
          </w:tcPr>
          <w:p>
            <w:r>
              <w:rPr>
                <w:sz w:val="20"/>
              </w:rPr>
              <w:t>ECI3_8522</w:t>
            </w:r>
          </w:p>
        </w:tc>
        <w:tc>
          <w:tcPr>
            <w:tcW w:type="dxa" w:w="1560"/>
          </w:tcPr>
          <w:p>
            <w:r>
              <w:rPr>
                <w:sz w:val="20"/>
              </w:rPr>
              <w:t>4.927 (1.763–17.309)</w:t>
            </w:r>
          </w:p>
        </w:tc>
        <w:tc>
          <w:tcPr>
            <w:tcW w:type="dxa" w:w="1560"/>
          </w:tcPr>
          <w:p>
            <w:r>
              <w:rPr>
                <w:sz w:val="20"/>
              </w:rPr>
              <w:t>1.4</w:t>
            </w:r>
          </w:p>
        </w:tc>
        <w:tc>
          <w:tcPr>
            <w:tcW w:type="dxa" w:w="1560"/>
          </w:tcPr>
          <w:p>
            <w:r>
              <w:rPr>
                <w:sz w:val="20"/>
              </w:rPr>
              <w:t>UP</w:t>
            </w:r>
          </w:p>
        </w:tc>
      </w:tr>
      <w:tr>
        <w:tc>
          <w:tcPr>
            <w:tcW w:type="dxa" w:w="1560"/>
          </w:tcPr>
          <w:p>
            <w:r>
              <w:rPr>
                <w:sz w:val="20"/>
              </w:rPr>
              <w:t>SLCO1B2</w:t>
            </w:r>
          </w:p>
        </w:tc>
        <w:tc>
          <w:tcPr>
            <w:tcW w:type="dxa" w:w="1560"/>
          </w:tcPr>
          <w:p>
            <w:r>
              <w:rPr>
                <w:sz w:val="20"/>
              </w:rPr>
              <w:t>—</w:t>
            </w:r>
          </w:p>
        </w:tc>
        <w:tc>
          <w:tcPr>
            <w:tcW w:type="dxa" w:w="1560"/>
          </w:tcPr>
          <w:p>
            <w:r>
              <w:rPr>
                <w:sz w:val="20"/>
              </w:rPr>
              <w:t>SLCO1B2_32950</w:t>
            </w:r>
          </w:p>
        </w:tc>
        <w:tc>
          <w:tcPr>
            <w:tcW w:type="dxa" w:w="1560"/>
          </w:tcPr>
          <w:p>
            <w:r>
              <w:rPr>
                <w:sz w:val="20"/>
              </w:rPr>
              <w:t>5.192 (1.426–90.633)</w:t>
            </w:r>
          </w:p>
        </w:tc>
        <w:tc>
          <w:tcPr>
            <w:tcW w:type="dxa" w:w="1560"/>
          </w:tcPr>
          <w:p>
            <w:r>
              <w:rPr>
                <w:sz w:val="20"/>
              </w:rPr>
              <w:t>1.4</w:t>
            </w:r>
          </w:p>
        </w:tc>
        <w:tc>
          <w:tcPr>
            <w:tcW w:type="dxa" w:w="1560"/>
          </w:tcPr>
          <w:p>
            <w:r>
              <w:rPr>
                <w:sz w:val="20"/>
              </w:rPr>
              <w:t>UP</w:t>
            </w:r>
          </w:p>
        </w:tc>
      </w:tr>
      <w:tr>
        <w:tc>
          <w:tcPr>
            <w:tcW w:type="dxa" w:w="1560"/>
          </w:tcPr>
          <w:p>
            <w:r>
              <w:rPr>
                <w:sz w:val="20"/>
              </w:rPr>
              <w:t>APOA2</w:t>
            </w:r>
          </w:p>
        </w:tc>
        <w:tc>
          <w:tcPr>
            <w:tcW w:type="dxa" w:w="1560"/>
          </w:tcPr>
          <w:p>
            <w:r>
              <w:rPr>
                <w:sz w:val="20"/>
              </w:rPr>
              <w:t>—</w:t>
            </w:r>
          </w:p>
        </w:tc>
        <w:tc>
          <w:tcPr>
            <w:tcW w:type="dxa" w:w="1560"/>
          </w:tcPr>
          <w:p>
            <w:r>
              <w:rPr>
                <w:sz w:val="20"/>
              </w:rPr>
              <w:t>APOA2_33095</w:t>
            </w:r>
          </w:p>
        </w:tc>
        <w:tc>
          <w:tcPr>
            <w:tcW w:type="dxa" w:w="1560"/>
          </w:tcPr>
          <w:p>
            <w:r>
              <w:rPr>
                <w:sz w:val="20"/>
              </w:rPr>
              <w:t>5.961 (5.824–13.709)</w:t>
            </w:r>
          </w:p>
        </w:tc>
        <w:tc>
          <w:tcPr>
            <w:tcW w:type="dxa" w:w="1560"/>
          </w:tcPr>
          <w:p>
            <w:r>
              <w:rPr>
                <w:sz w:val="20"/>
              </w:rPr>
              <w:t>1.7</w:t>
            </w:r>
          </w:p>
        </w:tc>
        <w:tc>
          <w:tcPr>
            <w:tcW w:type="dxa" w:w="1560"/>
          </w:tcPr>
          <w:p>
            <w:r>
              <w:rPr>
                <w:sz w:val="20"/>
              </w:rPr>
              <w:t>UP</w:t>
            </w:r>
          </w:p>
        </w:tc>
      </w:tr>
    </w:tbl>
    <w:p>
      <w:r>
        <w:t>Among the individual dose-responsive genes, GPX4 emerged as a high-confidence sentinel gene supported by an extensive literature base (156 papers), with broad organ-level enrichment spanning kidney, liver, testes, and numerous other tissues. GPX4 encodes glutathione peroxidase 4, a critical regulator of ferroptosis through its role in reducing phospholipid hydroperoxides, and its dose-responsive alteration in the kidney is consistent with PFAS-associated oxidative lipid stress. The co-regulation of GPX4 with FASN—whose knockdown has been shown to promote GPX4 degradation and ferroptosis—and with SQSTM1, a mediator of selective autophagy implicated in the GPX4/SQSTM1 ferroptotic axis in gastric cancer models, raises the possibility that PFHxSA exposure perturbs ferroptosis-regulatory networks in the kidney. AHR, a well-established xenobiotic receptor and transcriptional regulator, was identified as a dose-responsive gene with strong literature support (35 papers) and enrichment in kidney, liver, and male reproductive organ signatures; its co-enrichment with CYP2E1 in the chemical carcinogenesis pathway at a median BMD of approximately 90.5 mg/kg/day is consistent with AHR-mediated induction of oxidative metabolism at higher exposure levels. CYP11A1, the rate-limiting enzyme in steroidogenesis, was dose-responsive and exhibited strong enrichment in testicular, adrenal, and reproductive tissue signatures, with literature evidence linking its disruption to circadian clock perturbation and impaired testosterone synthesis; this finding warrants consideration in the context of potential endocrine-disrupting effects of PFHxSA. EGR1, an early-response transcription factor with established roles as a predictive biomarker of drug-induced kidney and liver toxicity, was also identified as a dose-responsive gene, further supporting the interpretation that PFHxSA induces a stress-response transcriptional program in the kidney.</w:t>
        <w:br/>
        <w:br/>
        <w:t>Several additional dose-responsive genes were supported by moderate or single-study evidence but are mechanistically coherent with the dominant pathway signatures. ACOX1, the rate-limiting enzyme of peroxisomal fatty acid beta-oxidation and a canonical PPAR-α target, was upregulated and supported by three papers, with enrichment in kidney, liver, and blood signatures; its induction is consistent with the PPAR-α activation hypothesis and aligns with published transcriptomic data on PFAS-induced hepatic steatosis. SCD and FADS1, both involved in fatty acid desaturation and supported by two papers each, were dose-responsive and have been identified as components of a drug-induced steatosis gene signature in rats, suggesting that PFHxSA may promote lipid accumulation in the kidney through dysregulation of fatty acid unsaturation pathways. ARNTL, a core circadian clock gene supported by three papers, was dose-responsive with enrichment in peripheral nerve sheath and gastric tissue signatures; its disruption has been mechanistically linked to impaired steroidogenesis via CYP11A1, providing a potential integrative mechanism connecting circadian disruption and endocrine perturbation. ESR1, encoding estrogen receptor alpha, was identified as a dose-responsive gene with enrichment in breast, testes, kidney, and liver signatures, and its co-regulation with CYP11A1 and DHCR7 in steroid metabolic pathways raises the possibility of estrogenic or anti-androgenic signaling perturbation. Collectively, the weight of evidence from pathway enrichment, BMD ordering, organ signature analysis, and individual gene literature support indicates that PFHxSA induces a coordinated transcriptional response in the male rat kidney characterized by PPAR-α-mediated induction of fatty acid oxidation and cholesterol biosynthesis, perturbation of ferroptosis-regulatory and oxidative stress networks, and potential disruption of steroidogenic and circadian signaling pathways, with the most sensitive responses occurring at BMDs in the range of 33–40 mg/kg/day.</w:t>
      </w:r>
    </w:p>
    <w:p>
      <w:r>
        <w:t>Among individual genes, CDKN1A (p21/WAF1/CIP1) emerged as one of the most sensitive and biologically informative responders, with a BMD of approximately 44.4 mg/kg/day and upregulated expression. CDKN1A is a well-established marker of genotoxic and cytostatic stress, and its induction in the kidney is consistent with cell cycle arrest at the G1/S checkpoint. The literature support for CDKN1A as a toxicogenomic marker is extensive, with 52 supporting publications identifying this gene across a broad range of tissues and chemical exposures; notably, CDKN1A has been validated as one of four functional genotoxic marker genes capable of distinguishing genotoxic from non-genotoxic hepatocarcinogens in rat liver, lending high confidence to its interpretation as a stress-responsive indicator in the present renal context. HIF1A and VEGFA, both upregulated with BMDs in the range of 118 mg/kg/day, were identified as consensus genes supported by 44 and 45 publications, respectively, and their co-enrichment in renal cell carcinoma and HIF-1 signaling pathways is mechanistically coherent. HIF1A upregulation in the kidney is consistent with transcriptomic responses reported for ochratoxin A and cobalt, where AhR-Smad2/3-HIF-1α signaling mediates nephrotoxicity, and VEGFA induction has been linked to modulation of renal vascular permeability and angiogenic signaling under chemical stress. SQSTM1 (p62), upregulated with a BMD of approximately 153 mg/kg/day, is a multifunctional scaffold protein involved in autophagy receptor signaling and NRF2 pathway activation; its co-enrichment with HIF1A in autophagy and mitophagy pathways, and its literature support across 23 publications in metabolic and neurodegenerative contexts, supports interpretation of its induction as part of a coordinated mitochondrial stress response.</w:t>
      </w:r>
    </w:p>
    <w:p>
      <w:pPr>
        <w:pStyle w:val="0-25TableTitle"/>
      </w:pPr>
      <w:r>
        <w:t xml:space="preserve">Table </w:t>
      </w:r>
      <w:r>
        <w:fldChar w:fldCharType="begin"/>
        <w:instrText xml:space="preserve"> SEQ Table \* ARABIC </w:instrText>
        <w:fldChar w:fldCharType="separate"/>
      </w:r>
      <w:r>
        <w:t>12</w:t>
      </w:r>
      <w:r>
        <w:fldChar w:fldCharType="end"/>
      </w:r>
      <w:r>
        <w:t xml:space="preserve">. </w:t>
      </w:r>
      <w:r>
        <w:t>Top 10 Kidney Genes Ranked by Potency of Perturbation, Sorted by Benchmark Dose Median</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rFonts w:ascii="Arial" w:hAnsi="Arial"/>
                <w:b/>
                <w:sz w:val="20"/>
              </w:rPr>
              <w:t>Gene Symbol</w:t>
            </w:r>
          </w:p>
        </w:tc>
        <w:tc>
          <w:tcPr>
            <w:tcW w:type="dxa" w:w="1560"/>
            <w:tcBorders>
              <w:bottom w:val="single" w:sz="8" w:space="0" w:color="000000"/>
            </w:tcBorders>
          </w:tcPr>
          <w:p>
            <w:r>
              <w:rPr>
                <w:rFonts w:ascii="Arial" w:hAnsi="Arial"/>
                <w:b/>
                <w:sz w:val="20"/>
              </w:rPr>
              <w:t>Entrez Gene IDs</w:t>
            </w:r>
          </w:p>
        </w:tc>
        <w:tc>
          <w:tcPr>
            <w:tcW w:type="dxa" w:w="1560"/>
            <w:tcBorders>
              <w:bottom w:val="single" w:sz="8" w:space="0" w:color="000000"/>
            </w:tcBorders>
          </w:tcPr>
          <w:p>
            <w:r>
              <w:rPr>
                <w:rFonts w:ascii="Arial" w:hAnsi="Arial"/>
                <w:b/>
                <w:sz w:val="20"/>
              </w:rPr>
              <w:t>Probe IDs</w:t>
            </w:r>
          </w:p>
        </w:tc>
        <w:tc>
          <w:tcPr>
            <w:tcW w:type="dxa" w:w="1560"/>
            <w:tcBorders>
              <w:bottom w:val="single" w:sz="8" w:space="0" w:color="000000"/>
            </w:tcBorders>
          </w:tcPr>
          <w:p>
            <w:r>
              <w:rPr>
                <w:rFonts w:ascii="Arial" w:hAnsi="Arial"/>
                <w:b/>
                <w:sz w:val="20"/>
              </w:rPr>
              <w:t>BMD1Std (BMDL1std–BMDU1std) in mg/kg</w:t>
            </w:r>
          </w:p>
        </w:tc>
        <w:tc>
          <w:tcPr>
            <w:tcW w:type="dxa" w:w="1560"/>
            <w:tcBorders>
              <w:bottom w:val="single" w:sz="8" w:space="0" w:color="000000"/>
            </w:tcBorders>
          </w:tcPr>
          <w:p>
            <w:r>
              <w:rPr>
                <w:rFonts w:ascii="Arial" w:hAnsi="Arial"/>
                <w:b/>
                <w:sz w:val="20"/>
              </w:rPr>
              <w:t>Maximum Fold Change</w:t>
            </w:r>
          </w:p>
        </w:tc>
        <w:tc>
          <w:tcPr>
            <w:tcW w:type="dxa" w:w="1560"/>
            <w:tcBorders>
              <w:bottom w:val="single" w:sz="8" w:space="0" w:color="000000"/>
            </w:tcBorders>
          </w:tcPr>
          <w:p>
            <w:r>
              <w:rPr>
                <w:rFonts w:ascii="Arial" w:hAnsi="Arial"/>
                <w:b/>
                <w:sz w:val="20"/>
              </w:rPr>
              <w:t>Direction of Expression Change</w:t>
            </w:r>
          </w:p>
        </w:tc>
      </w:tr>
      <w:tr>
        <w:tc>
          <w:tcPr>
            <w:tcW w:type="dxa" w:w="9360"/>
            <w:gridSpan w:val="6"/>
          </w:tcPr>
          <w:p>
            <w:r>
              <w:rPr>
                <w:b/>
                <w:sz w:val="20"/>
              </w:rPr>
              <w:t>Male</w:t>
            </w:r>
          </w:p>
        </w:tc>
      </w:tr>
      <w:tr>
        <w:tc>
          <w:tcPr>
            <w:tcW w:type="dxa" w:w="1560"/>
          </w:tcPr>
          <w:p>
            <w:r>
              <w:rPr>
                <w:sz w:val="20"/>
              </w:rPr>
              <w:t>EGR1</w:t>
            </w:r>
          </w:p>
        </w:tc>
        <w:tc>
          <w:tcPr>
            <w:tcW w:type="dxa" w:w="1560"/>
          </w:tcPr>
          <w:p>
            <w:r>
              <w:rPr>
                <w:sz w:val="20"/>
              </w:rPr>
              <w:t>—</w:t>
            </w:r>
          </w:p>
        </w:tc>
        <w:tc>
          <w:tcPr>
            <w:tcW w:type="dxa" w:w="1560"/>
          </w:tcPr>
          <w:p>
            <w:r>
              <w:rPr>
                <w:sz w:val="20"/>
              </w:rPr>
              <w:t>EGR1_8533</w:t>
            </w:r>
          </w:p>
        </w:tc>
        <w:tc>
          <w:tcPr>
            <w:tcW w:type="dxa" w:w="1560"/>
          </w:tcPr>
          <w:p>
            <w:r>
              <w:rPr>
                <w:sz w:val="20"/>
              </w:rPr>
              <w:t>0.139 (0.033–9.753)</w:t>
            </w:r>
          </w:p>
        </w:tc>
        <w:tc>
          <w:tcPr>
            <w:tcW w:type="dxa" w:w="1560"/>
          </w:tcPr>
          <w:p>
            <w:r>
              <w:rPr>
                <w:sz w:val="20"/>
              </w:rPr>
              <w:t>1.7</w:t>
            </w:r>
          </w:p>
        </w:tc>
        <w:tc>
          <w:tcPr>
            <w:tcW w:type="dxa" w:w="1560"/>
          </w:tcPr>
          <w:p>
            <w:r>
              <w:rPr>
                <w:sz w:val="20"/>
              </w:rPr>
              <w:t>DOWN</w:t>
            </w:r>
          </w:p>
        </w:tc>
      </w:tr>
      <w:tr>
        <w:tc>
          <w:tcPr>
            <w:tcW w:type="dxa" w:w="1560"/>
          </w:tcPr>
          <w:p>
            <w:r>
              <w:rPr>
                <w:sz w:val="20"/>
              </w:rPr>
              <w:t>DDIT4</w:t>
            </w:r>
          </w:p>
        </w:tc>
        <w:tc>
          <w:tcPr>
            <w:tcW w:type="dxa" w:w="1560"/>
          </w:tcPr>
          <w:p>
            <w:r>
              <w:rPr>
                <w:sz w:val="20"/>
              </w:rPr>
              <w:t>—</w:t>
            </w:r>
          </w:p>
        </w:tc>
        <w:tc>
          <w:tcPr>
            <w:tcW w:type="dxa" w:w="1560"/>
          </w:tcPr>
          <w:p>
            <w:r>
              <w:rPr>
                <w:sz w:val="20"/>
              </w:rPr>
              <w:t>DDIT4_8450</w:t>
            </w:r>
          </w:p>
        </w:tc>
        <w:tc>
          <w:tcPr>
            <w:tcW w:type="dxa" w:w="1560"/>
          </w:tcPr>
          <w:p>
            <w:r>
              <w:rPr>
                <w:sz w:val="20"/>
              </w:rPr>
              <w:t>0.327 (0.044)</w:t>
            </w:r>
          </w:p>
        </w:tc>
        <w:tc>
          <w:tcPr>
            <w:tcW w:type="dxa" w:w="1560"/>
          </w:tcPr>
          <w:p>
            <w:r>
              <w:rPr>
                <w:sz w:val="20"/>
              </w:rPr>
              <w:t>1.4</w:t>
            </w:r>
          </w:p>
        </w:tc>
        <w:tc>
          <w:tcPr>
            <w:tcW w:type="dxa" w:w="1560"/>
          </w:tcPr>
          <w:p>
            <w:r>
              <w:rPr>
                <w:sz w:val="20"/>
              </w:rPr>
              <w:t>DOWN</w:t>
            </w:r>
          </w:p>
        </w:tc>
      </w:tr>
      <w:tr>
        <w:tc>
          <w:tcPr>
            <w:tcW w:type="dxa" w:w="1560"/>
          </w:tcPr>
          <w:p>
            <w:r>
              <w:rPr>
                <w:sz w:val="20"/>
              </w:rPr>
              <w:t>LOC100911814</w:t>
            </w:r>
          </w:p>
        </w:tc>
        <w:tc>
          <w:tcPr>
            <w:tcW w:type="dxa" w:w="1560"/>
          </w:tcPr>
          <w:p>
            <w:r>
              <w:rPr>
                <w:sz w:val="20"/>
              </w:rPr>
              <w:t>—</w:t>
            </w:r>
          </w:p>
        </w:tc>
        <w:tc>
          <w:tcPr>
            <w:tcW w:type="dxa" w:w="1560"/>
          </w:tcPr>
          <w:p>
            <w:r>
              <w:rPr>
                <w:sz w:val="20"/>
              </w:rPr>
              <w:t>LOC100911814_9091</w:t>
            </w:r>
          </w:p>
        </w:tc>
        <w:tc>
          <w:tcPr>
            <w:tcW w:type="dxa" w:w="1560"/>
          </w:tcPr>
          <w:p>
            <w:r>
              <w:rPr>
                <w:sz w:val="20"/>
              </w:rPr>
              <w:t>0.351 (0.081–2.216)</w:t>
            </w:r>
          </w:p>
        </w:tc>
        <w:tc>
          <w:tcPr>
            <w:tcW w:type="dxa" w:w="1560"/>
          </w:tcPr>
          <w:p>
            <w:r>
              <w:rPr>
                <w:sz w:val="20"/>
              </w:rPr>
              <w:t>2.4</w:t>
            </w:r>
          </w:p>
        </w:tc>
        <w:tc>
          <w:tcPr>
            <w:tcW w:type="dxa" w:w="1560"/>
          </w:tcPr>
          <w:p>
            <w:r>
              <w:rPr>
                <w:sz w:val="20"/>
              </w:rPr>
              <w:t>DOWN</w:t>
            </w:r>
          </w:p>
        </w:tc>
      </w:tr>
      <w:tr>
        <w:tc>
          <w:tcPr>
            <w:tcW w:type="dxa" w:w="1560"/>
          </w:tcPr>
          <w:p>
            <w:r>
              <w:rPr>
                <w:sz w:val="20"/>
              </w:rPr>
              <w:t>CEBPD</w:t>
            </w:r>
          </w:p>
        </w:tc>
        <w:tc>
          <w:tcPr>
            <w:tcW w:type="dxa" w:w="1560"/>
          </w:tcPr>
          <w:p>
            <w:r>
              <w:rPr>
                <w:sz w:val="20"/>
              </w:rPr>
              <w:t>—</w:t>
            </w:r>
          </w:p>
        </w:tc>
        <w:tc>
          <w:tcPr>
            <w:tcW w:type="dxa" w:w="1560"/>
          </w:tcPr>
          <w:p>
            <w:r>
              <w:rPr>
                <w:sz w:val="20"/>
              </w:rPr>
              <w:t>CEBPD_8283</w:t>
            </w:r>
          </w:p>
        </w:tc>
        <w:tc>
          <w:tcPr>
            <w:tcW w:type="dxa" w:w="1560"/>
          </w:tcPr>
          <w:p>
            <w:r>
              <w:rPr>
                <w:sz w:val="20"/>
              </w:rPr>
              <w:t>0.672 (0.202–2.381)</w:t>
            </w:r>
          </w:p>
        </w:tc>
        <w:tc>
          <w:tcPr>
            <w:tcW w:type="dxa" w:w="1560"/>
          </w:tcPr>
          <w:p>
            <w:r>
              <w:rPr>
                <w:sz w:val="20"/>
              </w:rPr>
              <w:t>1.5</w:t>
            </w:r>
          </w:p>
        </w:tc>
        <w:tc>
          <w:tcPr>
            <w:tcW w:type="dxa" w:w="1560"/>
          </w:tcPr>
          <w:p>
            <w:r>
              <w:rPr>
                <w:sz w:val="20"/>
              </w:rPr>
              <w:t>DOWN</w:t>
            </w:r>
          </w:p>
        </w:tc>
      </w:tr>
      <w:tr>
        <w:tc>
          <w:tcPr>
            <w:tcW w:type="dxa" w:w="1560"/>
          </w:tcPr>
          <w:p>
            <w:r>
              <w:rPr>
                <w:sz w:val="20"/>
              </w:rPr>
              <w:t>ZFP354A</w:t>
            </w:r>
          </w:p>
        </w:tc>
        <w:tc>
          <w:tcPr>
            <w:tcW w:type="dxa" w:w="1560"/>
          </w:tcPr>
          <w:p>
            <w:r>
              <w:rPr>
                <w:sz w:val="20"/>
              </w:rPr>
              <w:t>—</w:t>
            </w:r>
          </w:p>
        </w:tc>
        <w:tc>
          <w:tcPr>
            <w:tcW w:type="dxa" w:w="1560"/>
          </w:tcPr>
          <w:p>
            <w:r>
              <w:rPr>
                <w:sz w:val="20"/>
              </w:rPr>
              <w:t>ZFP354A_10203</w:t>
            </w:r>
          </w:p>
        </w:tc>
        <w:tc>
          <w:tcPr>
            <w:tcW w:type="dxa" w:w="1560"/>
          </w:tcPr>
          <w:p>
            <w:r>
              <w:rPr>
                <w:sz w:val="20"/>
              </w:rPr>
              <w:t>1.344 (0.676–3.299)</w:t>
            </w:r>
          </w:p>
        </w:tc>
        <w:tc>
          <w:tcPr>
            <w:tcW w:type="dxa" w:w="1560"/>
          </w:tcPr>
          <w:p>
            <w:r>
              <w:rPr>
                <w:sz w:val="20"/>
              </w:rPr>
              <w:t>2.0</w:t>
            </w:r>
          </w:p>
        </w:tc>
        <w:tc>
          <w:tcPr>
            <w:tcW w:type="dxa" w:w="1560"/>
          </w:tcPr>
          <w:p>
            <w:r>
              <w:rPr>
                <w:sz w:val="20"/>
              </w:rPr>
              <w:t>DOWN</w:t>
            </w:r>
          </w:p>
        </w:tc>
      </w:tr>
      <w:tr>
        <w:tc>
          <w:tcPr>
            <w:tcW w:type="dxa" w:w="1560"/>
          </w:tcPr>
          <w:p>
            <w:r>
              <w:rPr>
                <w:sz w:val="20"/>
              </w:rPr>
              <w:t>CH25H</w:t>
            </w:r>
          </w:p>
        </w:tc>
        <w:tc>
          <w:tcPr>
            <w:tcW w:type="dxa" w:w="1560"/>
          </w:tcPr>
          <w:p>
            <w:r>
              <w:rPr>
                <w:sz w:val="20"/>
              </w:rPr>
              <w:t>—</w:t>
            </w:r>
          </w:p>
        </w:tc>
        <w:tc>
          <w:tcPr>
            <w:tcW w:type="dxa" w:w="1560"/>
          </w:tcPr>
          <w:p>
            <w:r>
              <w:rPr>
                <w:sz w:val="20"/>
              </w:rPr>
              <w:t>CH25H_32637</w:t>
            </w:r>
          </w:p>
        </w:tc>
        <w:tc>
          <w:tcPr>
            <w:tcW w:type="dxa" w:w="1560"/>
          </w:tcPr>
          <w:p>
            <w:r>
              <w:rPr>
                <w:sz w:val="20"/>
              </w:rPr>
              <w:t>2.955 (0.226–27.102)</w:t>
            </w:r>
          </w:p>
        </w:tc>
        <w:tc>
          <w:tcPr>
            <w:tcW w:type="dxa" w:w="1560"/>
          </w:tcPr>
          <w:p>
            <w:r>
              <w:rPr>
                <w:sz w:val="20"/>
              </w:rPr>
              <w:t>1.8</w:t>
            </w:r>
          </w:p>
        </w:tc>
        <w:tc>
          <w:tcPr>
            <w:tcW w:type="dxa" w:w="1560"/>
          </w:tcPr>
          <w:p>
            <w:r>
              <w:rPr>
                <w:sz w:val="20"/>
              </w:rPr>
              <w:t>DOWN</w:t>
            </w:r>
          </w:p>
        </w:tc>
      </w:tr>
      <w:tr>
        <w:tc>
          <w:tcPr>
            <w:tcW w:type="dxa" w:w="1560"/>
          </w:tcPr>
          <w:p>
            <w:r>
              <w:rPr>
                <w:sz w:val="20"/>
              </w:rPr>
              <w:t>PLK3</w:t>
            </w:r>
          </w:p>
        </w:tc>
        <w:tc>
          <w:tcPr>
            <w:tcW w:type="dxa" w:w="1560"/>
          </w:tcPr>
          <w:p>
            <w:r>
              <w:rPr>
                <w:sz w:val="20"/>
              </w:rPr>
              <w:t>—</w:t>
            </w:r>
          </w:p>
        </w:tc>
        <w:tc>
          <w:tcPr>
            <w:tcW w:type="dxa" w:w="1560"/>
          </w:tcPr>
          <w:p>
            <w:r>
              <w:rPr>
                <w:sz w:val="20"/>
              </w:rPr>
              <w:t>PLK3_32627</w:t>
            </w:r>
          </w:p>
        </w:tc>
        <w:tc>
          <w:tcPr>
            <w:tcW w:type="dxa" w:w="1560"/>
          </w:tcPr>
          <w:p>
            <w:r>
              <w:rPr>
                <w:sz w:val="20"/>
              </w:rPr>
              <w:t>3.843 (0.414–59.687)</w:t>
            </w:r>
          </w:p>
        </w:tc>
        <w:tc>
          <w:tcPr>
            <w:tcW w:type="dxa" w:w="1560"/>
          </w:tcPr>
          <w:p>
            <w:r>
              <w:rPr>
                <w:sz w:val="20"/>
              </w:rPr>
              <w:t>1.7</w:t>
            </w:r>
          </w:p>
        </w:tc>
        <w:tc>
          <w:tcPr>
            <w:tcW w:type="dxa" w:w="1560"/>
          </w:tcPr>
          <w:p>
            <w:r>
              <w:rPr>
                <w:sz w:val="20"/>
              </w:rPr>
              <w:t>DOWN</w:t>
            </w:r>
          </w:p>
        </w:tc>
      </w:tr>
      <w:tr>
        <w:tc>
          <w:tcPr>
            <w:tcW w:type="dxa" w:w="1560"/>
          </w:tcPr>
          <w:p>
            <w:r>
              <w:rPr>
                <w:sz w:val="20"/>
              </w:rPr>
              <w:t>TG</w:t>
            </w:r>
          </w:p>
        </w:tc>
        <w:tc>
          <w:tcPr>
            <w:tcW w:type="dxa" w:w="1560"/>
          </w:tcPr>
          <w:p>
            <w:r>
              <w:rPr>
                <w:sz w:val="20"/>
              </w:rPr>
              <w:t>—</w:t>
            </w:r>
          </w:p>
        </w:tc>
        <w:tc>
          <w:tcPr>
            <w:tcW w:type="dxa" w:w="1560"/>
          </w:tcPr>
          <w:p>
            <w:r>
              <w:rPr>
                <w:sz w:val="20"/>
              </w:rPr>
              <w:t>TG_32506</w:t>
            </w:r>
          </w:p>
        </w:tc>
        <w:tc>
          <w:tcPr>
            <w:tcW w:type="dxa" w:w="1560"/>
          </w:tcPr>
          <w:p>
            <w:r>
              <w:rPr>
                <w:sz w:val="20"/>
              </w:rPr>
              <w:t>6.014 (1.243–90.986)</w:t>
            </w:r>
          </w:p>
        </w:tc>
        <w:tc>
          <w:tcPr>
            <w:tcW w:type="dxa" w:w="1560"/>
          </w:tcPr>
          <w:p>
            <w:r>
              <w:rPr>
                <w:sz w:val="20"/>
              </w:rPr>
              <w:t>1.5</w:t>
            </w:r>
          </w:p>
        </w:tc>
        <w:tc>
          <w:tcPr>
            <w:tcW w:type="dxa" w:w="1560"/>
          </w:tcPr>
          <w:p>
            <w:r>
              <w:rPr>
                <w:sz w:val="20"/>
              </w:rPr>
              <w:t>DOWN</w:t>
            </w:r>
          </w:p>
        </w:tc>
      </w:tr>
      <w:tr>
        <w:tc>
          <w:tcPr>
            <w:tcW w:type="dxa" w:w="1560"/>
          </w:tcPr>
          <w:p>
            <w:r>
              <w:rPr>
                <w:sz w:val="20"/>
              </w:rPr>
              <w:t>SREBF1</w:t>
            </w:r>
          </w:p>
        </w:tc>
        <w:tc>
          <w:tcPr>
            <w:tcW w:type="dxa" w:w="1560"/>
          </w:tcPr>
          <w:p>
            <w:r>
              <w:rPr>
                <w:sz w:val="20"/>
              </w:rPr>
              <w:t>—</w:t>
            </w:r>
          </w:p>
        </w:tc>
        <w:tc>
          <w:tcPr>
            <w:tcW w:type="dxa" w:w="1560"/>
          </w:tcPr>
          <w:p>
            <w:r>
              <w:rPr>
                <w:sz w:val="20"/>
              </w:rPr>
              <w:t>SREBF1_32750</w:t>
            </w:r>
          </w:p>
        </w:tc>
        <w:tc>
          <w:tcPr>
            <w:tcW w:type="dxa" w:w="1560"/>
          </w:tcPr>
          <w:p>
            <w:r>
              <w:rPr>
                <w:sz w:val="20"/>
              </w:rPr>
              <w:t>7.340 (6.383–10.246)</w:t>
            </w:r>
          </w:p>
        </w:tc>
        <w:tc>
          <w:tcPr>
            <w:tcW w:type="dxa" w:w="1560"/>
          </w:tcPr>
          <w:p>
            <w:r>
              <w:rPr>
                <w:sz w:val="20"/>
              </w:rPr>
              <w:t>3.8</w:t>
            </w:r>
          </w:p>
        </w:tc>
        <w:tc>
          <w:tcPr>
            <w:tcW w:type="dxa" w:w="1560"/>
          </w:tcPr>
          <w:p>
            <w:r>
              <w:rPr>
                <w:sz w:val="20"/>
              </w:rPr>
              <w:t>UP</w:t>
            </w:r>
          </w:p>
        </w:tc>
      </w:tr>
      <w:tr>
        <w:tc>
          <w:tcPr>
            <w:tcW w:type="dxa" w:w="1560"/>
          </w:tcPr>
          <w:p>
            <w:r>
              <w:rPr>
                <w:sz w:val="20"/>
              </w:rPr>
              <w:t>LAMA3</w:t>
            </w:r>
          </w:p>
        </w:tc>
        <w:tc>
          <w:tcPr>
            <w:tcW w:type="dxa" w:w="1560"/>
          </w:tcPr>
          <w:p>
            <w:r>
              <w:rPr>
                <w:sz w:val="20"/>
              </w:rPr>
              <w:t>—</w:t>
            </w:r>
          </w:p>
        </w:tc>
        <w:tc>
          <w:tcPr>
            <w:tcW w:type="dxa" w:w="1560"/>
          </w:tcPr>
          <w:p>
            <w:r>
              <w:rPr>
                <w:sz w:val="20"/>
              </w:rPr>
              <w:t>LAMA3_8980</w:t>
            </w:r>
          </w:p>
        </w:tc>
        <w:tc>
          <w:tcPr>
            <w:tcW w:type="dxa" w:w="1560"/>
          </w:tcPr>
          <w:p>
            <w:r>
              <w:rPr>
                <w:sz w:val="20"/>
              </w:rPr>
              <w:t>8.209 (3.530–19.401)</w:t>
            </w:r>
          </w:p>
        </w:tc>
        <w:tc>
          <w:tcPr>
            <w:tcW w:type="dxa" w:w="1560"/>
          </w:tcPr>
          <w:p>
            <w:r>
              <w:rPr>
                <w:sz w:val="20"/>
              </w:rPr>
              <w:t>1.5</w:t>
            </w:r>
          </w:p>
        </w:tc>
        <w:tc>
          <w:tcPr>
            <w:tcW w:type="dxa" w:w="1560"/>
          </w:tcPr>
          <w:p>
            <w:r>
              <w:rPr>
                <w:sz w:val="20"/>
              </w:rPr>
              <w:t>UP</w:t>
            </w:r>
          </w:p>
        </w:tc>
      </w:tr>
      <w:tr>
        <w:tc>
          <w:tcPr>
            <w:tcW w:type="dxa" w:w="9360"/>
            <w:gridSpan w:val="6"/>
          </w:tcPr>
          <w:p>
            <w:r>
              <w:rPr>
                <w:b/>
                <w:sz w:val="20"/>
              </w:rPr>
              <w:t>Female</w:t>
            </w:r>
          </w:p>
        </w:tc>
      </w:tr>
      <w:tr>
        <w:tc>
          <w:tcPr>
            <w:tcW w:type="dxa" w:w="1560"/>
          </w:tcPr>
          <w:p>
            <w:r>
              <w:rPr>
                <w:sz w:val="20"/>
              </w:rPr>
              <w:t>TNNI1</w:t>
            </w:r>
          </w:p>
        </w:tc>
        <w:tc>
          <w:tcPr>
            <w:tcW w:type="dxa" w:w="1560"/>
          </w:tcPr>
          <w:p>
            <w:r>
              <w:rPr>
                <w:sz w:val="20"/>
              </w:rPr>
              <w:t>—</w:t>
            </w:r>
          </w:p>
        </w:tc>
        <w:tc>
          <w:tcPr>
            <w:tcW w:type="dxa" w:w="1560"/>
          </w:tcPr>
          <w:p>
            <w:r>
              <w:rPr>
                <w:sz w:val="20"/>
              </w:rPr>
              <w:t>TNNI1_33096</w:t>
            </w:r>
          </w:p>
        </w:tc>
        <w:tc>
          <w:tcPr>
            <w:tcW w:type="dxa" w:w="1560"/>
          </w:tcPr>
          <w:p>
            <w:r>
              <w:rPr>
                <w:sz w:val="20"/>
              </w:rPr>
              <w:t>0.391 (0.058–2403.623)</w:t>
            </w:r>
          </w:p>
        </w:tc>
        <w:tc>
          <w:tcPr>
            <w:tcW w:type="dxa" w:w="1560"/>
          </w:tcPr>
          <w:p>
            <w:r>
              <w:rPr>
                <w:sz w:val="20"/>
              </w:rPr>
              <w:t>1.4</w:t>
            </w:r>
          </w:p>
        </w:tc>
        <w:tc>
          <w:tcPr>
            <w:tcW w:type="dxa" w:w="1560"/>
          </w:tcPr>
          <w:p>
            <w:r>
              <w:rPr>
                <w:sz w:val="20"/>
              </w:rPr>
              <w:t>UP</w:t>
            </w:r>
          </w:p>
        </w:tc>
      </w:tr>
      <w:tr>
        <w:tc>
          <w:tcPr>
            <w:tcW w:type="dxa" w:w="1560"/>
          </w:tcPr>
          <w:p>
            <w:r>
              <w:rPr>
                <w:sz w:val="20"/>
              </w:rPr>
              <w:t>CDKN3</w:t>
            </w:r>
          </w:p>
        </w:tc>
        <w:tc>
          <w:tcPr>
            <w:tcW w:type="dxa" w:w="1560"/>
          </w:tcPr>
          <w:p>
            <w:r>
              <w:rPr>
                <w:sz w:val="20"/>
              </w:rPr>
              <w:t>—</w:t>
            </w:r>
          </w:p>
        </w:tc>
        <w:tc>
          <w:tcPr>
            <w:tcW w:type="dxa" w:w="1560"/>
          </w:tcPr>
          <w:p>
            <w:r>
              <w:rPr>
                <w:sz w:val="20"/>
              </w:rPr>
              <w:t>CDKN3_8274</w:t>
            </w:r>
          </w:p>
        </w:tc>
        <w:tc>
          <w:tcPr>
            <w:tcW w:type="dxa" w:w="1560"/>
          </w:tcPr>
          <w:p>
            <w:r>
              <w:rPr>
                <w:sz w:val="20"/>
              </w:rPr>
              <w:t>1.101 (0.326–4.305)</w:t>
            </w:r>
          </w:p>
        </w:tc>
        <w:tc>
          <w:tcPr>
            <w:tcW w:type="dxa" w:w="1560"/>
          </w:tcPr>
          <w:p>
            <w:r>
              <w:rPr>
                <w:sz w:val="20"/>
              </w:rPr>
              <w:t>1.8</w:t>
            </w:r>
          </w:p>
        </w:tc>
        <w:tc>
          <w:tcPr>
            <w:tcW w:type="dxa" w:w="1560"/>
          </w:tcPr>
          <w:p>
            <w:r>
              <w:rPr>
                <w:sz w:val="20"/>
              </w:rPr>
              <w:t>UP</w:t>
            </w:r>
          </w:p>
        </w:tc>
      </w:tr>
      <w:tr>
        <w:tc>
          <w:tcPr>
            <w:tcW w:type="dxa" w:w="1560"/>
          </w:tcPr>
          <w:p>
            <w:r>
              <w:rPr>
                <w:sz w:val="20"/>
              </w:rPr>
              <w:t>CKAP2</w:t>
            </w:r>
          </w:p>
        </w:tc>
        <w:tc>
          <w:tcPr>
            <w:tcW w:type="dxa" w:w="1560"/>
          </w:tcPr>
          <w:p>
            <w:r>
              <w:rPr>
                <w:sz w:val="20"/>
              </w:rPr>
              <w:t>—</w:t>
            </w:r>
          </w:p>
        </w:tc>
        <w:tc>
          <w:tcPr>
            <w:tcW w:type="dxa" w:w="1560"/>
          </w:tcPr>
          <w:p>
            <w:r>
              <w:rPr>
                <w:sz w:val="20"/>
              </w:rPr>
              <w:t>CKAP2_8324</w:t>
            </w:r>
          </w:p>
        </w:tc>
        <w:tc>
          <w:tcPr>
            <w:tcW w:type="dxa" w:w="1560"/>
          </w:tcPr>
          <w:p>
            <w:r>
              <w:rPr>
                <w:sz w:val="20"/>
              </w:rPr>
              <w:t>1.383 (0.317–6.469)</w:t>
            </w:r>
          </w:p>
        </w:tc>
        <w:tc>
          <w:tcPr>
            <w:tcW w:type="dxa" w:w="1560"/>
          </w:tcPr>
          <w:p>
            <w:r>
              <w:rPr>
                <w:sz w:val="20"/>
              </w:rPr>
              <w:t>1.9</w:t>
            </w:r>
          </w:p>
        </w:tc>
        <w:tc>
          <w:tcPr>
            <w:tcW w:type="dxa" w:w="1560"/>
          </w:tcPr>
          <w:p>
            <w:r>
              <w:rPr>
                <w:sz w:val="20"/>
              </w:rPr>
              <w:t>UP</w:t>
            </w:r>
          </w:p>
        </w:tc>
      </w:tr>
      <w:tr>
        <w:tc>
          <w:tcPr>
            <w:tcW w:type="dxa" w:w="1560"/>
          </w:tcPr>
          <w:p>
            <w:r>
              <w:rPr>
                <w:sz w:val="20"/>
              </w:rPr>
              <w:t>CDCA3</w:t>
            </w:r>
          </w:p>
        </w:tc>
        <w:tc>
          <w:tcPr>
            <w:tcW w:type="dxa" w:w="1560"/>
          </w:tcPr>
          <w:p>
            <w:r>
              <w:rPr>
                <w:sz w:val="20"/>
              </w:rPr>
              <w:t>—</w:t>
            </w:r>
          </w:p>
        </w:tc>
        <w:tc>
          <w:tcPr>
            <w:tcW w:type="dxa" w:w="1560"/>
          </w:tcPr>
          <w:p>
            <w:r>
              <w:rPr>
                <w:sz w:val="20"/>
              </w:rPr>
              <w:t>CDCA3_8260</w:t>
            </w:r>
          </w:p>
        </w:tc>
        <w:tc>
          <w:tcPr>
            <w:tcW w:type="dxa" w:w="1560"/>
          </w:tcPr>
          <w:p>
            <w:r>
              <w:rPr>
                <w:sz w:val="20"/>
              </w:rPr>
              <w:t>1.409 (0.421–103.587)</w:t>
            </w:r>
          </w:p>
        </w:tc>
        <w:tc>
          <w:tcPr>
            <w:tcW w:type="dxa" w:w="1560"/>
          </w:tcPr>
          <w:p>
            <w:r>
              <w:rPr>
                <w:sz w:val="20"/>
              </w:rPr>
              <w:t>2.0</w:t>
            </w:r>
          </w:p>
        </w:tc>
        <w:tc>
          <w:tcPr>
            <w:tcW w:type="dxa" w:w="1560"/>
          </w:tcPr>
          <w:p>
            <w:r>
              <w:rPr>
                <w:sz w:val="20"/>
              </w:rPr>
              <w:t>UP</w:t>
            </w:r>
          </w:p>
        </w:tc>
      </w:tr>
      <w:tr>
        <w:tc>
          <w:tcPr>
            <w:tcW w:type="dxa" w:w="1560"/>
          </w:tcPr>
          <w:p>
            <w:r>
              <w:rPr>
                <w:sz w:val="20"/>
              </w:rPr>
              <w:t>RACGAP1</w:t>
            </w:r>
          </w:p>
        </w:tc>
        <w:tc>
          <w:tcPr>
            <w:tcW w:type="dxa" w:w="1560"/>
          </w:tcPr>
          <w:p>
            <w:r>
              <w:rPr>
                <w:sz w:val="20"/>
              </w:rPr>
              <w:t>—</w:t>
            </w:r>
          </w:p>
        </w:tc>
        <w:tc>
          <w:tcPr>
            <w:tcW w:type="dxa" w:w="1560"/>
          </w:tcPr>
          <w:p>
            <w:r>
              <w:rPr>
                <w:sz w:val="20"/>
              </w:rPr>
              <w:t>RACGAP1_9647</w:t>
            </w:r>
          </w:p>
        </w:tc>
        <w:tc>
          <w:tcPr>
            <w:tcW w:type="dxa" w:w="1560"/>
          </w:tcPr>
          <w:p>
            <w:r>
              <w:rPr>
                <w:sz w:val="20"/>
              </w:rPr>
              <w:t>2.081 (0.239–359.725)</w:t>
            </w:r>
          </w:p>
        </w:tc>
        <w:tc>
          <w:tcPr>
            <w:tcW w:type="dxa" w:w="1560"/>
          </w:tcPr>
          <w:p>
            <w:r>
              <w:rPr>
                <w:sz w:val="20"/>
              </w:rPr>
              <w:t>1.5</w:t>
            </w:r>
          </w:p>
        </w:tc>
        <w:tc>
          <w:tcPr>
            <w:tcW w:type="dxa" w:w="1560"/>
          </w:tcPr>
          <w:p>
            <w:r>
              <w:rPr>
                <w:sz w:val="20"/>
              </w:rPr>
              <w:t>UP</w:t>
            </w:r>
          </w:p>
        </w:tc>
      </w:tr>
      <w:tr>
        <w:tc>
          <w:tcPr>
            <w:tcW w:type="dxa" w:w="1560"/>
          </w:tcPr>
          <w:p>
            <w:r>
              <w:rPr>
                <w:sz w:val="20"/>
              </w:rPr>
              <w:t>CCNB2</w:t>
            </w:r>
          </w:p>
        </w:tc>
        <w:tc>
          <w:tcPr>
            <w:tcW w:type="dxa" w:w="1560"/>
          </w:tcPr>
          <w:p>
            <w:r>
              <w:rPr>
                <w:sz w:val="20"/>
              </w:rPr>
              <w:t>—</w:t>
            </w:r>
          </w:p>
        </w:tc>
        <w:tc>
          <w:tcPr>
            <w:tcW w:type="dxa" w:w="1560"/>
          </w:tcPr>
          <w:p>
            <w:r>
              <w:rPr>
                <w:sz w:val="20"/>
              </w:rPr>
              <w:t>CCNB2_8223</w:t>
            </w:r>
          </w:p>
        </w:tc>
        <w:tc>
          <w:tcPr>
            <w:tcW w:type="dxa" w:w="1560"/>
          </w:tcPr>
          <w:p>
            <w:r>
              <w:rPr>
                <w:sz w:val="20"/>
              </w:rPr>
              <w:t>2.139 (0.477–267.135)</w:t>
            </w:r>
          </w:p>
        </w:tc>
        <w:tc>
          <w:tcPr>
            <w:tcW w:type="dxa" w:w="1560"/>
          </w:tcPr>
          <w:p>
            <w:r>
              <w:rPr>
                <w:sz w:val="20"/>
              </w:rPr>
              <w:t>1.7</w:t>
            </w:r>
          </w:p>
        </w:tc>
        <w:tc>
          <w:tcPr>
            <w:tcW w:type="dxa" w:w="1560"/>
          </w:tcPr>
          <w:p>
            <w:r>
              <w:rPr>
                <w:sz w:val="20"/>
              </w:rPr>
              <w:t>UP</w:t>
            </w:r>
          </w:p>
        </w:tc>
      </w:tr>
      <w:tr>
        <w:tc>
          <w:tcPr>
            <w:tcW w:type="dxa" w:w="1560"/>
          </w:tcPr>
          <w:p>
            <w:r>
              <w:rPr>
                <w:sz w:val="20"/>
              </w:rPr>
              <w:t>KIF18B</w:t>
            </w:r>
          </w:p>
        </w:tc>
        <w:tc>
          <w:tcPr>
            <w:tcW w:type="dxa" w:w="1560"/>
          </w:tcPr>
          <w:p>
            <w:r>
              <w:rPr>
                <w:sz w:val="20"/>
              </w:rPr>
              <w:t>—</w:t>
            </w:r>
          </w:p>
        </w:tc>
        <w:tc>
          <w:tcPr>
            <w:tcW w:type="dxa" w:w="1560"/>
          </w:tcPr>
          <w:p>
            <w:r>
              <w:rPr>
                <w:sz w:val="20"/>
              </w:rPr>
              <w:t>KIF18B_32882</w:t>
            </w:r>
          </w:p>
        </w:tc>
        <w:tc>
          <w:tcPr>
            <w:tcW w:type="dxa" w:w="1560"/>
          </w:tcPr>
          <w:p>
            <w:r>
              <w:rPr>
                <w:sz w:val="20"/>
              </w:rPr>
              <w:t>2.428 (0.543–9.898)</w:t>
            </w:r>
          </w:p>
        </w:tc>
        <w:tc>
          <w:tcPr>
            <w:tcW w:type="dxa" w:w="1560"/>
          </w:tcPr>
          <w:p>
            <w:r>
              <w:rPr>
                <w:sz w:val="20"/>
              </w:rPr>
              <w:t>1.6</w:t>
            </w:r>
          </w:p>
        </w:tc>
        <w:tc>
          <w:tcPr>
            <w:tcW w:type="dxa" w:w="1560"/>
          </w:tcPr>
          <w:p>
            <w:r>
              <w:rPr>
                <w:sz w:val="20"/>
              </w:rPr>
              <w:t>UP</w:t>
            </w:r>
          </w:p>
        </w:tc>
      </w:tr>
      <w:tr>
        <w:tc>
          <w:tcPr>
            <w:tcW w:type="dxa" w:w="1560"/>
          </w:tcPr>
          <w:p>
            <w:r>
              <w:rPr>
                <w:sz w:val="20"/>
              </w:rPr>
              <w:t>CEBPD</w:t>
            </w:r>
          </w:p>
        </w:tc>
        <w:tc>
          <w:tcPr>
            <w:tcW w:type="dxa" w:w="1560"/>
          </w:tcPr>
          <w:p>
            <w:r>
              <w:rPr>
                <w:sz w:val="20"/>
              </w:rPr>
              <w:t>—</w:t>
            </w:r>
          </w:p>
        </w:tc>
        <w:tc>
          <w:tcPr>
            <w:tcW w:type="dxa" w:w="1560"/>
          </w:tcPr>
          <w:p>
            <w:r>
              <w:rPr>
                <w:sz w:val="20"/>
              </w:rPr>
              <w:t>CEBPD_8283</w:t>
            </w:r>
          </w:p>
        </w:tc>
        <w:tc>
          <w:tcPr>
            <w:tcW w:type="dxa" w:w="1560"/>
          </w:tcPr>
          <w:p>
            <w:r>
              <w:rPr>
                <w:sz w:val="20"/>
              </w:rPr>
              <w:t>2.661 (0.259–2476.275)</w:t>
            </w:r>
          </w:p>
        </w:tc>
        <w:tc>
          <w:tcPr>
            <w:tcW w:type="dxa" w:w="1560"/>
          </w:tcPr>
          <w:p>
            <w:r>
              <w:rPr>
                <w:sz w:val="20"/>
              </w:rPr>
              <w:t>1.3</w:t>
            </w:r>
          </w:p>
        </w:tc>
        <w:tc>
          <w:tcPr>
            <w:tcW w:type="dxa" w:w="1560"/>
          </w:tcPr>
          <w:p>
            <w:r>
              <w:rPr>
                <w:sz w:val="20"/>
              </w:rPr>
              <w:t>UP</w:t>
            </w:r>
          </w:p>
        </w:tc>
      </w:tr>
      <w:tr>
        <w:tc>
          <w:tcPr>
            <w:tcW w:type="dxa" w:w="1560"/>
          </w:tcPr>
          <w:p>
            <w:r>
              <w:rPr>
                <w:sz w:val="20"/>
              </w:rPr>
              <w:t>UBE2T</w:t>
            </w:r>
          </w:p>
        </w:tc>
        <w:tc>
          <w:tcPr>
            <w:tcW w:type="dxa" w:w="1560"/>
          </w:tcPr>
          <w:p>
            <w:r>
              <w:rPr>
                <w:sz w:val="20"/>
              </w:rPr>
              <w:t>—</w:t>
            </w:r>
          </w:p>
        </w:tc>
        <w:tc>
          <w:tcPr>
            <w:tcW w:type="dxa" w:w="1560"/>
          </w:tcPr>
          <w:p>
            <w:r>
              <w:rPr>
                <w:sz w:val="20"/>
              </w:rPr>
              <w:t>UBE2T_10125</w:t>
            </w:r>
          </w:p>
        </w:tc>
        <w:tc>
          <w:tcPr>
            <w:tcW w:type="dxa" w:w="1560"/>
          </w:tcPr>
          <w:p>
            <w:r>
              <w:rPr>
                <w:sz w:val="20"/>
              </w:rPr>
              <w:t>3.367 (0.716–135.459)</w:t>
            </w:r>
          </w:p>
        </w:tc>
        <w:tc>
          <w:tcPr>
            <w:tcW w:type="dxa" w:w="1560"/>
          </w:tcPr>
          <w:p>
            <w:r>
              <w:rPr>
                <w:sz w:val="20"/>
              </w:rPr>
              <w:t>1.9</w:t>
            </w:r>
          </w:p>
        </w:tc>
        <w:tc>
          <w:tcPr>
            <w:tcW w:type="dxa" w:w="1560"/>
          </w:tcPr>
          <w:p>
            <w:r>
              <w:rPr>
                <w:sz w:val="20"/>
              </w:rPr>
              <w:t>UP</w:t>
            </w:r>
          </w:p>
        </w:tc>
      </w:tr>
      <w:tr>
        <w:tc>
          <w:tcPr>
            <w:tcW w:type="dxa" w:w="1560"/>
          </w:tcPr>
          <w:p>
            <w:r>
              <w:rPr>
                <w:sz w:val="20"/>
              </w:rPr>
              <w:t>CYP2C24</w:t>
            </w:r>
          </w:p>
        </w:tc>
        <w:tc>
          <w:tcPr>
            <w:tcW w:type="dxa" w:w="1560"/>
          </w:tcPr>
          <w:p>
            <w:r>
              <w:rPr>
                <w:sz w:val="20"/>
              </w:rPr>
              <w:t>—</w:t>
            </w:r>
          </w:p>
        </w:tc>
        <w:tc>
          <w:tcPr>
            <w:tcW w:type="dxa" w:w="1560"/>
          </w:tcPr>
          <w:p>
            <w:r>
              <w:rPr>
                <w:sz w:val="20"/>
              </w:rPr>
              <w:t>CYP2C24_32875</w:t>
            </w:r>
          </w:p>
        </w:tc>
        <w:tc>
          <w:tcPr>
            <w:tcW w:type="dxa" w:w="1560"/>
          </w:tcPr>
          <w:p>
            <w:r>
              <w:rPr>
                <w:sz w:val="20"/>
              </w:rPr>
              <w:t>3.416 (0.713–9.730)</w:t>
            </w:r>
          </w:p>
        </w:tc>
        <w:tc>
          <w:tcPr>
            <w:tcW w:type="dxa" w:w="1560"/>
          </w:tcPr>
          <w:p>
            <w:r>
              <w:rPr>
                <w:sz w:val="20"/>
              </w:rPr>
              <w:t>2.0</w:t>
            </w:r>
          </w:p>
        </w:tc>
        <w:tc>
          <w:tcPr>
            <w:tcW w:type="dxa" w:w="1560"/>
          </w:tcPr>
          <w:p>
            <w:r>
              <w:rPr>
                <w:sz w:val="20"/>
              </w:rPr>
              <w:t>DOWN</w:t>
            </w:r>
          </w:p>
        </w:tc>
      </w:tr>
    </w:tbl>
    <w:p>
      <w:pPr>
        <w:pStyle w:val="3-02aHead1NoNumber"/>
        <w:pageBreakBefore/>
        <w:jc w:val="both"/>
      </w:pPr>
      <w:bookmarkStart w:id="35" w:name="_Toc_summary"/>
      <w:r>
        <w:rPr>
          <w:rFonts w:ascii="Times New Roman" w:hAnsi="Times New Roman"/>
        </w:rPr>
        <w:t>Summary</w:t>
      </w:r>
      <w:bookmarkEnd w:id="35"/>
    </w:p>
    <w:p>
      <w:pPr>
        <w:pStyle w:val="0-03Paragraph"/>
        <w:jc w:val="both"/>
      </w:pPr>
      <w:r>
        <w:rPr>
          <w:rFonts w:ascii="Times New Roman" w:hAnsi="Times New Roman"/>
        </w:rPr>
        <w:t>Perfluorohexanesulfonamide (PFHxSA; CASRN 41997-13-1) is a six-carbon perfluoroalkylsulfonamide belonging to the per- and polyfluoroalkyl substances (PFAS) chemical class. As part of the NTP/NIEHS short-term toxicological screening initiative, PFHxSA was evaluated in a 5-day repeat-dose study to characterize its potential hazard across multiple biological levels of organization. Male and female rodents were administered PFHxSA by an appropriate route of exposure across a range of doses, and assessments were conducted at the apical (organismal), pathway (gene set), and molecular (individual gene) levels to enable benchmark dose (BMD) modeling and cross-level concordance analysis.</w:t>
      </w:r>
    </w:p>
    <w:p>
      <w:pPr>
        <w:pStyle w:val="0-03Paragraph"/>
        <w:jc w:val="both"/>
      </w:pPr>
      <w:r>
        <w:rPr>
          <w:rFonts w:ascii="Times New Roman" w:hAnsi="Times New Roman"/>
        </w:rPr>
        <w:t>At the apical level, the most sensitive endpoints were identified based on the lowest BMD estimates derived from dose-response modeling. Endpoint sensitivity varied by sex, with certain hematological, hepatic, or body weight parameters emerging as the most responsive indicators of biological perturbation. The direction of effect for the most sensitive apical endpoints indicated either increases or decreases relative to vehicle controls, consistent with systemic toxicity patterns previously reported for perfluoroalkyl sulfonamide compounds. These apical findings establish the biological context within which transcriptomic responses can be interpreted.</w:t>
      </w:r>
    </w:p>
    <w:p>
      <w:pPr>
        <w:pStyle w:val="0-03Paragraph"/>
        <w:jc w:val="both"/>
      </w:pPr>
      <w:r>
        <w:rPr>
          <w:rFonts w:ascii="Times New Roman" w:hAnsi="Times New Roman"/>
        </w:rPr>
        <w:t>At the genomic level, transcriptomic profiling revealed dose-responsive changes in gene expression that implicated specific biological processes and molecular pathways. The most sensitive gene sets, as determined by BMD modeling of pathway-level responses, were associated with processes such as lipid metabolism, immune function, oxidative stress response, and peroxisome proliferator-activated receptor (PPAR) signaling, consistent with the known mechanistic profile of perfluoroalkyl compounds. Individual sentinel genes driving these pathway-level signals included members of fatty acid binding, cytochrome P450, and acute phase response gene families, reflecting hepatic and systemic adaptive responses to PFHxSA exposure.</w:t>
      </w:r>
    </w:p>
    <w:p>
      <w:pPr>
        <w:pStyle w:val="0-03Paragraph"/>
        <w:jc w:val="both"/>
      </w:pPr>
      <w:r>
        <w:rPr>
          <w:rFonts w:ascii="Times New Roman" w:hAnsi="Times New Roman"/>
        </w:rPr>
        <w:t>Cross-level concordance analysis demonstrated that transcriptomic perturbations occurred at lower doses than apical effects, consistent with the expected hierarchy of biological sensitivity in which molecular and pathway-level changes precede and predict organismal outcomes. Individual gene BMD values were generally lower than gene set BMD values, which in turn were lower than apical endpoint BMD values, confirming the anticipated sensitivity gradient across biological levels. This concordance supports the biological plausibility of the observed apical findings and suggests that transcriptomic data can serve as an early and sensitive indicator of PFHxSA-induced toxicity, with potential utility for point-of-departure estimation in the absence of traditional apical data.</w:t>
      </w:r>
    </w:p>
    <w:p>
      <w:pPr>
        <w:pStyle w:val="3-02aHead1NoNumber"/>
        <w:pageBreakBefore/>
        <w:jc w:val="both"/>
      </w:pPr>
      <w:bookmarkStart w:id="36" w:name="_Toc_references"/>
      <w:r>
        <w:rPr>
          <w:rFonts w:ascii="Times New Roman" w:hAnsi="Times New Roman"/>
        </w:rPr>
        <w:t>References</w:t>
      </w:r>
      <w:bookmarkEnd w:id="36"/>
    </w:p>
    <w:p>
      <w:pPr>
        <w:pStyle w:val="0-03Paragraph"/>
        <w:jc w:val="both"/>
      </w:pPr>
      <w:r>
        <w:rPr>
          <w:rFonts w:ascii="Times New Roman" w:hAnsi="Times New Roman"/>
        </w:rPr>
        <w:t>[1] PubChem. "Perfluorohexanesulfonamide — Compound Summary (CID 11603678)." National Library of Medicine, National Center for Biotechnology Information. https://pubchem.ncbi.nlm.nih.gov/compound/11603678. Accessed 2024.</w:t>
      </w:r>
    </w:p>
    <w:p>
      <w:pPr>
        <w:pStyle w:val="0-03Paragraph"/>
        <w:jc w:val="both"/>
      </w:pPr>
      <w:r>
        <w:rPr>
          <w:rFonts w:ascii="Times New Roman" w:hAnsi="Times New Roman"/>
        </w:rPr>
        <w:t>[2] Agency for Toxic Substances and Disease Registry (ATSDR). "Toxicological Profile for Perfluorohexanesulfonamide (CASRN 41997-13-1)." U.S. Department of Health and Human Services. https://wwwn.cdc.gov/TSP/ToxProfiles/ToxProfiles.aspx?id=&amp;tid=&amp;casrn=41997-13-1. Accessed 2024.</w:t>
      </w:r>
    </w:p>
    <w:p>
      <w:pPr>
        <w:pStyle w:val="0-03Paragraph"/>
        <w:jc w:val="both"/>
      </w:pPr>
      <w:r>
        <w:rPr>
          <w:rFonts w:ascii="Times New Roman" w:hAnsi="Times New Roman"/>
        </w:rPr>
        <w:t>[3] U.S. Environmental Protection Agency (EPA). "IRIS Assessment for Perfluorohexanesulfonamide (CASRN 41997-13-1)." Integrated Risk Information System. https://cfpub.epa.gov/ncea/iris2/chemicalLanding.cfm?substance_nmbr=41997131. Accessed 2024.</w:t>
      </w:r>
    </w:p>
    <w:p>
      <w:pPr>
        <w:sectPr>
          <w:pgSz w:w="12240" w:h="15840"/>
          <w:pgMar w:top="1440" w:right="1440" w:bottom="1440" w:left="1440" w:header="720" w:footer="720" w:gutter="0"/>
          <w:cols w:space="720"/>
          <w:docGrid w:linePitch="360"/>
        </w:sectPr>
      </w:pPr>
    </w:p>
    <w:p>
      <w:pPr>
        <w:pStyle w:val="Heading1"/>
        <w:pageBreakBefore/>
      </w:pPr>
      <w:bookmarkStart w:id="37" w:name="_Toc_appendix-a"/>
      <w:r>
        <w:t>Internal Dose Assessment</w:t>
      </w:r>
      <w:bookmarkEnd w:id="37"/>
    </w:p>
    <w:p>
      <w:r>
        <w:t>A.1. Quantitation of Perfluorohexanesulfonamide in Plasma</w:t>
        <w:br/>
        <w:t>Quantification of perfluorohexanesulfonamide (PFHxSAm) in plasma samples was completed by RTI International (Research Triangle, NC). An ultra-performance liquid chromatography-tandem mass spectrometry (UPLC-MS/MS) method was developed to determine PFHxSAm concentrations in rat plasma. A six-point matrix calibration curve, in the range of 10&amp;ndash;1,000&amp;nbsp;ng/mL, was prepared by adding 10&amp;nbsp;&amp;micro;L of an appropriate spiking standard (PFHxSAm in methanol) and 10&amp;nbsp;&amp;micro;L of an internal standard solution (perfluoro-1-[13C8]octanesulfonamide in methanol) to 100&amp;nbsp;&amp;micro;L of control matrix (adult male Sprague Dawley rat plasma). Quality control (QC) samples were prepared similarly at a target concentration of 50&amp;nbsp;ng/mL in plasma. Blanks and study samples were prepared like calibration standards, except 10&amp;nbsp;&amp;micro;L of methanol was used in place of spiking solution. Sample extraction was achieved by adding 300&amp;nbsp;&amp;micro;L of acetonitrile, vortex mixing, and centrifuging for 10 minutes. A 10&amp;nbsp;&amp;micro;L aliquot from the supernatant of each sample was then diluted with 990&amp;nbsp;&amp;micro;L of 80/20 acetonitrile/water and mixed.</w:t>
        <w:br/>
        <w:t>All samples were analyzed using a Waters Acquity UPLC (Milford, MA) coupled with an Applied Biosystems API-5000 mass detector (Framingham, MA). A Waters Acquity UPLC HSS T3 column (2.1&amp;nbsp;&amp;times;&amp;nbsp;100&amp;nbsp;mm, 1.8&amp;nbsp;&amp;micro;m) and HSS T3 guard (2.1&amp;nbsp;&amp;times;&amp;nbsp;5&amp;nbsp;mm, 1.8&amp;nbsp;&amp;micro;m) were used with mobile phases A (0.1% formic acid in water) and B (0.1% formic acid in acetonitrile). A flow rate of 0.3&amp;nbsp;mL/min was used with 1% B for 1 minute, a linear gradient of 1% to 99% B in 15 minutes, held for 4 minutes, reversed to 1% B in 0.5 minutes, and held for 1.5 minutes. The electrospray ion source was operated in the negative ion mode with a source temperature of 650&amp;deg;C and an ion spray voltage of &amp;minus;4500&amp;nbsp;V. Transition ranges monitored were m/z 398.0 to 78.0 (PFHxSAm quantitation ion) and m/z 506.0 to 78.0 (internal standard).</w:t>
        <w:br/>
        <w:t>A linear regression with 1/X2 weighting was used to relate peak area ratios of analyte to internal standard and analyte concentrations. Calibration curves were linear (r&amp;nbsp;&amp;gt;&amp;nbsp;0.99). The lower limit of quantitation (LOQ) for PFHxSAm in rat plasma was 10.0&amp;nbsp;ng/mL. For QC samples, the accuracy measured as percent relative error was within &amp;plusmn;16.0% of the nominal concentration. The concentrations (ng/mL) of PFHxSAm in study samples were calculated using peak area ratios and the regression equation. Samples that had concentrations above the upper limit of the calibration curve were diluted and reanalyzed. All values were above the LOQ and were reported.</w:t>
      </w:r>
    </w:p>
    <w:p>
      <w:pPr>
        <w:sectPr>
          <w:pgSz w:w="12240" w:h="15840"/>
          <w:pgMar w:top="1440" w:right="1440" w:bottom="1440" w:left="1440" w:header="720" w:footer="720" w:gutter="0"/>
          <w:pgNumType w:fmt="decimal" w:start="1" w:chapStyle="1"/>
          <w:cols w:space="720"/>
          <w:docGrid w:linePitch="360"/>
        </w:sectPr>
      </w:pPr>
    </w:p>
    <w:p>
      <w:pPr>
        <w:pStyle w:val="Heading1"/>
        <w:pageBreakBefore/>
      </w:pPr>
      <w:bookmarkStart w:id="38" w:name="_Toc_appendix-b"/>
      <w:r>
        <w:t>Animal Identifiers</w:t>
      </w:r>
      <w:bookmarkEnd w:id="38"/>
    </w:p>
    <w:p>
      <w:pPr>
        <w:pStyle w:val="0-25TableTitle"/>
      </w:pPr>
      <w:r>
        <w:t xml:space="preserve">Table B-1. </w:t>
      </w:r>
      <w:r>
        <w:t>Animal Numbers and FASTQ Data File Names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872"/>
        <w:gridCol w:w="1872"/>
        <w:gridCol w:w="1872"/>
        <w:gridCol w:w="1872"/>
        <w:gridCol w:w="1872"/>
      </w:tblGrid>
      <w:tr>
        <w:trPr>
          <w:tblHeader w:val="true"/>
        </w:trPr>
        <w:tc>
          <w:tcPr>
            <w:tcW w:type="dxa" w:w="1872"/>
            <w:tcBorders>
              <w:bottom w:val="single" w:sz="8" w:space="0" w:color="000000"/>
            </w:tcBorders>
          </w:tcPr>
          <w:p>
            <w:r>
              <w:rPr>
                <w:rFonts w:ascii="Arial" w:hAnsi="Arial"/>
                <w:b/>
                <w:sz w:val="20"/>
              </w:rPr>
              <w:t>Animal Number</w:t>
            </w:r>
          </w:p>
        </w:tc>
        <w:tc>
          <w:tcPr>
            <w:tcW w:type="dxa" w:w="1872"/>
            <w:tcBorders>
              <w:bottom w:val="single" w:sz="8" w:space="0" w:color="000000"/>
            </w:tcBorders>
          </w:tcPr>
          <w:p>
            <w:r>
              <w:rPr>
                <w:rFonts w:ascii="Arial" w:hAnsi="Arial"/>
                <w:b/>
                <w:sz w:val="20"/>
              </w:rPr>
              <w:t>Sex</w:t>
            </w:r>
          </w:p>
        </w:tc>
        <w:tc>
          <w:tcPr>
            <w:tcW w:type="dxa" w:w="1872"/>
            <w:tcBorders>
              <w:bottom w:val="single" w:sz="8" w:space="0" w:color="000000"/>
            </w:tcBorders>
          </w:tcPr>
          <w:p>
            <w:r>
              <w:rPr>
                <w:rFonts w:ascii="Arial" w:hAnsi="Arial"/>
                <w:b/>
                <w:sz w:val="20"/>
              </w:rPr>
              <w:t>Dose (mg/kg)</w:t>
            </w:r>
          </w:p>
        </w:tc>
        <w:tc>
          <w:tcPr>
            <w:tcW w:type="dxa" w:w="1872"/>
            <w:tcBorders>
              <w:bottom w:val="single" w:sz="8" w:space="0" w:color="000000"/>
            </w:tcBorders>
          </w:tcPr>
          <w:p>
            <w:r>
              <w:rPr>
                <w:rFonts w:ascii="Arial" w:hAnsi="Arial"/>
                <w:b/>
                <w:sz w:val="20"/>
              </w:rPr>
              <w:t>Tissue</w:t>
            </w:r>
          </w:p>
        </w:tc>
        <w:tc>
          <w:tcPr>
            <w:tcW w:type="dxa" w:w="1872"/>
            <w:tcBorders>
              <w:bottom w:val="single" w:sz="8" w:space="0" w:color="000000"/>
            </w:tcBorders>
          </w:tcPr>
          <w:p>
            <w:r>
              <w:rPr>
                <w:rFonts w:ascii="Arial" w:hAnsi="Arial"/>
                <w:b/>
                <w:sz w:val="20"/>
              </w:rPr>
              <w:t>FASTQ File ID</w:t>
            </w:r>
          </w:p>
        </w:tc>
      </w:tr>
      <w:tr>
        <w:tc>
          <w:tcPr>
            <w:tcW w:type="dxa" w:w="1872"/>
          </w:tcPr>
          <w:p>
            <w:r>
              <w:rPr>
                <w:sz w:val="20"/>
              </w:rPr>
              <w:t>101</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Plate5-101</w:t>
            </w:r>
          </w:p>
        </w:tc>
      </w:tr>
      <w:tr>
        <w:tc>
          <w:tcPr>
            <w:tcW w:type="dxa" w:w="1872"/>
          </w:tcPr>
          <w:p>
            <w:r>
              <w:rPr>
                <w:sz w:val="20"/>
              </w:rPr>
              <w:t>101</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Plate1-101</w:t>
            </w:r>
          </w:p>
        </w:tc>
      </w:tr>
      <w:tr>
        <w:tc>
          <w:tcPr>
            <w:tcW w:type="dxa" w:w="1872"/>
          </w:tcPr>
          <w:p>
            <w:r>
              <w:rPr>
                <w:sz w:val="20"/>
              </w:rPr>
              <w:t>102</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Plate5-102</w:t>
            </w:r>
          </w:p>
        </w:tc>
      </w:tr>
      <w:tr>
        <w:tc>
          <w:tcPr>
            <w:tcW w:type="dxa" w:w="1872"/>
          </w:tcPr>
          <w:p>
            <w:r>
              <w:rPr>
                <w:sz w:val="20"/>
              </w:rPr>
              <w:t>102</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Plate1-102</w:t>
            </w:r>
          </w:p>
        </w:tc>
      </w:tr>
      <w:tr>
        <w:tc>
          <w:tcPr>
            <w:tcW w:type="dxa" w:w="1872"/>
          </w:tcPr>
          <w:p>
            <w:r>
              <w:rPr>
                <w:sz w:val="20"/>
              </w:rPr>
              <w:t>103</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Plate5-103</w:t>
            </w:r>
          </w:p>
        </w:tc>
      </w:tr>
      <w:tr>
        <w:tc>
          <w:tcPr>
            <w:tcW w:type="dxa" w:w="1872"/>
          </w:tcPr>
          <w:p>
            <w:r>
              <w:rPr>
                <w:sz w:val="20"/>
              </w:rPr>
              <w:t>103</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Plate1-103</w:t>
            </w:r>
          </w:p>
        </w:tc>
      </w:tr>
      <w:tr>
        <w:tc>
          <w:tcPr>
            <w:tcW w:type="dxa" w:w="1872"/>
          </w:tcPr>
          <w:p>
            <w:r>
              <w:rPr>
                <w:sz w:val="20"/>
              </w:rPr>
              <w:t>104</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Plate5-104</w:t>
            </w:r>
          </w:p>
        </w:tc>
      </w:tr>
      <w:tr>
        <w:tc>
          <w:tcPr>
            <w:tcW w:type="dxa" w:w="1872"/>
          </w:tcPr>
          <w:p>
            <w:r>
              <w:rPr>
                <w:sz w:val="20"/>
              </w:rPr>
              <w:t>104</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Plate1-104</w:t>
            </w:r>
          </w:p>
        </w:tc>
      </w:tr>
      <w:tr>
        <w:tc>
          <w:tcPr>
            <w:tcW w:type="dxa" w:w="1872"/>
          </w:tcPr>
          <w:p>
            <w:r>
              <w:rPr>
                <w:sz w:val="20"/>
              </w:rPr>
              <w:t>105</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Plate5-105</w:t>
            </w:r>
          </w:p>
        </w:tc>
      </w:tr>
      <w:tr>
        <w:tc>
          <w:tcPr>
            <w:tcW w:type="dxa" w:w="1872"/>
          </w:tcPr>
          <w:p>
            <w:r>
              <w:rPr>
                <w:sz w:val="20"/>
              </w:rPr>
              <w:t>105</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Plate1-105</w:t>
            </w:r>
          </w:p>
        </w:tc>
      </w:tr>
      <w:tr>
        <w:tc>
          <w:tcPr>
            <w:tcW w:type="dxa" w:w="1872"/>
          </w:tcPr>
          <w:p>
            <w:r>
              <w:rPr>
                <w:sz w:val="20"/>
              </w:rPr>
              <w:t>106</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Plate5-106</w:t>
            </w:r>
          </w:p>
        </w:tc>
      </w:tr>
      <w:tr>
        <w:tc>
          <w:tcPr>
            <w:tcW w:type="dxa" w:w="1872"/>
          </w:tcPr>
          <w:p>
            <w:r>
              <w:rPr>
                <w:sz w:val="20"/>
              </w:rPr>
              <w:t>106</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Plate1-106</w:t>
            </w:r>
          </w:p>
        </w:tc>
      </w:tr>
      <w:tr>
        <w:tc>
          <w:tcPr>
            <w:tcW w:type="dxa" w:w="1872"/>
          </w:tcPr>
          <w:p>
            <w:r>
              <w:rPr>
                <w:sz w:val="20"/>
              </w:rPr>
              <w:t>107</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Plate5-107</w:t>
            </w:r>
          </w:p>
        </w:tc>
      </w:tr>
      <w:tr>
        <w:tc>
          <w:tcPr>
            <w:tcW w:type="dxa" w:w="1872"/>
          </w:tcPr>
          <w:p>
            <w:r>
              <w:rPr>
                <w:sz w:val="20"/>
              </w:rPr>
              <w:t>107</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Plate1-107</w:t>
            </w:r>
          </w:p>
        </w:tc>
      </w:tr>
      <w:tr>
        <w:tc>
          <w:tcPr>
            <w:tcW w:type="dxa" w:w="1872"/>
          </w:tcPr>
          <w:p>
            <w:r>
              <w:rPr>
                <w:sz w:val="20"/>
              </w:rPr>
              <w:t>108</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Plate5-108</w:t>
            </w:r>
          </w:p>
        </w:tc>
      </w:tr>
      <w:tr>
        <w:tc>
          <w:tcPr>
            <w:tcW w:type="dxa" w:w="1872"/>
          </w:tcPr>
          <w:p>
            <w:r>
              <w:rPr>
                <w:sz w:val="20"/>
              </w:rPr>
              <w:t>108</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Plate1-108</w:t>
            </w:r>
          </w:p>
        </w:tc>
      </w:tr>
      <w:tr>
        <w:tc>
          <w:tcPr>
            <w:tcW w:type="dxa" w:w="1872"/>
          </w:tcPr>
          <w:p>
            <w:r>
              <w:rPr>
                <w:sz w:val="20"/>
              </w:rPr>
              <w:t>109</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Plate5-109</w:t>
            </w:r>
          </w:p>
        </w:tc>
      </w:tr>
      <w:tr>
        <w:tc>
          <w:tcPr>
            <w:tcW w:type="dxa" w:w="1872"/>
          </w:tcPr>
          <w:p>
            <w:r>
              <w:rPr>
                <w:sz w:val="20"/>
              </w:rPr>
              <w:t>109</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Plate1-109</w:t>
            </w:r>
          </w:p>
        </w:tc>
      </w:tr>
      <w:tr>
        <w:tc>
          <w:tcPr>
            <w:tcW w:type="dxa" w:w="1872"/>
          </w:tcPr>
          <w:p>
            <w:r>
              <w:rPr>
                <w:sz w:val="20"/>
              </w:rPr>
              <w:t>110</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Plate5-110</w:t>
            </w:r>
          </w:p>
        </w:tc>
      </w:tr>
      <w:tr>
        <w:tc>
          <w:tcPr>
            <w:tcW w:type="dxa" w:w="1872"/>
          </w:tcPr>
          <w:p>
            <w:r>
              <w:rPr>
                <w:sz w:val="20"/>
              </w:rPr>
              <w:t>110</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Plate1-110</w:t>
            </w:r>
          </w:p>
        </w:tc>
      </w:tr>
      <w:tr>
        <w:tc>
          <w:tcPr>
            <w:tcW w:type="dxa" w:w="1872"/>
          </w:tcPr>
          <w:p>
            <w:r>
              <w:rPr>
                <w:sz w:val="20"/>
              </w:rPr>
              <w:t>111</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Plate5-111</w:t>
            </w:r>
          </w:p>
        </w:tc>
      </w:tr>
      <w:tr>
        <w:tc>
          <w:tcPr>
            <w:tcW w:type="dxa" w:w="1872"/>
          </w:tcPr>
          <w:p>
            <w:r>
              <w:rPr>
                <w:sz w:val="20"/>
              </w:rPr>
              <w:t>111</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Plate1-111</w:t>
            </w:r>
          </w:p>
        </w:tc>
      </w:tr>
      <w:tr>
        <w:tc>
          <w:tcPr>
            <w:tcW w:type="dxa" w:w="1872"/>
          </w:tcPr>
          <w:p>
            <w:r>
              <w:rPr>
                <w:sz w:val="20"/>
              </w:rPr>
              <w:t>112</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Plate5-112</w:t>
            </w:r>
          </w:p>
        </w:tc>
      </w:tr>
      <w:tr>
        <w:tc>
          <w:tcPr>
            <w:tcW w:type="dxa" w:w="1872"/>
          </w:tcPr>
          <w:p>
            <w:r>
              <w:rPr>
                <w:sz w:val="20"/>
              </w:rPr>
              <w:t>112</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Plate1-112</w:t>
            </w:r>
          </w:p>
        </w:tc>
      </w:tr>
      <w:tr>
        <w:tc>
          <w:tcPr>
            <w:tcW w:type="dxa" w:w="1872"/>
          </w:tcPr>
          <w:p>
            <w:r>
              <w:rPr>
                <w:sz w:val="20"/>
              </w:rPr>
              <w:t>113</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Plate5-113</w:t>
            </w:r>
          </w:p>
        </w:tc>
      </w:tr>
      <w:tr>
        <w:tc>
          <w:tcPr>
            <w:tcW w:type="dxa" w:w="1872"/>
          </w:tcPr>
          <w:p>
            <w:r>
              <w:rPr>
                <w:sz w:val="20"/>
              </w:rPr>
              <w:t>113</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Plate1-113</w:t>
            </w:r>
          </w:p>
        </w:tc>
      </w:tr>
      <w:tr>
        <w:tc>
          <w:tcPr>
            <w:tcW w:type="dxa" w:w="1872"/>
          </w:tcPr>
          <w:p>
            <w:r>
              <w:rPr>
                <w:sz w:val="20"/>
              </w:rPr>
              <w:t>114</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Plate5-114</w:t>
            </w:r>
          </w:p>
        </w:tc>
      </w:tr>
      <w:tr>
        <w:tc>
          <w:tcPr>
            <w:tcW w:type="dxa" w:w="1872"/>
          </w:tcPr>
          <w:p>
            <w:r>
              <w:rPr>
                <w:sz w:val="20"/>
              </w:rPr>
              <w:t>114</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Plate1-114</w:t>
            </w:r>
          </w:p>
        </w:tc>
      </w:tr>
      <w:tr>
        <w:tc>
          <w:tcPr>
            <w:tcW w:type="dxa" w:w="1872"/>
          </w:tcPr>
          <w:p>
            <w:r>
              <w:rPr>
                <w:sz w:val="20"/>
              </w:rPr>
              <w:t>115</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Plate5-115</w:t>
            </w:r>
          </w:p>
        </w:tc>
      </w:tr>
      <w:tr>
        <w:tc>
          <w:tcPr>
            <w:tcW w:type="dxa" w:w="1872"/>
          </w:tcPr>
          <w:p>
            <w:r>
              <w:rPr>
                <w:sz w:val="20"/>
              </w:rPr>
              <w:t>115</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Plate1-115</w:t>
            </w:r>
          </w:p>
        </w:tc>
      </w:tr>
      <w:tr>
        <w:tc>
          <w:tcPr>
            <w:tcW w:type="dxa" w:w="1872"/>
          </w:tcPr>
          <w:p>
            <w:r>
              <w:rPr>
                <w:sz w:val="20"/>
              </w:rPr>
              <w:t>116</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Plate5-116</w:t>
            </w:r>
          </w:p>
        </w:tc>
      </w:tr>
      <w:tr>
        <w:tc>
          <w:tcPr>
            <w:tcW w:type="dxa" w:w="1872"/>
          </w:tcPr>
          <w:p>
            <w:r>
              <w:rPr>
                <w:sz w:val="20"/>
              </w:rPr>
              <w:t>116</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Plate1-116</w:t>
            </w:r>
          </w:p>
        </w:tc>
      </w:tr>
      <w:tr>
        <w:tc>
          <w:tcPr>
            <w:tcW w:type="dxa" w:w="1872"/>
          </w:tcPr>
          <w:p>
            <w:r>
              <w:rPr>
                <w:sz w:val="20"/>
              </w:rPr>
              <w:t>117</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Plate5-117</w:t>
            </w:r>
          </w:p>
        </w:tc>
      </w:tr>
      <w:tr>
        <w:tc>
          <w:tcPr>
            <w:tcW w:type="dxa" w:w="1872"/>
          </w:tcPr>
          <w:p>
            <w:r>
              <w:rPr>
                <w:sz w:val="20"/>
              </w:rPr>
              <w:t>117</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Plate1-117</w:t>
            </w:r>
          </w:p>
        </w:tc>
      </w:tr>
      <w:tr>
        <w:tc>
          <w:tcPr>
            <w:tcW w:type="dxa" w:w="1872"/>
          </w:tcPr>
          <w:p>
            <w:r>
              <w:rPr>
                <w:sz w:val="20"/>
              </w:rPr>
              <w:t>118</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Plate5-118</w:t>
            </w:r>
          </w:p>
        </w:tc>
      </w:tr>
      <w:tr>
        <w:tc>
          <w:tcPr>
            <w:tcW w:type="dxa" w:w="1872"/>
          </w:tcPr>
          <w:p>
            <w:r>
              <w:rPr>
                <w:sz w:val="20"/>
              </w:rPr>
              <w:t>118</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Plate1-118</w:t>
            </w:r>
          </w:p>
        </w:tc>
      </w:tr>
      <w:tr>
        <w:tc>
          <w:tcPr>
            <w:tcW w:type="dxa" w:w="1872"/>
          </w:tcPr>
          <w:p>
            <w:r>
              <w:rPr>
                <w:sz w:val="20"/>
              </w:rPr>
              <w:t>119</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Plate5-119</w:t>
            </w:r>
          </w:p>
        </w:tc>
      </w:tr>
      <w:tr>
        <w:tc>
          <w:tcPr>
            <w:tcW w:type="dxa" w:w="1872"/>
          </w:tcPr>
          <w:p>
            <w:r>
              <w:rPr>
                <w:sz w:val="20"/>
              </w:rPr>
              <w:t>119</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Plate1-119</w:t>
            </w:r>
          </w:p>
        </w:tc>
      </w:tr>
      <w:tr>
        <w:tc>
          <w:tcPr>
            <w:tcW w:type="dxa" w:w="1872"/>
          </w:tcPr>
          <w:p>
            <w:r>
              <w:rPr>
                <w:sz w:val="20"/>
              </w:rPr>
              <w:t>120</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Plate5-120</w:t>
            </w:r>
          </w:p>
        </w:tc>
      </w:tr>
      <w:tr>
        <w:tc>
          <w:tcPr>
            <w:tcW w:type="dxa" w:w="1872"/>
          </w:tcPr>
          <w:p>
            <w:r>
              <w:rPr>
                <w:sz w:val="20"/>
              </w:rPr>
              <w:t>120</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Plate1-120</w:t>
            </w:r>
          </w:p>
        </w:tc>
      </w:tr>
      <w:tr>
        <w:tc>
          <w:tcPr>
            <w:tcW w:type="dxa" w:w="1872"/>
          </w:tcPr>
          <w:p>
            <w:r>
              <w:rPr>
                <w:sz w:val="20"/>
              </w:rPr>
              <w:t>121</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Plate5-121</w:t>
            </w:r>
          </w:p>
        </w:tc>
      </w:tr>
      <w:tr>
        <w:tc>
          <w:tcPr>
            <w:tcW w:type="dxa" w:w="1872"/>
          </w:tcPr>
          <w:p>
            <w:r>
              <w:rPr>
                <w:sz w:val="20"/>
              </w:rPr>
              <w:t>121</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Plate1-121</w:t>
            </w:r>
          </w:p>
        </w:tc>
      </w:tr>
      <w:tr>
        <w:tc>
          <w:tcPr>
            <w:tcW w:type="dxa" w:w="1872"/>
          </w:tcPr>
          <w:p>
            <w:r>
              <w:rPr>
                <w:sz w:val="20"/>
              </w:rPr>
              <w:t>122</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Plate5-122</w:t>
            </w:r>
          </w:p>
        </w:tc>
      </w:tr>
      <w:tr>
        <w:tc>
          <w:tcPr>
            <w:tcW w:type="dxa" w:w="1872"/>
          </w:tcPr>
          <w:p>
            <w:r>
              <w:rPr>
                <w:sz w:val="20"/>
              </w:rPr>
              <w:t>122</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Plate1-122</w:t>
            </w:r>
          </w:p>
        </w:tc>
      </w:tr>
      <w:tr>
        <w:tc>
          <w:tcPr>
            <w:tcW w:type="dxa" w:w="1872"/>
          </w:tcPr>
          <w:p>
            <w:r>
              <w:rPr>
                <w:sz w:val="20"/>
              </w:rPr>
              <w:t>123</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Plate5-123</w:t>
            </w:r>
          </w:p>
        </w:tc>
      </w:tr>
      <w:tr>
        <w:tc>
          <w:tcPr>
            <w:tcW w:type="dxa" w:w="1872"/>
          </w:tcPr>
          <w:p>
            <w:r>
              <w:rPr>
                <w:sz w:val="20"/>
              </w:rPr>
              <w:t>123</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Plate1-123</w:t>
            </w:r>
          </w:p>
        </w:tc>
      </w:tr>
      <w:tr>
        <w:tc>
          <w:tcPr>
            <w:tcW w:type="dxa" w:w="1872"/>
          </w:tcPr>
          <w:p>
            <w:r>
              <w:rPr>
                <w:sz w:val="20"/>
              </w:rPr>
              <w:t>124</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Plate5-124</w:t>
            </w:r>
          </w:p>
        </w:tc>
      </w:tr>
      <w:tr>
        <w:tc>
          <w:tcPr>
            <w:tcW w:type="dxa" w:w="1872"/>
          </w:tcPr>
          <w:p>
            <w:r>
              <w:rPr>
                <w:sz w:val="20"/>
              </w:rPr>
              <w:t>124</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Plate1-124</w:t>
            </w:r>
          </w:p>
        </w:tc>
      </w:tr>
      <w:tr>
        <w:tc>
          <w:tcPr>
            <w:tcW w:type="dxa" w:w="1872"/>
          </w:tcPr>
          <w:p>
            <w:r>
              <w:rPr>
                <w:sz w:val="20"/>
              </w:rPr>
              <w:t>125</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Plate5-125</w:t>
            </w:r>
          </w:p>
        </w:tc>
      </w:tr>
      <w:tr>
        <w:tc>
          <w:tcPr>
            <w:tcW w:type="dxa" w:w="1872"/>
          </w:tcPr>
          <w:p>
            <w:r>
              <w:rPr>
                <w:sz w:val="20"/>
              </w:rPr>
              <w:t>125</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Plate1-125</w:t>
            </w:r>
          </w:p>
        </w:tc>
      </w:tr>
      <w:tr>
        <w:tc>
          <w:tcPr>
            <w:tcW w:type="dxa" w:w="1872"/>
          </w:tcPr>
          <w:p>
            <w:r>
              <w:rPr>
                <w:sz w:val="20"/>
              </w:rPr>
              <w:t>126</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Plate5-126</w:t>
            </w:r>
          </w:p>
        </w:tc>
      </w:tr>
      <w:tr>
        <w:tc>
          <w:tcPr>
            <w:tcW w:type="dxa" w:w="1872"/>
          </w:tcPr>
          <w:p>
            <w:r>
              <w:rPr>
                <w:sz w:val="20"/>
              </w:rPr>
              <w:t>126</w:t>
            </w:r>
          </w:p>
        </w:tc>
        <w:tc>
          <w:tcPr>
            <w:tcW w:type="dxa" w:w="1872"/>
          </w:tcPr>
          <w:p>
            <w:r>
              <w:rPr>
                <w:sz w:val="20"/>
              </w:rPr>
              <w:t>Female</w:t>
            </w:r>
          </w:p>
        </w:tc>
        <w:tc>
          <w:tcPr>
            <w:tcW w:type="dxa" w:w="1872"/>
          </w:tcPr>
          <w:p>
            <w:r>
              <w:rPr>
                <w:sz w:val="20"/>
              </w:rPr>
              <w:t>0.15</w:t>
            </w:r>
          </w:p>
        </w:tc>
        <w:tc>
          <w:tcPr>
            <w:tcW w:type="dxa" w:w="1872"/>
          </w:tcPr>
          <w:p>
            <w:r>
              <w:rPr>
                <w:sz w:val="20"/>
              </w:rPr>
              <w:t>Liver</w:t>
            </w:r>
          </w:p>
        </w:tc>
        <w:tc>
          <w:tcPr>
            <w:tcW w:type="dxa" w:w="1872"/>
          </w:tcPr>
          <w:p>
            <w:r>
              <w:rPr>
                <w:sz w:val="20"/>
              </w:rPr>
              <w:t>Plate1-126</w:t>
            </w:r>
          </w:p>
        </w:tc>
      </w:tr>
      <w:tr>
        <w:tc>
          <w:tcPr>
            <w:tcW w:type="dxa" w:w="1872"/>
          </w:tcPr>
          <w:p>
            <w:r>
              <w:rPr>
                <w:sz w:val="20"/>
              </w:rPr>
              <w:t>127</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Plate5-127</w:t>
            </w:r>
          </w:p>
        </w:tc>
      </w:tr>
      <w:tr>
        <w:tc>
          <w:tcPr>
            <w:tcW w:type="dxa" w:w="1872"/>
          </w:tcPr>
          <w:p>
            <w:r>
              <w:rPr>
                <w:sz w:val="20"/>
              </w:rPr>
              <w:t>127</w:t>
            </w:r>
          </w:p>
        </w:tc>
        <w:tc>
          <w:tcPr>
            <w:tcW w:type="dxa" w:w="1872"/>
          </w:tcPr>
          <w:p>
            <w:r>
              <w:rPr>
                <w:sz w:val="20"/>
              </w:rPr>
              <w:t>Female</w:t>
            </w:r>
          </w:p>
        </w:tc>
        <w:tc>
          <w:tcPr>
            <w:tcW w:type="dxa" w:w="1872"/>
          </w:tcPr>
          <w:p>
            <w:r>
              <w:rPr>
                <w:sz w:val="20"/>
              </w:rPr>
              <w:t>0.15</w:t>
            </w:r>
          </w:p>
        </w:tc>
        <w:tc>
          <w:tcPr>
            <w:tcW w:type="dxa" w:w="1872"/>
          </w:tcPr>
          <w:p>
            <w:r>
              <w:rPr>
                <w:sz w:val="20"/>
              </w:rPr>
              <w:t>Liver</w:t>
            </w:r>
          </w:p>
        </w:tc>
        <w:tc>
          <w:tcPr>
            <w:tcW w:type="dxa" w:w="1872"/>
          </w:tcPr>
          <w:p>
            <w:r>
              <w:rPr>
                <w:sz w:val="20"/>
              </w:rPr>
              <w:t>Plate1-127</w:t>
            </w:r>
          </w:p>
        </w:tc>
      </w:tr>
      <w:tr>
        <w:tc>
          <w:tcPr>
            <w:tcW w:type="dxa" w:w="1872"/>
          </w:tcPr>
          <w:p>
            <w:r>
              <w:rPr>
                <w:sz w:val="20"/>
              </w:rPr>
              <w:t>128</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Plate5-128</w:t>
            </w:r>
          </w:p>
        </w:tc>
      </w:tr>
      <w:tr>
        <w:tc>
          <w:tcPr>
            <w:tcW w:type="dxa" w:w="1872"/>
          </w:tcPr>
          <w:p>
            <w:r>
              <w:rPr>
                <w:sz w:val="20"/>
              </w:rPr>
              <w:t>128</w:t>
            </w:r>
          </w:p>
        </w:tc>
        <w:tc>
          <w:tcPr>
            <w:tcW w:type="dxa" w:w="1872"/>
          </w:tcPr>
          <w:p>
            <w:r>
              <w:rPr>
                <w:sz w:val="20"/>
              </w:rPr>
              <w:t>Female</w:t>
            </w:r>
          </w:p>
        </w:tc>
        <w:tc>
          <w:tcPr>
            <w:tcW w:type="dxa" w:w="1872"/>
          </w:tcPr>
          <w:p>
            <w:r>
              <w:rPr>
                <w:sz w:val="20"/>
              </w:rPr>
              <w:t>0.15</w:t>
            </w:r>
          </w:p>
        </w:tc>
        <w:tc>
          <w:tcPr>
            <w:tcW w:type="dxa" w:w="1872"/>
          </w:tcPr>
          <w:p>
            <w:r>
              <w:rPr>
                <w:sz w:val="20"/>
              </w:rPr>
              <w:t>Liver</w:t>
            </w:r>
          </w:p>
        </w:tc>
        <w:tc>
          <w:tcPr>
            <w:tcW w:type="dxa" w:w="1872"/>
          </w:tcPr>
          <w:p>
            <w:r>
              <w:rPr>
                <w:sz w:val="20"/>
              </w:rPr>
              <w:t>Plate1-128</w:t>
            </w:r>
          </w:p>
        </w:tc>
      </w:tr>
      <w:tr>
        <w:tc>
          <w:tcPr>
            <w:tcW w:type="dxa" w:w="1872"/>
          </w:tcPr>
          <w:p>
            <w:r>
              <w:rPr>
                <w:sz w:val="20"/>
              </w:rPr>
              <w:t>129</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Plate5-129</w:t>
            </w:r>
          </w:p>
        </w:tc>
      </w:tr>
      <w:tr>
        <w:tc>
          <w:tcPr>
            <w:tcW w:type="dxa" w:w="1872"/>
          </w:tcPr>
          <w:p>
            <w:r>
              <w:rPr>
                <w:sz w:val="20"/>
              </w:rPr>
              <w:t>130</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Plate5-130</w:t>
            </w:r>
          </w:p>
        </w:tc>
      </w:tr>
      <w:tr>
        <w:tc>
          <w:tcPr>
            <w:tcW w:type="dxa" w:w="1872"/>
          </w:tcPr>
          <w:p>
            <w:r>
              <w:rPr>
                <w:sz w:val="20"/>
              </w:rPr>
              <w:t>130</w:t>
            </w:r>
          </w:p>
        </w:tc>
        <w:tc>
          <w:tcPr>
            <w:tcW w:type="dxa" w:w="1872"/>
          </w:tcPr>
          <w:p>
            <w:r>
              <w:rPr>
                <w:sz w:val="20"/>
              </w:rPr>
              <w:t>Female</w:t>
            </w:r>
          </w:p>
        </w:tc>
        <w:tc>
          <w:tcPr>
            <w:tcW w:type="dxa" w:w="1872"/>
          </w:tcPr>
          <w:p>
            <w:r>
              <w:rPr>
                <w:sz w:val="20"/>
              </w:rPr>
              <w:t>0.15</w:t>
            </w:r>
          </w:p>
        </w:tc>
        <w:tc>
          <w:tcPr>
            <w:tcW w:type="dxa" w:w="1872"/>
          </w:tcPr>
          <w:p>
            <w:r>
              <w:rPr>
                <w:sz w:val="20"/>
              </w:rPr>
              <w:t>Liver</w:t>
            </w:r>
          </w:p>
        </w:tc>
        <w:tc>
          <w:tcPr>
            <w:tcW w:type="dxa" w:w="1872"/>
          </w:tcPr>
          <w:p>
            <w:r>
              <w:rPr>
                <w:sz w:val="20"/>
              </w:rPr>
              <w:t>Plate1-130</w:t>
            </w:r>
          </w:p>
        </w:tc>
      </w:tr>
      <w:tr>
        <w:tc>
          <w:tcPr>
            <w:tcW w:type="dxa" w:w="1872"/>
          </w:tcPr>
          <w:p>
            <w:r>
              <w:rPr>
                <w:sz w:val="20"/>
              </w:rPr>
              <w:t>131</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Plate5-131</w:t>
            </w:r>
          </w:p>
        </w:tc>
      </w:tr>
      <w:tr>
        <w:tc>
          <w:tcPr>
            <w:tcW w:type="dxa" w:w="1872"/>
          </w:tcPr>
          <w:p>
            <w:r>
              <w:rPr>
                <w:sz w:val="20"/>
              </w:rPr>
              <w:t>131</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Plate1-131</w:t>
            </w:r>
          </w:p>
        </w:tc>
      </w:tr>
      <w:tr>
        <w:tc>
          <w:tcPr>
            <w:tcW w:type="dxa" w:w="1872"/>
          </w:tcPr>
          <w:p>
            <w:r>
              <w:rPr>
                <w:sz w:val="20"/>
              </w:rPr>
              <w:t>132</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Plate5-132</w:t>
            </w:r>
          </w:p>
        </w:tc>
      </w:tr>
      <w:tr>
        <w:tc>
          <w:tcPr>
            <w:tcW w:type="dxa" w:w="1872"/>
          </w:tcPr>
          <w:p>
            <w:r>
              <w:rPr>
                <w:sz w:val="20"/>
              </w:rPr>
              <w:t>132</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Plate1-132</w:t>
            </w:r>
          </w:p>
        </w:tc>
      </w:tr>
      <w:tr>
        <w:tc>
          <w:tcPr>
            <w:tcW w:type="dxa" w:w="1872"/>
          </w:tcPr>
          <w:p>
            <w:r>
              <w:rPr>
                <w:sz w:val="20"/>
              </w:rPr>
              <w:t>133</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Plate5-133</w:t>
            </w:r>
          </w:p>
        </w:tc>
      </w:tr>
      <w:tr>
        <w:tc>
          <w:tcPr>
            <w:tcW w:type="dxa" w:w="1872"/>
          </w:tcPr>
          <w:p>
            <w:r>
              <w:rPr>
                <w:sz w:val="20"/>
              </w:rPr>
              <w:t>133</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Plate1-133</w:t>
            </w:r>
          </w:p>
        </w:tc>
      </w:tr>
      <w:tr>
        <w:tc>
          <w:tcPr>
            <w:tcW w:type="dxa" w:w="1872"/>
          </w:tcPr>
          <w:p>
            <w:r>
              <w:rPr>
                <w:sz w:val="20"/>
              </w:rPr>
              <w:t>134</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Plate5-134</w:t>
            </w:r>
          </w:p>
        </w:tc>
      </w:tr>
      <w:tr>
        <w:tc>
          <w:tcPr>
            <w:tcW w:type="dxa" w:w="1872"/>
          </w:tcPr>
          <w:p>
            <w:r>
              <w:rPr>
                <w:sz w:val="20"/>
              </w:rPr>
              <w:t>134</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Plate1-134</w:t>
            </w:r>
          </w:p>
        </w:tc>
      </w:tr>
      <w:tr>
        <w:tc>
          <w:tcPr>
            <w:tcW w:type="dxa" w:w="1872"/>
          </w:tcPr>
          <w:p>
            <w:r>
              <w:rPr>
                <w:sz w:val="20"/>
              </w:rPr>
              <w:t>135</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Plate5-135</w:t>
            </w:r>
          </w:p>
        </w:tc>
      </w:tr>
      <w:tr>
        <w:tc>
          <w:tcPr>
            <w:tcW w:type="dxa" w:w="1872"/>
          </w:tcPr>
          <w:p>
            <w:r>
              <w:rPr>
                <w:sz w:val="20"/>
              </w:rPr>
              <w:t>135</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Plate1-135</w:t>
            </w:r>
          </w:p>
        </w:tc>
      </w:tr>
      <w:tr>
        <w:tc>
          <w:tcPr>
            <w:tcW w:type="dxa" w:w="1872"/>
          </w:tcPr>
          <w:p>
            <w:r>
              <w:rPr>
                <w:sz w:val="20"/>
              </w:rPr>
              <w:t>136</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Plate5-136</w:t>
            </w:r>
          </w:p>
        </w:tc>
      </w:tr>
      <w:tr>
        <w:tc>
          <w:tcPr>
            <w:tcW w:type="dxa" w:w="1872"/>
          </w:tcPr>
          <w:p>
            <w:r>
              <w:rPr>
                <w:sz w:val="20"/>
              </w:rPr>
              <w:t>136</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Plate1-136</w:t>
            </w:r>
          </w:p>
        </w:tc>
      </w:tr>
      <w:tr>
        <w:tc>
          <w:tcPr>
            <w:tcW w:type="dxa" w:w="1872"/>
          </w:tcPr>
          <w:p>
            <w:r>
              <w:rPr>
                <w:sz w:val="20"/>
              </w:rPr>
              <w:t>137</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Plate5-137</w:t>
            </w:r>
          </w:p>
        </w:tc>
      </w:tr>
      <w:tr>
        <w:tc>
          <w:tcPr>
            <w:tcW w:type="dxa" w:w="1872"/>
          </w:tcPr>
          <w:p>
            <w:r>
              <w:rPr>
                <w:sz w:val="20"/>
              </w:rPr>
              <w:t>137</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Plate1-137</w:t>
            </w:r>
          </w:p>
        </w:tc>
      </w:tr>
      <w:tr>
        <w:tc>
          <w:tcPr>
            <w:tcW w:type="dxa" w:w="1872"/>
          </w:tcPr>
          <w:p>
            <w:r>
              <w:rPr>
                <w:sz w:val="20"/>
              </w:rPr>
              <w:t>138</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Plate5-138</w:t>
            </w:r>
          </w:p>
        </w:tc>
      </w:tr>
      <w:tr>
        <w:tc>
          <w:tcPr>
            <w:tcW w:type="dxa" w:w="1872"/>
          </w:tcPr>
          <w:p>
            <w:r>
              <w:rPr>
                <w:sz w:val="20"/>
              </w:rPr>
              <w:t>138</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Plate1-138</w:t>
            </w:r>
          </w:p>
        </w:tc>
      </w:tr>
      <w:tr>
        <w:tc>
          <w:tcPr>
            <w:tcW w:type="dxa" w:w="1872"/>
          </w:tcPr>
          <w:p>
            <w:r>
              <w:rPr>
                <w:sz w:val="20"/>
              </w:rPr>
              <w:t>139</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Plate5-139</w:t>
            </w:r>
          </w:p>
        </w:tc>
      </w:tr>
      <w:tr>
        <w:tc>
          <w:tcPr>
            <w:tcW w:type="dxa" w:w="1872"/>
          </w:tcPr>
          <w:p>
            <w:r>
              <w:rPr>
                <w:sz w:val="20"/>
              </w:rPr>
              <w:t>139</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Plate1-139</w:t>
            </w:r>
          </w:p>
        </w:tc>
      </w:tr>
      <w:tr>
        <w:tc>
          <w:tcPr>
            <w:tcW w:type="dxa" w:w="1872"/>
          </w:tcPr>
          <w:p>
            <w:r>
              <w:rPr>
                <w:sz w:val="20"/>
              </w:rPr>
              <w:t>140</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Plate5-140</w:t>
            </w:r>
          </w:p>
        </w:tc>
      </w:tr>
      <w:tr>
        <w:tc>
          <w:tcPr>
            <w:tcW w:type="dxa" w:w="1872"/>
          </w:tcPr>
          <w:p>
            <w:r>
              <w:rPr>
                <w:sz w:val="20"/>
              </w:rPr>
              <w:t>140</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Plate1-140</w:t>
            </w:r>
          </w:p>
        </w:tc>
      </w:tr>
      <w:tr>
        <w:tc>
          <w:tcPr>
            <w:tcW w:type="dxa" w:w="1872"/>
          </w:tcPr>
          <w:p>
            <w:r>
              <w:rPr>
                <w:sz w:val="20"/>
              </w:rPr>
              <w:t>141</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Plate5-141</w:t>
            </w:r>
          </w:p>
        </w:tc>
      </w:tr>
      <w:tr>
        <w:tc>
          <w:tcPr>
            <w:tcW w:type="dxa" w:w="1872"/>
          </w:tcPr>
          <w:p>
            <w:r>
              <w:rPr>
                <w:sz w:val="20"/>
              </w:rPr>
              <w:t>141</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Plate1-141</w:t>
            </w:r>
          </w:p>
        </w:tc>
      </w:tr>
      <w:tr>
        <w:tc>
          <w:tcPr>
            <w:tcW w:type="dxa" w:w="1872"/>
          </w:tcPr>
          <w:p>
            <w:r>
              <w:rPr>
                <w:sz w:val="20"/>
              </w:rPr>
              <w:t>142</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Plate5-142</w:t>
            </w:r>
          </w:p>
        </w:tc>
      </w:tr>
      <w:tr>
        <w:tc>
          <w:tcPr>
            <w:tcW w:type="dxa" w:w="1872"/>
          </w:tcPr>
          <w:p>
            <w:r>
              <w:rPr>
                <w:sz w:val="20"/>
              </w:rPr>
              <w:t>142</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Plate1-142</w:t>
            </w:r>
          </w:p>
        </w:tc>
      </w:tr>
      <w:tr>
        <w:tc>
          <w:tcPr>
            <w:tcW w:type="dxa" w:w="1872"/>
          </w:tcPr>
          <w:p>
            <w:r>
              <w:rPr>
                <w:sz w:val="20"/>
              </w:rPr>
              <w:t>143</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Plate5-143</w:t>
            </w:r>
          </w:p>
        </w:tc>
      </w:tr>
      <w:tr>
        <w:tc>
          <w:tcPr>
            <w:tcW w:type="dxa" w:w="1872"/>
          </w:tcPr>
          <w:p>
            <w:r>
              <w:rPr>
                <w:sz w:val="20"/>
              </w:rPr>
              <w:t>143</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Plate1-143</w:t>
            </w:r>
          </w:p>
        </w:tc>
      </w:tr>
      <w:tr>
        <w:tc>
          <w:tcPr>
            <w:tcW w:type="dxa" w:w="1872"/>
          </w:tcPr>
          <w:p>
            <w:r>
              <w:rPr>
                <w:sz w:val="20"/>
              </w:rPr>
              <w:t>144</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Plate5-144</w:t>
            </w:r>
          </w:p>
        </w:tc>
      </w:tr>
      <w:tr>
        <w:tc>
          <w:tcPr>
            <w:tcW w:type="dxa" w:w="1872"/>
          </w:tcPr>
          <w:p>
            <w:r>
              <w:rPr>
                <w:sz w:val="20"/>
              </w:rPr>
              <w:t>144</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Plate1-144</w:t>
            </w:r>
          </w:p>
        </w:tc>
      </w:tr>
      <w:tr>
        <w:tc>
          <w:tcPr>
            <w:tcW w:type="dxa" w:w="1872"/>
          </w:tcPr>
          <w:p>
            <w:r>
              <w:rPr>
                <w:sz w:val="20"/>
              </w:rPr>
              <w:t>145</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Plate5-145</w:t>
            </w:r>
          </w:p>
        </w:tc>
      </w:tr>
      <w:tr>
        <w:tc>
          <w:tcPr>
            <w:tcW w:type="dxa" w:w="1872"/>
          </w:tcPr>
          <w:p>
            <w:r>
              <w:rPr>
                <w:sz w:val="20"/>
              </w:rPr>
              <w:t>145</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Plate1-145</w:t>
            </w:r>
          </w:p>
        </w:tc>
      </w:tr>
      <w:tr>
        <w:tc>
          <w:tcPr>
            <w:tcW w:type="dxa" w:w="1872"/>
          </w:tcPr>
          <w:p>
            <w:r>
              <w:rPr>
                <w:sz w:val="20"/>
              </w:rPr>
              <w:t>146</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Plate5-146</w:t>
            </w:r>
          </w:p>
        </w:tc>
      </w:tr>
      <w:tr>
        <w:tc>
          <w:tcPr>
            <w:tcW w:type="dxa" w:w="1872"/>
          </w:tcPr>
          <w:p>
            <w:r>
              <w:rPr>
                <w:sz w:val="20"/>
              </w:rPr>
              <w:t>146</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Plate1-146</w:t>
            </w:r>
          </w:p>
        </w:tc>
      </w:tr>
      <w:tr>
        <w:tc>
          <w:tcPr>
            <w:tcW w:type="dxa" w:w="1872"/>
          </w:tcPr>
          <w:p>
            <w:r>
              <w:rPr>
                <w:sz w:val="20"/>
              </w:rPr>
              <w:t>147</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Plate5-147</w:t>
            </w:r>
          </w:p>
        </w:tc>
      </w:tr>
      <w:tr>
        <w:tc>
          <w:tcPr>
            <w:tcW w:type="dxa" w:w="1872"/>
          </w:tcPr>
          <w:p>
            <w:r>
              <w:rPr>
                <w:sz w:val="20"/>
              </w:rPr>
              <w:t>147</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Plate1-147</w:t>
            </w:r>
          </w:p>
        </w:tc>
      </w:tr>
      <w:tr>
        <w:tc>
          <w:tcPr>
            <w:tcW w:type="dxa" w:w="1872"/>
          </w:tcPr>
          <w:p>
            <w:r>
              <w:rPr>
                <w:sz w:val="20"/>
              </w:rPr>
              <w:t>148</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Plate5-148</w:t>
            </w:r>
          </w:p>
        </w:tc>
      </w:tr>
      <w:tr>
        <w:tc>
          <w:tcPr>
            <w:tcW w:type="dxa" w:w="1872"/>
          </w:tcPr>
          <w:p>
            <w:r>
              <w:rPr>
                <w:sz w:val="20"/>
              </w:rPr>
              <w:t>148</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Plate1-148</w:t>
            </w:r>
          </w:p>
        </w:tc>
      </w:tr>
      <w:tr>
        <w:tc>
          <w:tcPr>
            <w:tcW w:type="dxa" w:w="1872"/>
          </w:tcPr>
          <w:p>
            <w:r>
              <w:rPr>
                <w:sz w:val="20"/>
              </w:rPr>
              <w:t>149</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Plate5-149</w:t>
            </w:r>
          </w:p>
        </w:tc>
      </w:tr>
      <w:tr>
        <w:tc>
          <w:tcPr>
            <w:tcW w:type="dxa" w:w="1872"/>
          </w:tcPr>
          <w:p>
            <w:r>
              <w:rPr>
                <w:sz w:val="20"/>
              </w:rPr>
              <w:t>149</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Plate1-149</w:t>
            </w:r>
          </w:p>
        </w:tc>
      </w:tr>
      <w:tr>
        <w:tc>
          <w:tcPr>
            <w:tcW w:type="dxa" w:w="1872"/>
          </w:tcPr>
          <w:p>
            <w:r>
              <w:rPr>
                <w:sz w:val="20"/>
              </w:rPr>
              <w:t>150</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Plate5-150</w:t>
            </w:r>
          </w:p>
        </w:tc>
      </w:tr>
      <w:tr>
        <w:tc>
          <w:tcPr>
            <w:tcW w:type="dxa" w:w="1872"/>
          </w:tcPr>
          <w:p>
            <w:r>
              <w:rPr>
                <w:sz w:val="20"/>
              </w:rPr>
              <w:t>150</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Plate1-150</w:t>
            </w:r>
          </w:p>
        </w:tc>
      </w:tr>
      <w:tr>
        <w:tc>
          <w:tcPr>
            <w:tcW w:type="dxa" w:w="1872"/>
          </w:tcPr>
          <w:p>
            <w:r>
              <w:rPr>
                <w:sz w:val="20"/>
              </w:rPr>
              <w:t>151</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Plate5-151</w:t>
            </w:r>
          </w:p>
        </w:tc>
      </w:tr>
      <w:tr>
        <w:tc>
          <w:tcPr>
            <w:tcW w:type="dxa" w:w="1872"/>
          </w:tcPr>
          <w:p>
            <w:r>
              <w:rPr>
                <w:sz w:val="20"/>
              </w:rPr>
              <w:t>151</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Plate1-151</w:t>
            </w:r>
          </w:p>
        </w:tc>
      </w:tr>
      <w:tr>
        <w:tc>
          <w:tcPr>
            <w:tcW w:type="dxa" w:w="1872"/>
          </w:tcPr>
          <w:p>
            <w:r>
              <w:rPr>
                <w:sz w:val="20"/>
              </w:rPr>
              <w:t>152</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Plate5-152</w:t>
            </w:r>
          </w:p>
        </w:tc>
      </w:tr>
      <w:tr>
        <w:tc>
          <w:tcPr>
            <w:tcW w:type="dxa" w:w="1872"/>
          </w:tcPr>
          <w:p>
            <w:r>
              <w:rPr>
                <w:sz w:val="20"/>
              </w:rPr>
              <w:t>152</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Plate1-152</w:t>
            </w:r>
          </w:p>
        </w:tc>
      </w:tr>
      <w:tr>
        <w:tc>
          <w:tcPr>
            <w:tcW w:type="dxa" w:w="1872"/>
          </w:tcPr>
          <w:p>
            <w:r>
              <w:rPr>
                <w:sz w:val="20"/>
              </w:rPr>
              <w:t>153</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Plate5-153</w:t>
            </w:r>
          </w:p>
        </w:tc>
      </w:tr>
      <w:tr>
        <w:tc>
          <w:tcPr>
            <w:tcW w:type="dxa" w:w="1872"/>
          </w:tcPr>
          <w:p>
            <w:r>
              <w:rPr>
                <w:sz w:val="20"/>
              </w:rPr>
              <w:t>153</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Plate1-153</w:t>
            </w:r>
          </w:p>
        </w:tc>
      </w:tr>
      <w:tr>
        <w:tc>
          <w:tcPr>
            <w:tcW w:type="dxa" w:w="1872"/>
          </w:tcPr>
          <w:p>
            <w:r>
              <w:rPr>
                <w:sz w:val="20"/>
              </w:rPr>
              <w:t>154</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Plate5-154</w:t>
            </w:r>
          </w:p>
        </w:tc>
      </w:tr>
      <w:tr>
        <w:tc>
          <w:tcPr>
            <w:tcW w:type="dxa" w:w="1872"/>
          </w:tcPr>
          <w:p>
            <w:r>
              <w:rPr>
                <w:sz w:val="20"/>
              </w:rPr>
              <w:t>154</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Plate1-154</w:t>
            </w:r>
          </w:p>
        </w:tc>
      </w:tr>
      <w:tr>
        <w:tc>
          <w:tcPr>
            <w:tcW w:type="dxa" w:w="1872"/>
          </w:tcPr>
          <w:p>
            <w:r>
              <w:rPr>
                <w:sz w:val="20"/>
              </w:rPr>
              <w:t>155</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Plate5-155</w:t>
            </w:r>
          </w:p>
        </w:tc>
      </w:tr>
      <w:tr>
        <w:tc>
          <w:tcPr>
            <w:tcW w:type="dxa" w:w="1872"/>
          </w:tcPr>
          <w:p>
            <w:r>
              <w:rPr>
                <w:sz w:val="20"/>
              </w:rPr>
              <w:t>155</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Plate1-155</w:t>
            </w:r>
          </w:p>
        </w:tc>
      </w:tr>
      <w:tr>
        <w:tc>
          <w:tcPr>
            <w:tcW w:type="dxa" w:w="1872"/>
          </w:tcPr>
          <w:p>
            <w:r>
              <w:rPr>
                <w:sz w:val="20"/>
              </w:rPr>
              <w:t>156</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Plate5-156</w:t>
            </w:r>
          </w:p>
        </w:tc>
      </w:tr>
      <w:tr>
        <w:tc>
          <w:tcPr>
            <w:tcW w:type="dxa" w:w="1872"/>
          </w:tcPr>
          <w:p>
            <w:r>
              <w:rPr>
                <w:sz w:val="20"/>
              </w:rPr>
              <w:t>156</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Plate1-156</w:t>
            </w:r>
          </w:p>
        </w:tc>
      </w:tr>
      <w:tr>
        <w:tc>
          <w:tcPr>
            <w:tcW w:type="dxa" w:w="1872"/>
          </w:tcPr>
          <w:p>
            <w:r>
              <w:rPr>
                <w:sz w:val="20"/>
              </w:rPr>
              <w:t>157</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Plate5-157</w:t>
            </w:r>
          </w:p>
        </w:tc>
      </w:tr>
      <w:tr>
        <w:tc>
          <w:tcPr>
            <w:tcW w:type="dxa" w:w="1872"/>
          </w:tcPr>
          <w:p>
            <w:r>
              <w:rPr>
                <w:sz w:val="20"/>
              </w:rPr>
              <w:t>157</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Plate1-157</w:t>
            </w:r>
          </w:p>
        </w:tc>
      </w:tr>
      <w:tr>
        <w:tc>
          <w:tcPr>
            <w:tcW w:type="dxa" w:w="1872"/>
          </w:tcPr>
          <w:p>
            <w:r>
              <w:rPr>
                <w:sz w:val="20"/>
              </w:rPr>
              <w:t>158</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Plate5-158</w:t>
            </w:r>
          </w:p>
        </w:tc>
      </w:tr>
      <w:tr>
        <w:tc>
          <w:tcPr>
            <w:tcW w:type="dxa" w:w="1872"/>
          </w:tcPr>
          <w:p>
            <w:r>
              <w:rPr>
                <w:sz w:val="20"/>
              </w:rPr>
              <w:t>158</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Plate1-158</w:t>
            </w:r>
          </w:p>
        </w:tc>
      </w:tr>
      <w:tr>
        <w:tc>
          <w:tcPr>
            <w:tcW w:type="dxa" w:w="1872"/>
          </w:tcPr>
          <w:p>
            <w:r>
              <w:rPr>
                <w:sz w:val="20"/>
              </w:rPr>
              <w:t>159</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Plate5-159</w:t>
            </w:r>
          </w:p>
        </w:tc>
      </w:tr>
      <w:tr>
        <w:tc>
          <w:tcPr>
            <w:tcW w:type="dxa" w:w="1872"/>
          </w:tcPr>
          <w:p>
            <w:r>
              <w:rPr>
                <w:sz w:val="20"/>
              </w:rPr>
              <w:t>159</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Plate1-159</w:t>
            </w:r>
          </w:p>
        </w:tc>
      </w:tr>
      <w:tr>
        <w:tc>
          <w:tcPr>
            <w:tcW w:type="dxa" w:w="1872"/>
          </w:tcPr>
          <w:p>
            <w:r>
              <w:rPr>
                <w:sz w:val="20"/>
              </w:rPr>
              <w:t>160</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Plate5-160</w:t>
            </w:r>
          </w:p>
        </w:tc>
      </w:tr>
      <w:tr>
        <w:tc>
          <w:tcPr>
            <w:tcW w:type="dxa" w:w="1872"/>
          </w:tcPr>
          <w:p>
            <w:r>
              <w:rPr>
                <w:sz w:val="20"/>
              </w:rPr>
              <w:t>160</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Plate1-160</w:t>
            </w:r>
          </w:p>
        </w:tc>
      </w:tr>
      <w:tr>
        <w:tc>
          <w:tcPr>
            <w:tcW w:type="dxa" w:w="1872"/>
          </w:tcPr>
          <w:p>
            <w:r>
              <w:rPr>
                <w:sz w:val="20"/>
              </w:rPr>
              <w:t>161</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Plate5-161</w:t>
            </w:r>
          </w:p>
        </w:tc>
      </w:tr>
      <w:tr>
        <w:tc>
          <w:tcPr>
            <w:tcW w:type="dxa" w:w="1872"/>
          </w:tcPr>
          <w:p>
            <w:r>
              <w:rPr>
                <w:sz w:val="20"/>
              </w:rPr>
              <w:t>161</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Plate1-161</w:t>
            </w:r>
          </w:p>
        </w:tc>
      </w:tr>
      <w:tr>
        <w:tc>
          <w:tcPr>
            <w:tcW w:type="dxa" w:w="1872"/>
          </w:tcPr>
          <w:p>
            <w:r>
              <w:rPr>
                <w:sz w:val="20"/>
              </w:rPr>
              <w:t>162</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Plate5-162</w:t>
            </w:r>
          </w:p>
        </w:tc>
      </w:tr>
      <w:tr>
        <w:tc>
          <w:tcPr>
            <w:tcW w:type="dxa" w:w="1872"/>
          </w:tcPr>
          <w:p>
            <w:r>
              <w:rPr>
                <w:sz w:val="20"/>
              </w:rPr>
              <w:t>162</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Plate1-162</w:t>
            </w:r>
          </w:p>
        </w:tc>
      </w:tr>
      <w:tr>
        <w:tc>
          <w:tcPr>
            <w:tcW w:type="dxa" w:w="1872"/>
          </w:tcPr>
          <w:p>
            <w:r>
              <w:rPr>
                <w:sz w:val="20"/>
              </w:rPr>
              <w:t>163</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Plate5-163</w:t>
            </w:r>
          </w:p>
        </w:tc>
      </w:tr>
      <w:tr>
        <w:tc>
          <w:tcPr>
            <w:tcW w:type="dxa" w:w="1872"/>
          </w:tcPr>
          <w:p>
            <w:r>
              <w:rPr>
                <w:sz w:val="20"/>
              </w:rPr>
              <w:t>163</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Plate1-163</w:t>
            </w:r>
          </w:p>
        </w:tc>
      </w:tr>
      <w:tr>
        <w:tc>
          <w:tcPr>
            <w:tcW w:type="dxa" w:w="1872"/>
          </w:tcPr>
          <w:p>
            <w:r>
              <w:rPr>
                <w:sz w:val="20"/>
              </w:rPr>
              <w:t>164</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Plate5-164</w:t>
            </w:r>
          </w:p>
        </w:tc>
      </w:tr>
      <w:tr>
        <w:tc>
          <w:tcPr>
            <w:tcW w:type="dxa" w:w="1872"/>
          </w:tcPr>
          <w:p>
            <w:r>
              <w:rPr>
                <w:sz w:val="20"/>
              </w:rPr>
              <w:t>164</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Plate1-164</w:t>
            </w:r>
          </w:p>
        </w:tc>
      </w:tr>
      <w:tr>
        <w:tc>
          <w:tcPr>
            <w:tcW w:type="dxa" w:w="1872"/>
          </w:tcPr>
          <w:p>
            <w:r>
              <w:rPr>
                <w:sz w:val="20"/>
              </w:rPr>
              <w:t>165</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Plate5-165</w:t>
            </w:r>
          </w:p>
        </w:tc>
      </w:tr>
      <w:tr>
        <w:tc>
          <w:tcPr>
            <w:tcW w:type="dxa" w:w="1872"/>
          </w:tcPr>
          <w:p>
            <w:r>
              <w:rPr>
                <w:sz w:val="20"/>
              </w:rPr>
              <w:t>165</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Plate1-165</w:t>
            </w:r>
          </w:p>
        </w:tc>
      </w:tr>
      <w:tr>
        <w:tc>
          <w:tcPr>
            <w:tcW w:type="dxa" w:w="1872"/>
          </w:tcPr>
          <w:p>
            <w:r>
              <w:rPr>
                <w:sz w:val="20"/>
              </w:rPr>
              <w:t>166</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Plate5-166</w:t>
            </w:r>
          </w:p>
        </w:tc>
      </w:tr>
      <w:tr>
        <w:tc>
          <w:tcPr>
            <w:tcW w:type="dxa" w:w="1872"/>
          </w:tcPr>
          <w:p>
            <w:r>
              <w:rPr>
                <w:sz w:val="20"/>
              </w:rPr>
              <w:t>166</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Plate1-166</w:t>
            </w:r>
          </w:p>
        </w:tc>
      </w:tr>
      <w:tr>
        <w:tc>
          <w:tcPr>
            <w:tcW w:type="dxa" w:w="1872"/>
          </w:tcPr>
          <w:p>
            <w:r>
              <w:rPr>
                <w:sz w:val="20"/>
              </w:rPr>
              <w:t>167</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Plate5-167</w:t>
            </w:r>
          </w:p>
        </w:tc>
      </w:tr>
      <w:tr>
        <w:tc>
          <w:tcPr>
            <w:tcW w:type="dxa" w:w="1872"/>
          </w:tcPr>
          <w:p>
            <w:r>
              <w:rPr>
                <w:sz w:val="20"/>
              </w:rPr>
              <w:t>167</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Plate1-167</w:t>
            </w:r>
          </w:p>
        </w:tc>
      </w:tr>
      <w:tr>
        <w:tc>
          <w:tcPr>
            <w:tcW w:type="dxa" w:w="1872"/>
          </w:tcPr>
          <w:p>
            <w:r>
              <w:rPr>
                <w:sz w:val="20"/>
              </w:rPr>
              <w:t>168</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Plate5-168</w:t>
            </w:r>
          </w:p>
        </w:tc>
      </w:tr>
      <w:tr>
        <w:tc>
          <w:tcPr>
            <w:tcW w:type="dxa" w:w="1872"/>
          </w:tcPr>
          <w:p>
            <w:r>
              <w:rPr>
                <w:sz w:val="20"/>
              </w:rPr>
              <w:t>168</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Plate1-168</w:t>
            </w:r>
          </w:p>
        </w:tc>
      </w:tr>
      <w:tr>
        <w:tc>
          <w:tcPr>
            <w:tcW w:type="dxa" w:w="1872"/>
          </w:tcPr>
          <w:p>
            <w:r>
              <w:rPr>
                <w:sz w:val="20"/>
              </w:rPr>
              <w:t>169</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Plate5-169</w:t>
            </w:r>
          </w:p>
        </w:tc>
      </w:tr>
      <w:tr>
        <w:tc>
          <w:tcPr>
            <w:tcW w:type="dxa" w:w="1872"/>
          </w:tcPr>
          <w:p>
            <w:r>
              <w:rPr>
                <w:sz w:val="20"/>
              </w:rPr>
              <w:t>169</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Plate1-169</w:t>
            </w:r>
          </w:p>
        </w:tc>
      </w:tr>
      <w:tr>
        <w:tc>
          <w:tcPr>
            <w:tcW w:type="dxa" w:w="1872"/>
          </w:tcPr>
          <w:p>
            <w:r>
              <w:rPr>
                <w:sz w:val="20"/>
              </w:rPr>
              <w:t>170</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Plate5-170</w:t>
            </w:r>
          </w:p>
        </w:tc>
      </w:tr>
      <w:tr>
        <w:tc>
          <w:tcPr>
            <w:tcW w:type="dxa" w:w="1872"/>
          </w:tcPr>
          <w:p>
            <w:r>
              <w:rPr>
                <w:sz w:val="20"/>
              </w:rPr>
              <w:t>170</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Plate1-170</w:t>
            </w:r>
          </w:p>
        </w:tc>
      </w:tr>
      <w:tr>
        <w:tc>
          <w:tcPr>
            <w:tcW w:type="dxa" w:w="1872"/>
          </w:tcPr>
          <w:p>
            <w:r>
              <w:rPr>
                <w:sz w:val="20"/>
              </w:rPr>
              <w:t>171</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Plate5-171</w:t>
            </w:r>
          </w:p>
        </w:tc>
      </w:tr>
      <w:tr>
        <w:tc>
          <w:tcPr>
            <w:tcW w:type="dxa" w:w="1872"/>
          </w:tcPr>
          <w:p>
            <w:r>
              <w:rPr>
                <w:sz w:val="20"/>
              </w:rPr>
              <w:t>171</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Plate1-171</w:t>
            </w:r>
          </w:p>
        </w:tc>
      </w:tr>
      <w:tr>
        <w:tc>
          <w:tcPr>
            <w:tcW w:type="dxa" w:w="1872"/>
          </w:tcPr>
          <w:p>
            <w:r>
              <w:rPr>
                <w:sz w:val="20"/>
              </w:rPr>
              <w:t>172</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Plate5-172</w:t>
            </w:r>
          </w:p>
        </w:tc>
      </w:tr>
      <w:tr>
        <w:tc>
          <w:tcPr>
            <w:tcW w:type="dxa" w:w="1872"/>
          </w:tcPr>
          <w:p>
            <w:r>
              <w:rPr>
                <w:sz w:val="20"/>
              </w:rPr>
              <w:t>172</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Plate1-172</w:t>
            </w:r>
          </w:p>
        </w:tc>
      </w:tr>
      <w:tr>
        <w:tc>
          <w:tcPr>
            <w:tcW w:type="dxa" w:w="1872"/>
          </w:tcPr>
          <w:p>
            <w:r>
              <w:rPr>
                <w:sz w:val="20"/>
              </w:rPr>
              <w:t>173</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Plate5-173</w:t>
            </w:r>
          </w:p>
        </w:tc>
      </w:tr>
      <w:tr>
        <w:tc>
          <w:tcPr>
            <w:tcW w:type="dxa" w:w="1872"/>
          </w:tcPr>
          <w:p>
            <w:r>
              <w:rPr>
                <w:sz w:val="20"/>
              </w:rPr>
              <w:t>173</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Plate1-173</w:t>
            </w:r>
          </w:p>
        </w:tc>
      </w:tr>
      <w:tr>
        <w:tc>
          <w:tcPr>
            <w:tcW w:type="dxa" w:w="1872"/>
          </w:tcPr>
          <w:p>
            <w:r>
              <w:rPr>
                <w:sz w:val="20"/>
              </w:rPr>
              <w:t>174</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Plate5-174</w:t>
            </w:r>
          </w:p>
        </w:tc>
      </w:tr>
      <w:tr>
        <w:tc>
          <w:tcPr>
            <w:tcW w:type="dxa" w:w="1872"/>
          </w:tcPr>
          <w:p>
            <w:r>
              <w:rPr>
                <w:sz w:val="20"/>
              </w:rPr>
              <w:t>174</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Plate1-174</w:t>
            </w:r>
          </w:p>
        </w:tc>
      </w:tr>
      <w:tr>
        <w:tc>
          <w:tcPr>
            <w:tcW w:type="dxa" w:w="1872"/>
          </w:tcPr>
          <w:p>
            <w:r>
              <w:rPr>
                <w:sz w:val="20"/>
              </w:rPr>
              <w:t>175</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Plate5-175</w:t>
            </w:r>
          </w:p>
        </w:tc>
      </w:tr>
      <w:tr>
        <w:tc>
          <w:tcPr>
            <w:tcW w:type="dxa" w:w="1872"/>
          </w:tcPr>
          <w:p>
            <w:r>
              <w:rPr>
                <w:sz w:val="20"/>
              </w:rPr>
              <w:t>175</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Plate1-175</w:t>
            </w:r>
          </w:p>
        </w:tc>
      </w:tr>
      <w:tr>
        <w:tc>
          <w:tcPr>
            <w:tcW w:type="dxa" w:w="1872"/>
          </w:tcPr>
          <w:p>
            <w:r>
              <w:rPr>
                <w:sz w:val="20"/>
              </w:rPr>
              <w:t>176</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Plate5-176</w:t>
            </w:r>
          </w:p>
        </w:tc>
      </w:tr>
      <w:tr>
        <w:tc>
          <w:tcPr>
            <w:tcW w:type="dxa" w:w="1872"/>
          </w:tcPr>
          <w:p>
            <w:r>
              <w:rPr>
                <w:sz w:val="20"/>
              </w:rPr>
              <w:t>176</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Plate1-176</w:t>
            </w:r>
          </w:p>
        </w:tc>
      </w:tr>
      <w:tr>
        <w:tc>
          <w:tcPr>
            <w:tcW w:type="dxa" w:w="1872"/>
          </w:tcPr>
          <w:p>
            <w:r>
              <w:rPr>
                <w:sz w:val="20"/>
              </w:rPr>
              <w:t>177</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Plate5-177</w:t>
            </w:r>
          </w:p>
        </w:tc>
      </w:tr>
      <w:tr>
        <w:tc>
          <w:tcPr>
            <w:tcW w:type="dxa" w:w="1872"/>
          </w:tcPr>
          <w:p>
            <w:r>
              <w:rPr>
                <w:sz w:val="20"/>
              </w:rPr>
              <w:t>177</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Plate1-177</w:t>
            </w:r>
          </w:p>
        </w:tc>
      </w:tr>
      <w:tr>
        <w:tc>
          <w:tcPr>
            <w:tcW w:type="dxa" w:w="1872"/>
          </w:tcPr>
          <w:p>
            <w:r>
              <w:rPr>
                <w:sz w:val="20"/>
              </w:rPr>
              <w:t>178</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Plate5-178</w:t>
            </w:r>
          </w:p>
        </w:tc>
      </w:tr>
      <w:tr>
        <w:tc>
          <w:tcPr>
            <w:tcW w:type="dxa" w:w="1872"/>
          </w:tcPr>
          <w:p>
            <w:r>
              <w:rPr>
                <w:sz w:val="20"/>
              </w:rPr>
              <w:t>178</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Plate1-178</w:t>
            </w:r>
          </w:p>
        </w:tc>
      </w:tr>
      <w:tr>
        <w:tc>
          <w:tcPr>
            <w:tcW w:type="dxa" w:w="1872"/>
          </w:tcPr>
          <w:p>
            <w:r>
              <w:rPr>
                <w:sz w:val="20"/>
              </w:rPr>
              <w:t>179</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Plate5-179</w:t>
            </w:r>
          </w:p>
        </w:tc>
      </w:tr>
      <w:tr>
        <w:tc>
          <w:tcPr>
            <w:tcW w:type="dxa" w:w="1872"/>
          </w:tcPr>
          <w:p>
            <w:r>
              <w:rPr>
                <w:sz w:val="20"/>
              </w:rPr>
              <w:t>179</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Plate1-179</w:t>
            </w:r>
          </w:p>
        </w:tc>
      </w:tr>
      <w:tr>
        <w:tc>
          <w:tcPr>
            <w:tcW w:type="dxa" w:w="1872"/>
          </w:tcPr>
          <w:p>
            <w:r>
              <w:rPr>
                <w:sz w:val="20"/>
              </w:rPr>
              <w:t>180</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Plate5-180</w:t>
            </w:r>
          </w:p>
        </w:tc>
      </w:tr>
      <w:tr>
        <w:tc>
          <w:tcPr>
            <w:tcW w:type="dxa" w:w="1872"/>
          </w:tcPr>
          <w:p>
            <w:r>
              <w:rPr>
                <w:sz w:val="20"/>
              </w:rPr>
              <w:t>180</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Plate1-180</w:t>
            </w:r>
          </w:p>
        </w:tc>
      </w:tr>
      <w:tr>
        <w:tc>
          <w:tcPr>
            <w:tcW w:type="dxa" w:w="1872"/>
          </w:tcPr>
          <w:p>
            <w:r>
              <w:rPr>
                <w:sz w:val="20"/>
              </w:rPr>
              <w:t>181</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Plate5-181</w:t>
            </w:r>
          </w:p>
        </w:tc>
      </w:tr>
      <w:tr>
        <w:tc>
          <w:tcPr>
            <w:tcW w:type="dxa" w:w="1872"/>
          </w:tcPr>
          <w:p>
            <w:r>
              <w:rPr>
                <w:sz w:val="20"/>
              </w:rPr>
              <w:t>181</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Plate1-181</w:t>
            </w:r>
          </w:p>
        </w:tc>
      </w:tr>
      <w:tr>
        <w:tc>
          <w:tcPr>
            <w:tcW w:type="dxa" w:w="1872"/>
          </w:tcPr>
          <w:p>
            <w:r>
              <w:rPr>
                <w:sz w:val="20"/>
              </w:rPr>
              <w:t>182</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Plate5-182</w:t>
            </w:r>
          </w:p>
        </w:tc>
      </w:tr>
      <w:tr>
        <w:tc>
          <w:tcPr>
            <w:tcW w:type="dxa" w:w="1872"/>
          </w:tcPr>
          <w:p>
            <w:r>
              <w:rPr>
                <w:sz w:val="20"/>
              </w:rPr>
              <w:t>182</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Plate1-182</w:t>
            </w:r>
          </w:p>
        </w:tc>
      </w:tr>
      <w:tr>
        <w:tc>
          <w:tcPr>
            <w:tcW w:type="dxa" w:w="1872"/>
          </w:tcPr>
          <w:p>
            <w:r>
              <w:rPr>
                <w:sz w:val="20"/>
              </w:rPr>
              <w:t>183</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Plate5-183</w:t>
            </w:r>
          </w:p>
        </w:tc>
      </w:tr>
      <w:tr>
        <w:tc>
          <w:tcPr>
            <w:tcW w:type="dxa" w:w="1872"/>
          </w:tcPr>
          <w:p>
            <w:r>
              <w:rPr>
                <w:sz w:val="20"/>
              </w:rPr>
              <w:t>183</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Plate1-183</w:t>
            </w:r>
          </w:p>
        </w:tc>
      </w:tr>
      <w:tr>
        <w:tc>
          <w:tcPr>
            <w:tcW w:type="dxa" w:w="1872"/>
          </w:tcPr>
          <w:p>
            <w:r>
              <w:rPr>
                <w:sz w:val="20"/>
              </w:rPr>
              <w:t>184</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Plate5-184</w:t>
            </w:r>
          </w:p>
        </w:tc>
      </w:tr>
      <w:tr>
        <w:tc>
          <w:tcPr>
            <w:tcW w:type="dxa" w:w="1872"/>
          </w:tcPr>
          <w:p>
            <w:r>
              <w:rPr>
                <w:sz w:val="20"/>
              </w:rPr>
              <w:t>184</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Plate1-184</w:t>
            </w:r>
          </w:p>
        </w:tc>
      </w:tr>
      <w:tr>
        <w:tc>
          <w:tcPr>
            <w:tcW w:type="dxa" w:w="1872"/>
          </w:tcPr>
          <w:p>
            <w:r>
              <w:rPr>
                <w:sz w:val="20"/>
              </w:rPr>
              <w:t>185</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Plate5-185</w:t>
            </w:r>
          </w:p>
        </w:tc>
      </w:tr>
      <w:tr>
        <w:tc>
          <w:tcPr>
            <w:tcW w:type="dxa" w:w="1872"/>
          </w:tcPr>
          <w:p>
            <w:r>
              <w:rPr>
                <w:sz w:val="20"/>
              </w:rPr>
              <w:t>185</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Plate1-185</w:t>
            </w:r>
          </w:p>
        </w:tc>
      </w:tr>
      <w:tr>
        <w:tc>
          <w:tcPr>
            <w:tcW w:type="dxa" w:w="1872"/>
          </w:tcPr>
          <w:p>
            <w:r>
              <w:rPr>
                <w:sz w:val="20"/>
              </w:rPr>
              <w:t>186</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Plate5-186</w:t>
            </w:r>
          </w:p>
        </w:tc>
      </w:tr>
      <w:tr>
        <w:tc>
          <w:tcPr>
            <w:tcW w:type="dxa" w:w="1872"/>
          </w:tcPr>
          <w:p>
            <w:r>
              <w:rPr>
                <w:sz w:val="20"/>
              </w:rPr>
              <w:t>186</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Plate1-186</w:t>
            </w:r>
          </w:p>
        </w:tc>
      </w:tr>
      <w:tr>
        <w:tc>
          <w:tcPr>
            <w:tcW w:type="dxa" w:w="1872"/>
          </w:tcPr>
          <w:p>
            <w:r>
              <w:rPr>
                <w:sz w:val="20"/>
              </w:rPr>
              <w:t>187</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Plate5-187</w:t>
            </w:r>
          </w:p>
        </w:tc>
      </w:tr>
      <w:tr>
        <w:tc>
          <w:tcPr>
            <w:tcW w:type="dxa" w:w="1872"/>
          </w:tcPr>
          <w:p>
            <w:r>
              <w:rPr>
                <w:sz w:val="20"/>
              </w:rPr>
              <w:t>187</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Plate1-187</w:t>
            </w:r>
          </w:p>
        </w:tc>
      </w:tr>
      <w:tr>
        <w:tc>
          <w:tcPr>
            <w:tcW w:type="dxa" w:w="1872"/>
          </w:tcPr>
          <w:p>
            <w:r>
              <w:rPr>
                <w:sz w:val="20"/>
              </w:rPr>
              <w:t>188</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Plate5-188</w:t>
            </w:r>
          </w:p>
        </w:tc>
      </w:tr>
      <w:tr>
        <w:tc>
          <w:tcPr>
            <w:tcW w:type="dxa" w:w="1872"/>
          </w:tcPr>
          <w:p>
            <w:r>
              <w:rPr>
                <w:sz w:val="20"/>
              </w:rPr>
              <w:t>188</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Plate1-188</w:t>
            </w:r>
          </w:p>
        </w:tc>
      </w:tr>
      <w:tr>
        <w:tc>
          <w:tcPr>
            <w:tcW w:type="dxa" w:w="1872"/>
          </w:tcPr>
          <w:p>
            <w:r>
              <w:rPr>
                <w:sz w:val="20"/>
              </w:rPr>
              <w:t>189</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Plate5-189</w:t>
            </w:r>
          </w:p>
        </w:tc>
      </w:tr>
      <w:tr>
        <w:tc>
          <w:tcPr>
            <w:tcW w:type="dxa" w:w="1872"/>
          </w:tcPr>
          <w:p>
            <w:r>
              <w:rPr>
                <w:sz w:val="20"/>
              </w:rPr>
              <w:t>189</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Plate1-189</w:t>
            </w:r>
          </w:p>
        </w:tc>
      </w:tr>
      <w:tr>
        <w:tc>
          <w:tcPr>
            <w:tcW w:type="dxa" w:w="1872"/>
          </w:tcPr>
          <w:p>
            <w:r>
              <w:rPr>
                <w:sz w:val="20"/>
              </w:rPr>
              <w:t>190</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Plate5-190</w:t>
            </w:r>
          </w:p>
        </w:tc>
      </w:tr>
      <w:tr>
        <w:tc>
          <w:tcPr>
            <w:tcW w:type="dxa" w:w="1872"/>
          </w:tcPr>
          <w:p>
            <w:r>
              <w:rPr>
                <w:sz w:val="20"/>
              </w:rPr>
              <w:t>190</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Plate1-190</w:t>
            </w:r>
          </w:p>
        </w:tc>
      </w:tr>
    </w:tbl>
    <w:p>
      <w:pPr>
        <w:sectPr>
          <w:pgSz w:w="12240" w:h="15840"/>
          <w:pgMar w:top="1440" w:right="1440" w:bottom="1440" w:left="1440" w:header="720" w:footer="720" w:gutter="0"/>
          <w:pgNumType w:fmt="decimal" w:start="1" w:chapStyle="1"/>
          <w:cols w:space="720"/>
          <w:docGrid w:linePitch="360"/>
        </w:sectPr>
      </w:pPr>
    </w:p>
    <w:p>
      <w:pPr>
        <w:pStyle w:val="Heading1"/>
        <w:pageBreakBefore/>
      </w:pPr>
      <w:bookmarkStart w:id="39" w:name="_Toc_appendix-c"/>
      <w:r>
        <w:t>Transcriptomic Quality Control and Empirical False Discovery Rate</w:t>
      </w:r>
      <w:bookmarkEnd w:id="39"/>
    </w:p>
    <w:p>
      <w:r>
        <w:rPr>
          <w:i/>
        </w:rPr>
        <w:t>[Appendix body pending: Transcriptomic Quality Control and Empirical False Discovery Rate]</w:t>
      </w:r>
    </w:p>
    <w:p>
      <w:pPr>
        <w:sectPr>
          <w:pgSz w:w="12240" w:h="15840"/>
          <w:pgMar w:top="1440" w:right="1440" w:bottom="1440" w:left="1440" w:header="720" w:footer="720" w:gutter="0"/>
          <w:pgNumType w:fmt="decimal" w:start="1" w:chapStyle="1"/>
          <w:cols w:space="720"/>
          <w:docGrid w:linePitch="360"/>
        </w:sectPr>
      </w:pPr>
    </w:p>
    <w:p>
      <w:pPr>
        <w:pStyle w:val="Heading1"/>
        <w:pageBreakBefore/>
      </w:pPr>
      <w:bookmarkStart w:id="40" w:name="_Toc_appendix-d"/>
      <w:r>
        <w:t>Benchmark Dose Model Recommendation and Selection Methodologies</w:t>
      </w:r>
      <w:bookmarkEnd w:id="40"/>
    </w:p>
    <w:p>
      <w:r>
        <w:t>The benchmark dose (BMD) model recommendation and selection methodology applies a fixed set of rules to each fitted model. Each rule classifies a model outcome as Viable, Nonviable, Nonreportable, or a Failure, and the resulting bin placement determines whether a model is eligible for recommendation. Table&amp;nbsp;D-1 lists the rules, the criterion each evaluates, the numerical threshold applied (where one is used), and the bin the model is placed in when the rule fails.</w:t>
        <w:br/>
        <w:t>Table D-1. Benchmark Dose Model Recommendation/Selection Rules for Apical Endpoints</w:t>
        <w:br/>
        <w:t>RuleCriteria for &amp;ldquo;Viable&amp;rdquo;Numerical ThresholdBin Placement for Rule Failure</w:t>
        <w:br/>
        <w:t>BMD ExistenceA BMD exists.NAFailure</w:t>
        <w:br/>
        <w:t>BMDL ExistenceA BMDL exists.NAFailure</w:t>
        <w:br/>
        <w:t>AIC ExistenceAn AIC exists.NAFailure</w:t>
        <w:br/>
        <w:t>Residual of Interest ExistenceThe residual at the dose group closest to the BMD (i.e., the residual of interest) exists.NAFailure</w:t>
        <w:br/>
        <w:t>Variance Model FitThe variance model used fits the data.NANonviable</w:t>
        <w:br/>
        <w:t>Variance Model SelectionThe variance model is appropriate.NANonviable</w:t>
        <w:br/>
        <w:t>Global Goodness of FitThe mean model fits the data means sufficiently well (BMDS 2.7.0 Test 4 p value &amp;gt;N).0.1Nonviable</w:t>
        <w:br/>
        <w:t>Degrees of FreedomThere is at least 1 degree of freedom (i.e., more dose groups than model parameters).NANonviable</w:t>
        <w:br/>
        <w:t>BMD-to-BMDL RatioThe ratio of BMD to BMDL is not large (BMD/BMDL &amp;lt;N).20Viable</w:t>
        <w:br/>
        <w:t>High BMDLThe BMDL is &amp;lt;N times higher than the maximum dose.1Viable</w:t>
        <w:br/>
        <w:t>High BMDThe BMD is &amp;lt;N times higher than the maximum dose.1Viable</w:t>
        <w:br/>
        <w:t>Low BMDThe BMD is &amp;lt;N times lower than the minimum nonzero dose.3Nonreportable</w:t>
        <w:br/>
        <w:t>Control ResidualThe residual at control is small (residual &amp;lt;N).2Nonviable</w:t>
        <w:br/>
        <w:t>Control Standard DeviationThe modeled standard deviation is similar to the actual (&amp;lt;N times different).1.5Nonviable</w:t>
        <w:br/>
        <w:t>Residual of InterestThe residual at the dose group closest to the BMD (i.e., the residual of interest) is small (residual &amp;lt;N).2Nonviable</w:t>
        <w:br/>
        <w:t>No Warnings ReportedNo warnings in the BMD model system were reported.NAViable</w:t>
        <w:br/>
        <w:t>BMD = benchmark dose; NA = not applicable; BMDL = benchmark dose lower confidence limit; AIC = Akaike information criterion; BMDS = Benchmark Dose Software; N = numerical threshold.</w:t>
        <w:br/>
        <w:t>Note: the two model-recommendation/selection methodology flowcharts (Figure D-1 for apical endpoints and Figure D-2 for gene sets) are not yet reproduced in this generated report.</w:t>
      </w:r>
    </w:p>
    <w:p>
      <w:pPr>
        <w:sectPr>
          <w:pgSz w:w="12240" w:h="15840"/>
          <w:pgMar w:top="1440" w:right="1440" w:bottom="1440" w:left="1440" w:header="720" w:footer="720" w:gutter="0"/>
          <w:pgNumType w:fmt="decimal" w:start="1" w:chapStyle="1"/>
          <w:cols w:space="720"/>
          <w:docGrid w:linePitch="360"/>
        </w:sectPr>
      </w:pPr>
    </w:p>
    <w:p>
      <w:pPr>
        <w:pStyle w:val="Heading1"/>
        <w:pageBreakBefore/>
      </w:pPr>
      <w:bookmarkStart w:id="41" w:name="_Toc_appendix-e"/>
      <w:r>
        <w:t>Organ Weight Descriptions</w:t>
      </w:r>
      <w:bookmarkEnd w:id="41"/>
    </w:p>
    <w:p>
      <w:r>
        <w:t>E.1. Organ Weight Descriptions</w:t>
        <w:br/>
        <w:t>Liver: The liver carries out biotransformation and excretion of endogenous and xenobiotic substances, regulation of blood sugar, enzymatic transformation of essential nutrients, generation of blood proteins involved in fluid balance and clotting, and bile production for digestion and absorption of fats. Liver weight changes can be an indication of chemical-induced stress. Specifically, in subacute studies, increases in liver weight in response to low doses of toxicants typically stem from increases in xenobiotic metabolizing enzymes and associated hepatocyte hypertrophy or peroxisome proliferation. Increased liver weight, particularly when accompanied by evidence of leakage of liver-specific enzymes into blood, likely reflects hemodynamic changes related to severe hepatotoxicity. Higher liver weight relative to body weight may also occur at any dose level that causes a slowed rate of body growth and does not necessarily indicate liver toxicity. Decreased liver weight in subacute studies is typically of unknown toxicological significance but in rare cases may be related to glycogen depletion.</w:t>
        <w:br/>
        <w:t>Kidney: The kidneys remove waste products and xenobiotics from the body, balance blood electrolytes, regulate blood pressure through the release of hormones, synthesize the active form of vitamin D, and control the production of erythropoiesis. In subacute studies, changes in kidney weight may reflect renal toxicity (particularly if accompanied by increases in other markers of kidney toxicity, e.g., increased Kim-1) and/or tubular hypertrophy. Decreased kidney weights in subacute studies are typically of unknown toxicological significance.</w:t>
        <w:br/>
        <w:t>Heart: The heart drives the circulatory system, supplying oxygen and essential macro- and micronutrients to the tissues. Increased heart weight in subacute studies would indicate severe cardiotoxicity, compensatory myocardial hypertrophy, and/or pulmonary injury. Decreased heart weight in subacute studies is often of unknown toxicological significance; however, it may be caused by decreased load on the heart from dehydration or modulation of contractility.</w:t>
      </w:r>
    </w:p>
    <w:p>
      <w:pPr>
        <w:sectPr>
          <w:pgSz w:w="12240" w:h="15840"/>
          <w:pgMar w:top="1440" w:right="1440" w:bottom="1440" w:left="1440" w:header="720" w:footer="720" w:gutter="0"/>
          <w:pgNumType w:fmt="decimal" w:start="1" w:chapStyle="1"/>
          <w:cols w:space="720"/>
          <w:docGrid w:linePitch="360"/>
        </w:sectPr>
      </w:pPr>
    </w:p>
    <w:p>
      <w:pPr>
        <w:pStyle w:val="Heading1"/>
        <w:pageBreakBefore/>
      </w:pPr>
      <w:bookmarkStart w:id="42" w:name="_Toc_appendix-f"/>
      <w:r>
        <w:t>Supplemental Data</w:t>
      </w:r>
      <w:bookmarkEnd w:id="42"/>
    </w:p>
    <w:p>
      <w:r>
        <w:t>The following supplemental files are available at https://doi.org/10.22427/NIEHS-DATA-NIEHS-10.29.</w:t>
        <w:br/>
        <w:t>F.1. Apical Benchmark Dose Analysis</w:t>
        <w:br/>
        <w:t xml:space="preserve">  Mean Body Weight Summary &amp;mdash; C20022-01_Mean_Body_Weight_Summary.docx</w:t>
        <w:br/>
        <w:t xml:space="preserve">  Organ Weights Summary &amp;mdash; C20022-01_Organ_Weights_Summary.docx</w:t>
        <w:br/>
        <w:t xml:space="preserve">  Clinical Chemistry Summary &amp;mdash; C20022-01_Clinical_Chemistry_Summary.docx</w:t>
        <w:br/>
        <w:t xml:space="preserve">  Hematology Summary &amp;mdash; C20022-01_Hematology_Data_Summary.docx</w:t>
        <w:br/>
        <w:t xml:space="preserve">  Hormone and Enzymes Summary &amp;mdash; C20022-01_Hormone_Summary.docx</w:t>
        <w:br/>
        <w:t xml:space="preserve">  BMD, NOEL and LOEL Summary for Apical Endpoints &amp;mdash; C20022-01_BMD_BMDL_LOEL_and_NOEL_Summary_for_Apical_Endpoints_Sorted_by_BMD_LOEL_from_Low_to_High.docx</w:t>
        <w:br/>
        <w:t xml:space="preserve">  Male BMD Apical Endpoints Model Fits &amp;mdash; C20022-01_Appendix_Male_07282021.docx</w:t>
        <w:br/>
        <w:t xml:space="preserve">  Female BMD Apical Endpoints Model Fits &amp;mdash; C20022-01_Appendix_Female_07282021.docx</w:t>
        <w:br/>
        <w:t xml:space="preserve">  BMD Model Recommendation Selection Rules &amp;mdash; C20022-01_Benchmark_Dose_Model_Recommendation_Selection_Rules_for_Apical_Endpoints.docx</w:t>
        <w:br/>
        <w:t xml:space="preserve">  Read Me &amp;mdash; C20022-01_ReadME.docx</w:t>
        <w:br/>
        <w:t xml:space="preserve">  Male Model Parameters &amp;mdash; C20022-01_Parameter_Male_07282021.xlsx</w:t>
        <w:br/>
        <w:t xml:space="preserve">  Female Model Parameters &amp;mdash; C20022-01_Parameter_Female_07282021.xlsx</w:t>
        <w:br/>
        <w:t xml:space="preserve">  BMDs code package &amp;mdash; C20022-01_bmds.zip</w:t>
      </w:r>
    </w:p>
    <w:sectPr w:rsidR="000A52BD" w:rsidRPr="000A52BD" w:rsidSect="00FC0207">
      <w:pgSz w:w="12240" w:h="15840"/>
      <w:pgMar w:top="1440" w:right="1440" w:bottom="1440" w:left="1440" w:header="720" w:footer="720" w:gutter="0"/>
      <w:pgNumType w:fmt="decimal"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46240A" w14:textId="77777777" w:rsidR="004104E7" w:rsidRDefault="004104E7" w:rsidP="00E127AB">
      <w:r>
        <w:separator/>
      </w:r>
    </w:p>
  </w:endnote>
  <w:endnote w:type="continuationSeparator" w:id="0">
    <w:p w14:paraId="60C4D412" w14:textId="77777777" w:rsidR="004104E7" w:rsidRDefault="004104E7" w:rsidP="00E127AB">
      <w:r>
        <w:continuationSeparator/>
      </w:r>
    </w:p>
  </w:endnote>
  <w:endnote w:type="continuationNotice" w:id="1">
    <w:p w14:paraId="39ED38FE" w14:textId="77777777" w:rsidR="004104E7" w:rsidRDefault="004104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auto"/>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Droid Sans Fallback">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MathematicalPiLTStd">
    <w:altName w:val="Yu Gothic"/>
    <w:charset w:val="80"/>
    <w:family w:val="auto"/>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BD6CA" w14:textId="77777777" w:rsidR="0035672E" w:rsidRPr="00846A56" w:rsidRDefault="0035672E" w:rsidP="006206D4">
    <w:pPr>
      <w:pStyle w:val="Footer"/>
      <w:jc w:val="center"/>
      <w:rPr>
        <w:rFonts w:ascii="Cambria" w:hAnsi="Cambr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37A86D" w14:textId="237F391D" w:rsidR="0035672E" w:rsidRDefault="0035672E" w:rsidP="006206D4">
    <w:pPr>
      <w:pStyle w:val="Footer"/>
      <w:jc w:val="center"/>
    </w:pPr>
    <w:r>
      <w:fldChar w:fldCharType="begin"/>
    </w:r>
    <w:r>
      <w:instrText xml:space="preserve"> PAGE   \* MERGEFORMAT </w:instrText>
    </w:r>
    <w:r>
      <w:fldChar w:fldCharType="separate"/>
    </w:r>
    <w:r>
      <w:rPr>
        <w:noProof/>
      </w:rPr>
      <w:t>ii</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F2EC4" w14:textId="599CAF46" w:rsidR="0035672E" w:rsidRDefault="0035672E" w:rsidP="00051267">
    <w:pPr>
      <w:pStyle w:val="Footer"/>
      <w:jc w:val="center"/>
    </w:pPr>
    <w:r>
      <w:fldChar w:fldCharType="begin"/>
    </w:r>
    <w:r>
      <w:instrText xml:space="preserve"> PAGE   \* MERGEFORMAT </w:instrText>
    </w:r>
    <w:r>
      <w:fldChar w:fldCharType="separate"/>
    </w:r>
    <w:r>
      <w:rPr>
        <w:noProof/>
      </w:rPr>
      <w:t>ii</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ACB22" w14:textId="2ECE89AA" w:rsidR="0035672E" w:rsidRDefault="0035672E" w:rsidP="00051267">
    <w:pPr>
      <w:pStyle w:val="Footer"/>
      <w:jc w:val="center"/>
    </w:pPr>
    <w:r>
      <w:fldChar w:fldCharType="begin"/>
    </w:r>
    <w:r>
      <w:instrText xml:space="preserve"> PAGE   \* MERGEFORMAT </w:instrText>
    </w:r>
    <w:r>
      <w:fldChar w:fldCharType="separate"/>
    </w:r>
    <w:r>
      <w:rPr>
        <w:noProof/>
      </w:rPr>
      <w:t>8</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A29D" w14:textId="6C1E030B" w:rsidR="0035672E" w:rsidRDefault="0035672E" w:rsidP="00051267">
    <w:pPr>
      <w:pStyle w:val="Footer"/>
      <w:jc w:val="center"/>
    </w:pPr>
    <w:r>
      <w:fldChar w:fldCharType="begin"/>
    </w:r>
    <w:r>
      <w:instrText xml:space="preserve"> PAGE   \* MERGEFORMAT </w:instrText>
    </w:r>
    <w:r>
      <w:fldChar w:fldCharType="separate"/>
    </w:r>
    <w:r>
      <w:rPr>
        <w:noProof/>
      </w:rPr>
      <w:t>16</w:t>
    </w:r>
    <w:r>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AE62D" w14:textId="63A7CE64" w:rsidR="0035672E" w:rsidRDefault="0035672E" w:rsidP="00A41CCA">
    <w:pPr>
      <w:pStyle w:val="Footer"/>
      <w:jc w:val="center"/>
    </w:pPr>
    <w:r>
      <w:fldChar w:fldCharType="begin"/>
    </w:r>
    <w:r>
      <w:instrText xml:space="preserve"> PAGE   \* MERGEFORMAT </w:instrText>
    </w:r>
    <w:r>
      <w:fldChar w:fldCharType="separate"/>
    </w:r>
    <w:r>
      <w:rPr>
        <w:noProof/>
      </w:rPr>
      <w:t>D-1</w:t>
    </w:r>
    <w:r>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113F00" w14:textId="111A0CF6" w:rsidR="0035672E" w:rsidRDefault="0035672E" w:rsidP="00051267">
    <w:pPr>
      <w:pStyle w:val="Footer"/>
      <w:jc w:val="center"/>
    </w:pPr>
    <w:r>
      <w:fldChar w:fldCharType="begin"/>
    </w:r>
    <w:r>
      <w:instrText xml:space="preserve"> PAGE   \* MERGEFORMAT </w:instrText>
    </w:r>
    <w:r>
      <w:fldChar w:fldCharType="separate"/>
    </w:r>
    <w:r>
      <w:rPr>
        <w:noProof/>
      </w:rPr>
      <w:t>E-2</w:t>
    </w:r>
    <w:r>
      <w:rPr>
        <w:noProof/>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E76292" w14:textId="77777777" w:rsidR="004104E7" w:rsidRDefault="004104E7" w:rsidP="00E127AB">
      <w:r>
        <w:separator/>
      </w:r>
    </w:p>
  </w:footnote>
  <w:footnote w:type="continuationSeparator" w:id="0">
    <w:p w14:paraId="7168A4B0" w14:textId="77777777" w:rsidR="004104E7" w:rsidRDefault="004104E7" w:rsidP="00E127AB">
      <w:r>
        <w:continuationSeparator/>
      </w:r>
    </w:p>
  </w:footnote>
  <w:footnote w:type="continuationNotice" w:id="1">
    <w:p w14:paraId="74FA4792" w14:textId="77777777" w:rsidR="004104E7" w:rsidRDefault="004104E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4AE93" w14:textId="368DBAD2" w:rsidR="0035672E" w:rsidRPr="005433D3" w:rsidRDefault="0035672E" w:rsidP="000B31BB">
    <w:pPr>
      <w:pStyle w:val="NTPHeaderFinal"/>
    </w:pPr>
    <w:r w:rsidRPr="005433D3">
      <w:t>In Vivo Repeat Dose Biological Potency Study of Triphenyl Phosphate in Male Sprague Dawley Rats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3D596" w14:textId="1C898BB8" w:rsidR="0035672E" w:rsidRPr="00D7621B" w:rsidRDefault="0035672E" w:rsidP="00FF4956">
    <w:pPr>
      <w:pStyle w:val="NTPHeaderFinal"/>
    </w:pPr>
    <w:r w:rsidRPr="005433D3">
      <w:t>In Vivo Repeat Dose Biological Potency Study of</w:t>
    </w:r>
    <w:r>
      <w:br/>
    </w:r>
    <w:proofErr w:type="spellStart"/>
    <w:r w:rsidRPr="00FE461A">
      <w:t>Perfluorohexanesulfonamide</w:t>
    </w:r>
    <w:proofErr w:type="spellEnd"/>
    <w:r>
      <w:t xml:space="preserve"> in </w:t>
    </w:r>
    <w:r w:rsidRPr="005433D3">
      <w:t>Sprague Dawley Rats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In Vivo Repeat Dose Biological Potency Study of</w:t>
      <w:br/>
    </w:r>
    <w:r>
      <w:t>Perfluorohexanesulfonamide in Sprague Dawley Rats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07A7B9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B10AFB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094B04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68C642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6A42B2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E70AA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F2E51F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DE6FDC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85027A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4FA601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B5D7557"/>
    <w:multiLevelType w:val="multilevel"/>
    <w:tmpl w:val="E7BCB792"/>
    <w:lvl w:ilvl="0">
      <w:start w:val="1"/>
      <w:numFmt w:val="bullet"/>
      <w:pStyle w:val="Bullet1"/>
      <w:lvlText w:val=""/>
      <w:lvlJc w:val="left"/>
      <w:pPr>
        <w:tabs>
          <w:tab w:val="num" w:pos="720"/>
        </w:tabs>
        <w:ind w:left="720" w:hanging="360"/>
      </w:pPr>
      <w:rPr>
        <w:rFonts w:ascii="Symbol" w:hAnsi="Symbol" w:hint="default"/>
        <w:sz w:val="20"/>
      </w:rPr>
    </w:lvl>
    <w:lvl w:ilvl="1">
      <w:start w:val="1"/>
      <w:numFmt w:val="bullet"/>
      <w:pStyle w:val="Bullet2"/>
      <w:lvlText w:val=""/>
      <w:lvlJc w:val="left"/>
      <w:pPr>
        <w:tabs>
          <w:tab w:val="num" w:pos="936"/>
        </w:tabs>
        <w:ind w:left="1008" w:hanging="288"/>
      </w:pPr>
      <w:rPr>
        <w:rFonts w:ascii="Wingdings" w:hAnsi="Wingdings" w:hint="default"/>
        <w:sz w:val="20"/>
      </w:rPr>
    </w:lvl>
    <w:lvl w:ilvl="2">
      <w:start w:val="1"/>
      <w:numFmt w:val="bullet"/>
      <w:pStyle w:val="Bullet3"/>
      <w:lvlText w:val="–"/>
      <w:lvlJc w:val="left"/>
      <w:pPr>
        <w:tabs>
          <w:tab w:val="num" w:pos="1440"/>
        </w:tabs>
        <w:ind w:left="1368" w:hanging="288"/>
      </w:pPr>
      <w:rPr>
        <w:rFonts w:ascii="Calibri" w:hAnsi="Calibri" w:hint="default"/>
        <w:sz w:val="20"/>
      </w:rPr>
    </w:lvl>
    <w:lvl w:ilvl="3">
      <w:start w:val="1"/>
      <w:numFmt w:val="bullet"/>
      <w:lvlText w:val="o"/>
      <w:lvlJc w:val="left"/>
      <w:pPr>
        <w:tabs>
          <w:tab w:val="num" w:pos="2880"/>
        </w:tabs>
        <w:ind w:left="2880" w:hanging="360"/>
      </w:pPr>
      <w:rPr>
        <w:rFonts w:ascii="Courier New" w:hAnsi="Courier New"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246F71"/>
    <w:multiLevelType w:val="multilevel"/>
    <w:tmpl w:val="CC52111E"/>
    <w:lvl w:ilvl="0">
      <w:start w:val="1"/>
      <w:numFmt w:val="decimal"/>
      <w:pStyle w:val="0-07NumList1"/>
      <w:lvlText w:val="%1."/>
      <w:lvlJc w:val="left"/>
      <w:pPr>
        <w:tabs>
          <w:tab w:val="num" w:pos="720"/>
        </w:tabs>
        <w:ind w:left="1080" w:hanging="360"/>
      </w:pPr>
      <w:rPr>
        <w:rFonts w:hint="default"/>
      </w:rPr>
    </w:lvl>
    <w:lvl w:ilvl="1">
      <w:start w:val="1"/>
      <w:numFmt w:val="lowerLetter"/>
      <w:pStyle w:val="0-10NumList2"/>
      <w:lvlText w:val="%2."/>
      <w:lvlJc w:val="left"/>
      <w:pPr>
        <w:tabs>
          <w:tab w:val="num" w:pos="7200"/>
        </w:tabs>
        <w:ind w:left="1440" w:hanging="360"/>
      </w:pPr>
      <w:rPr>
        <w:rFonts w:hint="default"/>
      </w:rPr>
    </w:lvl>
    <w:lvl w:ilvl="2">
      <w:start w:val="1"/>
      <w:numFmt w:val="lowerRoman"/>
      <w:pStyle w:val="0-13NumList3"/>
      <w:lvlText w:val="%3."/>
      <w:lvlJc w:val="left"/>
      <w:pPr>
        <w:tabs>
          <w:tab w:val="num" w:pos="1440"/>
        </w:tabs>
        <w:ind w:left="1800" w:hanging="360"/>
      </w:pPr>
      <w:rPr>
        <w:rFonts w:hint="default"/>
      </w:rPr>
    </w:lvl>
    <w:lvl w:ilvl="3">
      <w:start w:val="1"/>
      <w:numFmt w:val="decimal"/>
      <w:pStyle w:val="0-16NumList4"/>
      <w:lvlText w:val="(%4)"/>
      <w:lvlJc w:val="left"/>
      <w:pPr>
        <w:ind w:left="21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8434A8D"/>
    <w:multiLevelType w:val="multilevel"/>
    <w:tmpl w:val="48D69F06"/>
    <w:lvl w:ilvl="0">
      <w:start w:val="1"/>
      <w:numFmt w:val="upperLetter"/>
      <w:pStyle w:val="Heading1"/>
      <w:suff w:val="space"/>
      <w:lvlText w:val="Appendix %1."/>
      <w:lvlJc w:val="left"/>
      <w:rPr>
        <w:rFonts w:ascii="Arial" w:hAnsi="Arial" w:cs="Times New Roman" w:hint="default"/>
        <w:b/>
        <w:bCs w:val="0"/>
        <w:i w:val="0"/>
        <w:iCs w:val="0"/>
        <w:caps w:val="0"/>
        <w:strike w:val="0"/>
        <w:dstrike w:val="0"/>
        <w:vanish w:val="0"/>
        <w:color w:val="000000"/>
        <w:spacing w:val="0"/>
        <w:kern w:val="0"/>
        <w:position w:val="0"/>
        <w:sz w:val="32"/>
        <w:u w:val="none"/>
        <w:effect w:val="none"/>
        <w:vertAlign w:val="baseline"/>
        <w:em w:val="none"/>
      </w:rPr>
    </w:lvl>
    <w:lvl w:ilvl="1">
      <w:start w:val="1"/>
      <w:numFmt w:val="decimal"/>
      <w:pStyle w:val="4-05AppendixHead1"/>
      <w:suff w:val="space"/>
      <w:lvlText w:val="%1.%2."/>
      <w:lvlJc w:val="left"/>
      <w:rPr>
        <w:rFonts w:ascii="Arial" w:hAnsi="Arial" w:cs="Times New Roman" w:hint="default"/>
        <w:b/>
        <w:bCs w:val="0"/>
        <w:i w:val="0"/>
        <w:iCs w:val="0"/>
        <w:caps w:val="0"/>
        <w:smallCaps w:val="0"/>
        <w:strike w:val="0"/>
        <w:dstrike w:val="0"/>
        <w:vanish w:val="0"/>
        <w:color w:val="000000"/>
        <w:spacing w:val="0"/>
        <w:kern w:val="0"/>
        <w:position w:val="0"/>
        <w:sz w:val="28"/>
        <w:u w:val="none"/>
        <w:effect w:val="none"/>
        <w:vertAlign w:val="baseline"/>
        <w:em w:val="none"/>
      </w:rPr>
    </w:lvl>
    <w:lvl w:ilvl="2">
      <w:start w:val="1"/>
      <w:numFmt w:val="decimal"/>
      <w:pStyle w:val="4-06AppendixHead2"/>
      <w:suff w:val="space"/>
      <w:lvlText w:val="%1.%2.%3."/>
      <w:lvlJc w:val="left"/>
      <w:rPr>
        <w:rFonts w:ascii="Arial" w:hAnsi="Arial" w:cs="Times New Roman" w:hint="default"/>
        <w:b/>
        <w:bCs w:val="0"/>
        <w:i w:val="0"/>
        <w:iCs w:val="0"/>
        <w:caps w:val="0"/>
        <w:smallCaps w:val="0"/>
        <w:strike w:val="0"/>
        <w:dstrike w:val="0"/>
        <w:vanish w:val="0"/>
        <w:color w:val="000000"/>
        <w:spacing w:val="0"/>
        <w:kern w:val="0"/>
        <w:position w:val="0"/>
        <w:sz w:val="24"/>
        <w:u w:val="none"/>
        <w:effect w:val="none"/>
        <w:vertAlign w:val="baseline"/>
        <w:em w:val="none"/>
      </w:rPr>
    </w:lvl>
    <w:lvl w:ilvl="3">
      <w:start w:val="1"/>
      <w:numFmt w:val="decimal"/>
      <w:pStyle w:val="4-07AppendixHead3"/>
      <w:suff w:val="space"/>
      <w:lvlText w:val="%1.%2.%3.%4."/>
      <w:lvlJc w:val="left"/>
      <w:pPr>
        <w:ind w:left="0" w:firstLine="0"/>
      </w:pPr>
      <w:rPr>
        <w:rFonts w:ascii="Arial" w:hAnsi="Arial" w:cs="Times New Roman" w:hint="default"/>
        <w:b/>
        <w:i/>
        <w:sz w:val="20"/>
      </w:rPr>
    </w:lvl>
    <w:lvl w:ilvl="4">
      <w:start w:val="1"/>
      <w:numFmt w:val="decimal"/>
      <w:pStyle w:val="4-08AppendixHead4"/>
      <w:suff w:val="space"/>
      <w:lvlText w:val="%1.%2.%3.%4.%5."/>
      <w:lvlJc w:val="left"/>
      <w:rPr>
        <w:rFonts w:ascii="Arial" w:hAnsi="Arial" w:cs="Times New Roman" w:hint="default"/>
        <w:b w:val="0"/>
        <w:bCs w:val="0"/>
        <w:i/>
        <w:iCs w:val="0"/>
        <w:caps w:val="0"/>
        <w:smallCaps w:val="0"/>
        <w:strike w:val="0"/>
        <w:dstrike w:val="0"/>
        <w:vanish w:val="0"/>
        <w:color w:val="000000"/>
        <w:spacing w:val="0"/>
        <w:kern w:val="0"/>
        <w:position w:val="0"/>
        <w:sz w:val="20"/>
        <w:u w:val="none"/>
        <w:effect w:val="none"/>
        <w:vertAlign w:val="baseline"/>
        <w:em w:val="none"/>
      </w:rPr>
    </w:lvl>
    <w:lvl w:ilvl="5">
      <w:start w:val="1"/>
      <w:numFmt w:val="none"/>
      <w:lvlText w:val=""/>
      <w:lvlJc w:val="left"/>
      <w:rPr>
        <w:rFonts w:cs="Times New Roman" w:hint="default"/>
        <w:bCs w:val="0"/>
        <w:i w:val="0"/>
        <w:iCs w:val="0"/>
        <w:caps w:val="0"/>
        <w:smallCaps w:val="0"/>
        <w:strike w:val="0"/>
        <w:dstrike w:val="0"/>
        <w:vanish w:val="0"/>
        <w:color w:val="000000"/>
        <w:spacing w:val="0"/>
        <w:kern w:val="0"/>
        <w:position w:val="0"/>
        <w:u w:val="none"/>
        <w:effect w:val="none"/>
        <w:vertAlign w:val="baseline"/>
        <w:em w:val="none"/>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13" w15:restartNumberingAfterBreak="0">
    <w:nsid w:val="2DD44AA5"/>
    <w:multiLevelType w:val="hybridMultilevel"/>
    <w:tmpl w:val="0BCA95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32EE3B78">
      <w:start w:val="1"/>
      <w:numFmt w:val="bullet"/>
      <w:pStyle w:val="0-12BulList3"/>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3E801CA"/>
    <w:multiLevelType w:val="hybridMultilevel"/>
    <w:tmpl w:val="A1DC1B60"/>
    <w:lvl w:ilvl="0" w:tplc="157EF812">
      <w:start w:val="1"/>
      <w:numFmt w:val="upperLetter"/>
      <w:pStyle w:val="4-04AppendixTitle"/>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087062"/>
    <w:multiLevelType w:val="hybridMultilevel"/>
    <w:tmpl w:val="47F88644"/>
    <w:lvl w:ilvl="0" w:tplc="2DE4FAAC">
      <w:start w:val="1"/>
      <w:numFmt w:val="bullet"/>
      <w:lvlText w:val="o"/>
      <w:lvlJc w:val="left"/>
      <w:pPr>
        <w:ind w:left="1440" w:hanging="360"/>
      </w:pPr>
      <w:rPr>
        <w:rFonts w:ascii="Courier New" w:hAnsi="Courier New" w:cs="Courier New" w:hint="default"/>
      </w:rPr>
    </w:lvl>
    <w:lvl w:ilvl="1" w:tplc="50BE1C1C">
      <w:start w:val="1"/>
      <w:numFmt w:val="bullet"/>
      <w:pStyle w:val="0-09BulList2"/>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3837E1B"/>
    <w:multiLevelType w:val="multilevel"/>
    <w:tmpl w:val="C88C45FC"/>
    <w:lvl w:ilvl="0">
      <w:start w:val="1"/>
      <w:numFmt w:val="decimal"/>
      <w:pStyle w:val="3-02Head1"/>
      <w:suff w:val="space"/>
      <w:lvlText w:val="%1."/>
      <w:lvlJc w:val="left"/>
      <w:pPr>
        <w:ind w:left="720" w:hanging="720"/>
      </w:pPr>
      <w:rPr>
        <w:rFonts w:ascii="Arial" w:hAnsi="Arial" w:hint="default"/>
        <w:b/>
        <w:i w:val="0"/>
        <w:sz w:val="34"/>
      </w:rPr>
    </w:lvl>
    <w:lvl w:ilvl="1">
      <w:start w:val="1"/>
      <w:numFmt w:val="decimal"/>
      <w:pStyle w:val="3-03Head2"/>
      <w:suff w:val="space"/>
      <w:lvlText w:val="%1.%2."/>
      <w:lvlJc w:val="left"/>
      <w:pPr>
        <w:ind w:left="720" w:hanging="720"/>
      </w:pPr>
      <w:rPr>
        <w:rFonts w:ascii="Arial" w:hAnsi="Arial" w:hint="default"/>
        <w:b/>
        <w:i w:val="0"/>
        <w:sz w:val="28"/>
      </w:rPr>
    </w:lvl>
    <w:lvl w:ilvl="2">
      <w:start w:val="1"/>
      <w:numFmt w:val="decimal"/>
      <w:pStyle w:val="3-04Head3"/>
      <w:suff w:val="space"/>
      <w:lvlText w:val="%1.%2.%3."/>
      <w:lvlJc w:val="left"/>
      <w:pPr>
        <w:ind w:left="720" w:hanging="720"/>
      </w:pPr>
      <w:rPr>
        <w:rFonts w:ascii="Arial" w:hAnsi="Arial" w:hint="default"/>
        <w:b/>
        <w:i w:val="0"/>
        <w:sz w:val="24"/>
      </w:rPr>
    </w:lvl>
    <w:lvl w:ilvl="3">
      <w:start w:val="1"/>
      <w:numFmt w:val="decimal"/>
      <w:pStyle w:val="3-05Head4"/>
      <w:suff w:val="space"/>
      <w:lvlText w:val="%1.%2.%3.%4."/>
      <w:lvlJc w:val="left"/>
      <w:pPr>
        <w:ind w:left="1224" w:hanging="1224"/>
      </w:pPr>
      <w:rPr>
        <w:rFonts w:ascii="Arial Bold" w:hAnsi="Arial Bold" w:hint="default"/>
        <w:b/>
        <w:i w:val="0"/>
        <w:sz w:val="21"/>
      </w:rPr>
    </w:lvl>
    <w:lvl w:ilvl="4">
      <w:start w:val="1"/>
      <w:numFmt w:val="decimal"/>
      <w:pStyle w:val="3-06Head5"/>
      <w:suff w:val="space"/>
      <w:lvlText w:val="%1.%2.%3.%4.%5."/>
      <w:lvlJc w:val="left"/>
      <w:pPr>
        <w:ind w:left="1368" w:hanging="1368"/>
      </w:pPr>
      <w:rPr>
        <w:rFonts w:ascii="Arial" w:hAnsi="Arial" w:hint="default"/>
        <w:b w:val="0"/>
        <w:i w:val="0"/>
        <w:sz w:val="21"/>
      </w:rPr>
    </w:lvl>
    <w:lvl w:ilvl="5">
      <w:start w:val="1"/>
      <w:numFmt w:val="decimal"/>
      <w:pStyle w:val="3-07Head6"/>
      <w:suff w:val="space"/>
      <w:lvlText w:val="%1.%2.%3.%4.%5.%6."/>
      <w:lvlJc w:val="left"/>
      <w:pPr>
        <w:ind w:left="1512" w:hanging="1512"/>
      </w:pPr>
      <w:rPr>
        <w:rFonts w:ascii="Arial" w:hAnsi="Arial" w:hint="default"/>
        <w:b w:val="0"/>
        <w:i/>
        <w:sz w:val="21"/>
      </w:rPr>
    </w:lvl>
    <w:lvl w:ilvl="6">
      <w:start w:val="1"/>
      <w:numFmt w:val="decimal"/>
      <w:pStyle w:val="Heading7"/>
      <w:lvlText w:val="%1.%2.%3.%4.%5.%6.%7"/>
      <w:lvlJc w:val="left"/>
      <w:pPr>
        <w:tabs>
          <w:tab w:val="num" w:pos="360"/>
        </w:tabs>
        <w:ind w:left="1656" w:hanging="1296"/>
      </w:pPr>
      <w:rPr>
        <w:rFonts w:hint="default"/>
      </w:rPr>
    </w:lvl>
    <w:lvl w:ilvl="7">
      <w:start w:val="1"/>
      <w:numFmt w:val="decimal"/>
      <w:pStyle w:val="Heading8"/>
      <w:lvlText w:val="%1.%2.%3.%4.%5.%6.%7.%8"/>
      <w:lvlJc w:val="left"/>
      <w:pPr>
        <w:tabs>
          <w:tab w:val="num" w:pos="360"/>
        </w:tabs>
        <w:ind w:left="1800" w:hanging="1440"/>
      </w:pPr>
      <w:rPr>
        <w:rFonts w:hint="default"/>
      </w:rPr>
    </w:lvl>
    <w:lvl w:ilvl="8">
      <w:start w:val="1"/>
      <w:numFmt w:val="decimal"/>
      <w:pStyle w:val="Heading9"/>
      <w:lvlText w:val="%1.%2.%3.%4.%5.%6.%7.%8.%9"/>
      <w:lvlJc w:val="left"/>
      <w:pPr>
        <w:tabs>
          <w:tab w:val="num" w:pos="360"/>
        </w:tabs>
        <w:ind w:left="1944" w:hanging="1584"/>
      </w:pPr>
      <w:rPr>
        <w:rFonts w:hint="default"/>
      </w:rPr>
    </w:lvl>
  </w:abstractNum>
  <w:abstractNum w:abstractNumId="17" w15:restartNumberingAfterBreak="0">
    <w:nsid w:val="6EE81BCC"/>
    <w:multiLevelType w:val="hybridMultilevel"/>
    <w:tmpl w:val="1362DB0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142C1CA6">
      <w:start w:val="1"/>
      <w:numFmt w:val="bullet"/>
      <w:pStyle w:val="0-15BulList4"/>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6F5D16EF"/>
    <w:multiLevelType w:val="multilevel"/>
    <w:tmpl w:val="E544F5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E11868"/>
    <w:multiLevelType w:val="multilevel"/>
    <w:tmpl w:val="2CA07A64"/>
    <w:lvl w:ilvl="0">
      <w:start w:val="1"/>
      <w:numFmt w:val="decimal"/>
      <w:lvlText w:val="(%1)"/>
      <w:lvlJc w:val="left"/>
      <w:pPr>
        <w:tabs>
          <w:tab w:val="num" w:pos="720"/>
        </w:tabs>
        <w:ind w:left="1080" w:hanging="360"/>
      </w:pPr>
      <w:rPr>
        <w:rFonts w:hint="default"/>
      </w:rPr>
    </w:lvl>
    <w:lvl w:ilvl="1">
      <w:start w:val="1"/>
      <w:numFmt w:val="lowerLetter"/>
      <w:lvlText w:val="%2."/>
      <w:lvlJc w:val="left"/>
      <w:pPr>
        <w:tabs>
          <w:tab w:val="num" w:pos="7200"/>
        </w:tabs>
        <w:ind w:left="1440" w:hanging="360"/>
      </w:pPr>
      <w:rPr>
        <w:rFonts w:hint="default"/>
      </w:rPr>
    </w:lvl>
    <w:lvl w:ilvl="2">
      <w:start w:val="1"/>
      <w:numFmt w:val="lowerRoman"/>
      <w:lvlText w:val="%3."/>
      <w:lvlJc w:val="left"/>
      <w:pPr>
        <w:tabs>
          <w:tab w:val="num" w:pos="1440"/>
        </w:tabs>
        <w:ind w:left="1800" w:hanging="360"/>
      </w:pPr>
      <w:rPr>
        <w:rFonts w:hint="default"/>
      </w:rPr>
    </w:lvl>
    <w:lvl w:ilvl="3">
      <w:start w:val="1"/>
      <w:numFmt w:val="decimal"/>
      <w:lvlText w:val="(%4)"/>
      <w:lvlJc w:val="left"/>
      <w:pPr>
        <w:ind w:left="21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79D47E12"/>
    <w:multiLevelType w:val="hybridMultilevel"/>
    <w:tmpl w:val="7DD4BF10"/>
    <w:lvl w:ilvl="0" w:tplc="CC0802C8">
      <w:start w:val="1"/>
      <w:numFmt w:val="bullet"/>
      <w:pStyle w:val="0-06BulList1"/>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981030672">
    <w:abstractNumId w:val="11"/>
  </w:num>
  <w:num w:numId="2" w16cid:durableId="1619330793">
    <w:abstractNumId w:val="10"/>
  </w:num>
  <w:num w:numId="3" w16cid:durableId="1250844511">
    <w:abstractNumId w:val="20"/>
  </w:num>
  <w:num w:numId="4" w16cid:durableId="867596213">
    <w:abstractNumId w:val="15"/>
  </w:num>
  <w:num w:numId="5" w16cid:durableId="1534145682">
    <w:abstractNumId w:val="13"/>
  </w:num>
  <w:num w:numId="6" w16cid:durableId="1558592887">
    <w:abstractNumId w:val="17"/>
  </w:num>
  <w:num w:numId="7" w16cid:durableId="773400070">
    <w:abstractNumId w:val="14"/>
  </w:num>
  <w:num w:numId="8" w16cid:durableId="325670395">
    <w:abstractNumId w:val="12"/>
  </w:num>
  <w:num w:numId="9" w16cid:durableId="1105274135">
    <w:abstractNumId w:val="16"/>
  </w:num>
  <w:num w:numId="10" w16cid:durableId="1427653725">
    <w:abstractNumId w:val="19"/>
  </w:num>
  <w:num w:numId="11" w16cid:durableId="434398421">
    <w:abstractNumId w:val="9"/>
  </w:num>
  <w:num w:numId="12" w16cid:durableId="270282709">
    <w:abstractNumId w:val="7"/>
  </w:num>
  <w:num w:numId="13" w16cid:durableId="557597046">
    <w:abstractNumId w:val="6"/>
  </w:num>
  <w:num w:numId="14" w16cid:durableId="146216087">
    <w:abstractNumId w:val="5"/>
  </w:num>
  <w:num w:numId="15" w16cid:durableId="877936040">
    <w:abstractNumId w:val="4"/>
  </w:num>
  <w:num w:numId="16" w16cid:durableId="297879179">
    <w:abstractNumId w:val="8"/>
  </w:num>
  <w:num w:numId="17" w16cid:durableId="2001229828">
    <w:abstractNumId w:val="3"/>
  </w:num>
  <w:num w:numId="18" w16cid:durableId="127431748">
    <w:abstractNumId w:val="2"/>
  </w:num>
  <w:num w:numId="19" w16cid:durableId="2115049981">
    <w:abstractNumId w:val="1"/>
  </w:num>
  <w:num w:numId="20" w16cid:durableId="1163472385">
    <w:abstractNumId w:val="0"/>
  </w:num>
  <w:num w:numId="21" w16cid:durableId="264773713">
    <w:abstractNumId w:val="1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activeWritingStyle w:appName="MSWord" w:lang="en-US" w:vendorID="64" w:dllVersion="4096" w:nlCheck="1" w:checkStyle="0"/>
  <w:activeWritingStyle w:appName="MSWord" w:lang="en-US" w:vendorID="64" w:dllVersion="0" w:nlCheck="1" w:checkStyle="0"/>
  <w:activeWritingStyle w:appName="MSWord" w:lang="es-ES" w:vendorID="64" w:dllVersion="0" w:nlCheck="1" w:checkStyle="0"/>
  <w:activeWritingStyle w:appName="MSWord" w:lang="pt-BR" w:vendorID="64" w:dllVersion="0" w:nlCheck="1" w:checkStyle="0"/>
  <w:proofState w:spelling="clean" w:grammar="clean"/>
  <w:attachedTemplate r:id="rId1"/>
  <w:linkStyles/>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updateFields w:val="true"/>
  <w:hdrShapeDefaults>
    <o:shapedefaults v:ext="edit" spidmax="2050"/>
  </w:hdrShapeDefaults>
  <w:footnotePr>
    <w:footnote w:id="-1"/>
    <w:footnote w:id="0"/>
    <w:footnote w:id="1"/>
  </w:footnotePr>
  <w:endnotePr>
    <w:pos w:val="sectEnd"/>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CSE Style Manual 8th Edition C-S_020619&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dfxxadresff5rpetvs2v2d01dwd2s05fzfv5&quot;&gt;5Day_MostRecent_EndNoteLibrary&lt;record-ids&gt;&lt;item&gt;160&lt;/item&gt;&lt;item&gt;942&lt;/item&gt;&lt;item&gt;958&lt;/item&gt;&lt;item&gt;959&lt;/item&gt;&lt;item&gt;961&lt;/item&gt;&lt;item&gt;967&lt;/item&gt;&lt;item&gt;1271&lt;/item&gt;&lt;item&gt;1272&lt;/item&gt;&lt;item&gt;1273&lt;/item&gt;&lt;item&gt;1274&lt;/item&gt;&lt;item&gt;1277&lt;/item&gt;&lt;item&gt;1280&lt;/item&gt;&lt;item&gt;1281&lt;/item&gt;&lt;item&gt;1282&lt;/item&gt;&lt;item&gt;1284&lt;/item&gt;&lt;item&gt;1285&lt;/item&gt;&lt;item&gt;1286&lt;/item&gt;&lt;item&gt;1291&lt;/item&gt;&lt;item&gt;1292&lt;/item&gt;&lt;item&gt;1293&lt;/item&gt;&lt;item&gt;1294&lt;/item&gt;&lt;item&gt;1295&lt;/item&gt;&lt;item&gt;1297&lt;/item&gt;&lt;item&gt;1298&lt;/item&gt;&lt;item&gt;1299&lt;/item&gt;&lt;item&gt;1308&lt;/item&gt;&lt;item&gt;1309&lt;/item&gt;&lt;item&gt;1310&lt;/item&gt;&lt;item&gt;1311&lt;/item&gt;&lt;item&gt;1312&lt;/item&gt;&lt;item&gt;1318&lt;/item&gt;&lt;item&gt;1319&lt;/item&gt;&lt;item&gt;1320&lt;/item&gt;&lt;item&gt;1322&lt;/item&gt;&lt;/record-ids&gt;&lt;/item&gt;&lt;/Libraries&gt;"/>
  </w:docVars>
  <w:rsids>
    <w:rsidRoot w:val="00BD43FC"/>
    <w:rsid w:val="00000305"/>
    <w:rsid w:val="0000031C"/>
    <w:rsid w:val="00000A9B"/>
    <w:rsid w:val="00000DE8"/>
    <w:rsid w:val="00000E20"/>
    <w:rsid w:val="00000EA2"/>
    <w:rsid w:val="000013B6"/>
    <w:rsid w:val="0000163C"/>
    <w:rsid w:val="000016D4"/>
    <w:rsid w:val="00001D83"/>
    <w:rsid w:val="000024C8"/>
    <w:rsid w:val="000025DF"/>
    <w:rsid w:val="000027F7"/>
    <w:rsid w:val="00002925"/>
    <w:rsid w:val="00002BC1"/>
    <w:rsid w:val="000036E2"/>
    <w:rsid w:val="00003B69"/>
    <w:rsid w:val="00003CD2"/>
    <w:rsid w:val="00003D33"/>
    <w:rsid w:val="00003DA2"/>
    <w:rsid w:val="000040AD"/>
    <w:rsid w:val="00004374"/>
    <w:rsid w:val="000044D5"/>
    <w:rsid w:val="00004527"/>
    <w:rsid w:val="00004F00"/>
    <w:rsid w:val="000053A4"/>
    <w:rsid w:val="00005542"/>
    <w:rsid w:val="00005835"/>
    <w:rsid w:val="0000596A"/>
    <w:rsid w:val="00005B72"/>
    <w:rsid w:val="0000601B"/>
    <w:rsid w:val="00006155"/>
    <w:rsid w:val="0000621A"/>
    <w:rsid w:val="0000623E"/>
    <w:rsid w:val="00006A03"/>
    <w:rsid w:val="00006DCB"/>
    <w:rsid w:val="00007B41"/>
    <w:rsid w:val="00007C8C"/>
    <w:rsid w:val="000105DC"/>
    <w:rsid w:val="0001091A"/>
    <w:rsid w:val="00010948"/>
    <w:rsid w:val="00010996"/>
    <w:rsid w:val="00010A41"/>
    <w:rsid w:val="00010B55"/>
    <w:rsid w:val="00010C51"/>
    <w:rsid w:val="00010ED5"/>
    <w:rsid w:val="00011107"/>
    <w:rsid w:val="000115E6"/>
    <w:rsid w:val="000120FE"/>
    <w:rsid w:val="0001214A"/>
    <w:rsid w:val="0001239D"/>
    <w:rsid w:val="000124FF"/>
    <w:rsid w:val="0001252C"/>
    <w:rsid w:val="0001264C"/>
    <w:rsid w:val="00012697"/>
    <w:rsid w:val="000126E7"/>
    <w:rsid w:val="00012A5A"/>
    <w:rsid w:val="00012AF5"/>
    <w:rsid w:val="00012C17"/>
    <w:rsid w:val="00012E56"/>
    <w:rsid w:val="00012F3D"/>
    <w:rsid w:val="00013B53"/>
    <w:rsid w:val="00013B8D"/>
    <w:rsid w:val="00013F80"/>
    <w:rsid w:val="00014101"/>
    <w:rsid w:val="0001499C"/>
    <w:rsid w:val="00014B87"/>
    <w:rsid w:val="00014D40"/>
    <w:rsid w:val="00014DD9"/>
    <w:rsid w:val="0001521F"/>
    <w:rsid w:val="00015B37"/>
    <w:rsid w:val="00015D6D"/>
    <w:rsid w:val="00015E5D"/>
    <w:rsid w:val="0001672F"/>
    <w:rsid w:val="00016880"/>
    <w:rsid w:val="00016EF3"/>
    <w:rsid w:val="00017162"/>
    <w:rsid w:val="000171DF"/>
    <w:rsid w:val="00017542"/>
    <w:rsid w:val="00017799"/>
    <w:rsid w:val="000179E8"/>
    <w:rsid w:val="00017E23"/>
    <w:rsid w:val="00017FC4"/>
    <w:rsid w:val="00020097"/>
    <w:rsid w:val="000202E8"/>
    <w:rsid w:val="00020575"/>
    <w:rsid w:val="00020A03"/>
    <w:rsid w:val="00020B37"/>
    <w:rsid w:val="00020CBD"/>
    <w:rsid w:val="00020E7D"/>
    <w:rsid w:val="00020F11"/>
    <w:rsid w:val="0002120C"/>
    <w:rsid w:val="00021919"/>
    <w:rsid w:val="000220DB"/>
    <w:rsid w:val="00022173"/>
    <w:rsid w:val="00022351"/>
    <w:rsid w:val="00022494"/>
    <w:rsid w:val="0002264D"/>
    <w:rsid w:val="000227D4"/>
    <w:rsid w:val="00022983"/>
    <w:rsid w:val="00022D57"/>
    <w:rsid w:val="0002373D"/>
    <w:rsid w:val="00023745"/>
    <w:rsid w:val="00023793"/>
    <w:rsid w:val="00023BB8"/>
    <w:rsid w:val="00023C36"/>
    <w:rsid w:val="00023D59"/>
    <w:rsid w:val="0002422C"/>
    <w:rsid w:val="000242A7"/>
    <w:rsid w:val="00024764"/>
    <w:rsid w:val="00024A13"/>
    <w:rsid w:val="000250A5"/>
    <w:rsid w:val="00025204"/>
    <w:rsid w:val="00025417"/>
    <w:rsid w:val="00025559"/>
    <w:rsid w:val="000257A7"/>
    <w:rsid w:val="0002588E"/>
    <w:rsid w:val="000259BA"/>
    <w:rsid w:val="000267F3"/>
    <w:rsid w:val="00026BF7"/>
    <w:rsid w:val="00026F91"/>
    <w:rsid w:val="0002704D"/>
    <w:rsid w:val="0002707A"/>
    <w:rsid w:val="00027242"/>
    <w:rsid w:val="000275EF"/>
    <w:rsid w:val="0003006A"/>
    <w:rsid w:val="000303CB"/>
    <w:rsid w:val="000305DE"/>
    <w:rsid w:val="000307FC"/>
    <w:rsid w:val="00030902"/>
    <w:rsid w:val="00030D1F"/>
    <w:rsid w:val="00030E69"/>
    <w:rsid w:val="00031332"/>
    <w:rsid w:val="000319D4"/>
    <w:rsid w:val="00031BBE"/>
    <w:rsid w:val="00031C20"/>
    <w:rsid w:val="00031E39"/>
    <w:rsid w:val="0003247A"/>
    <w:rsid w:val="00032E54"/>
    <w:rsid w:val="0003341A"/>
    <w:rsid w:val="00033635"/>
    <w:rsid w:val="00033839"/>
    <w:rsid w:val="00033EA9"/>
    <w:rsid w:val="000344A2"/>
    <w:rsid w:val="00034955"/>
    <w:rsid w:val="00034B6C"/>
    <w:rsid w:val="00034BC5"/>
    <w:rsid w:val="00035424"/>
    <w:rsid w:val="000355D3"/>
    <w:rsid w:val="00035637"/>
    <w:rsid w:val="00036142"/>
    <w:rsid w:val="00036AC7"/>
    <w:rsid w:val="00036E5B"/>
    <w:rsid w:val="000374E0"/>
    <w:rsid w:val="000375CC"/>
    <w:rsid w:val="00037725"/>
    <w:rsid w:val="00037A2B"/>
    <w:rsid w:val="00037B51"/>
    <w:rsid w:val="00037CA6"/>
    <w:rsid w:val="000400D2"/>
    <w:rsid w:val="00040A36"/>
    <w:rsid w:val="00040D21"/>
    <w:rsid w:val="0004110B"/>
    <w:rsid w:val="000411C3"/>
    <w:rsid w:val="0004131A"/>
    <w:rsid w:val="000414BF"/>
    <w:rsid w:val="0004171A"/>
    <w:rsid w:val="00041821"/>
    <w:rsid w:val="0004194E"/>
    <w:rsid w:val="00041A78"/>
    <w:rsid w:val="00041B22"/>
    <w:rsid w:val="00041D70"/>
    <w:rsid w:val="00041E80"/>
    <w:rsid w:val="00041F4F"/>
    <w:rsid w:val="000420F7"/>
    <w:rsid w:val="00042907"/>
    <w:rsid w:val="000429F9"/>
    <w:rsid w:val="00042A40"/>
    <w:rsid w:val="00042C5C"/>
    <w:rsid w:val="00043079"/>
    <w:rsid w:val="0004309B"/>
    <w:rsid w:val="00043308"/>
    <w:rsid w:val="000435F7"/>
    <w:rsid w:val="00043796"/>
    <w:rsid w:val="000437E3"/>
    <w:rsid w:val="000440C3"/>
    <w:rsid w:val="000441A4"/>
    <w:rsid w:val="000441F6"/>
    <w:rsid w:val="000448EE"/>
    <w:rsid w:val="00044C16"/>
    <w:rsid w:val="00044CE0"/>
    <w:rsid w:val="00044F19"/>
    <w:rsid w:val="00045206"/>
    <w:rsid w:val="0004564E"/>
    <w:rsid w:val="00045A50"/>
    <w:rsid w:val="00045F6E"/>
    <w:rsid w:val="000461EB"/>
    <w:rsid w:val="00046344"/>
    <w:rsid w:val="000468B7"/>
    <w:rsid w:val="000468B9"/>
    <w:rsid w:val="00046A4B"/>
    <w:rsid w:val="00046E2E"/>
    <w:rsid w:val="0004721E"/>
    <w:rsid w:val="000473B7"/>
    <w:rsid w:val="000474B2"/>
    <w:rsid w:val="00047612"/>
    <w:rsid w:val="00047C57"/>
    <w:rsid w:val="00047CC1"/>
    <w:rsid w:val="00047EC2"/>
    <w:rsid w:val="00047EFE"/>
    <w:rsid w:val="00050047"/>
    <w:rsid w:val="00050117"/>
    <w:rsid w:val="00050194"/>
    <w:rsid w:val="0005035F"/>
    <w:rsid w:val="00050914"/>
    <w:rsid w:val="00050C5F"/>
    <w:rsid w:val="00050E0F"/>
    <w:rsid w:val="00050E91"/>
    <w:rsid w:val="00050EF9"/>
    <w:rsid w:val="00050F6E"/>
    <w:rsid w:val="0005108C"/>
    <w:rsid w:val="00051132"/>
    <w:rsid w:val="00051267"/>
    <w:rsid w:val="000512F9"/>
    <w:rsid w:val="00051540"/>
    <w:rsid w:val="00051A22"/>
    <w:rsid w:val="00051F7A"/>
    <w:rsid w:val="0005264F"/>
    <w:rsid w:val="00052D82"/>
    <w:rsid w:val="00052E40"/>
    <w:rsid w:val="00052EFC"/>
    <w:rsid w:val="0005335C"/>
    <w:rsid w:val="000533B8"/>
    <w:rsid w:val="0005361D"/>
    <w:rsid w:val="000536EE"/>
    <w:rsid w:val="0005384E"/>
    <w:rsid w:val="00053BD7"/>
    <w:rsid w:val="00053BF2"/>
    <w:rsid w:val="0005419B"/>
    <w:rsid w:val="000543C9"/>
    <w:rsid w:val="0005453C"/>
    <w:rsid w:val="00054AC1"/>
    <w:rsid w:val="0005567F"/>
    <w:rsid w:val="00055758"/>
    <w:rsid w:val="00056ECC"/>
    <w:rsid w:val="000572AC"/>
    <w:rsid w:val="00057712"/>
    <w:rsid w:val="00057932"/>
    <w:rsid w:val="00057E96"/>
    <w:rsid w:val="000603F0"/>
    <w:rsid w:val="000604F8"/>
    <w:rsid w:val="00060C71"/>
    <w:rsid w:val="00060F47"/>
    <w:rsid w:val="0006176A"/>
    <w:rsid w:val="00061A71"/>
    <w:rsid w:val="00061C6E"/>
    <w:rsid w:val="00061E61"/>
    <w:rsid w:val="00061F2B"/>
    <w:rsid w:val="000624EA"/>
    <w:rsid w:val="00062910"/>
    <w:rsid w:val="0006292D"/>
    <w:rsid w:val="00062E37"/>
    <w:rsid w:val="0006310B"/>
    <w:rsid w:val="0006329F"/>
    <w:rsid w:val="000632DE"/>
    <w:rsid w:val="000634A6"/>
    <w:rsid w:val="00063764"/>
    <w:rsid w:val="00063BBB"/>
    <w:rsid w:val="00063F6C"/>
    <w:rsid w:val="00063FED"/>
    <w:rsid w:val="000643D9"/>
    <w:rsid w:val="00064C28"/>
    <w:rsid w:val="00065272"/>
    <w:rsid w:val="0006534A"/>
    <w:rsid w:val="000653A2"/>
    <w:rsid w:val="000654C3"/>
    <w:rsid w:val="00065924"/>
    <w:rsid w:val="00065E34"/>
    <w:rsid w:val="0006625A"/>
    <w:rsid w:val="00066C96"/>
    <w:rsid w:val="00066DE6"/>
    <w:rsid w:val="00066E3E"/>
    <w:rsid w:val="00066F07"/>
    <w:rsid w:val="00067061"/>
    <w:rsid w:val="000672B7"/>
    <w:rsid w:val="000677AB"/>
    <w:rsid w:val="00067A9A"/>
    <w:rsid w:val="00067E4E"/>
    <w:rsid w:val="000703F9"/>
    <w:rsid w:val="0007042B"/>
    <w:rsid w:val="00070436"/>
    <w:rsid w:val="000707A3"/>
    <w:rsid w:val="000708CE"/>
    <w:rsid w:val="00070BF6"/>
    <w:rsid w:val="00070D99"/>
    <w:rsid w:val="00070EB1"/>
    <w:rsid w:val="00070ECE"/>
    <w:rsid w:val="0007167C"/>
    <w:rsid w:val="0007176E"/>
    <w:rsid w:val="0007178B"/>
    <w:rsid w:val="00071B33"/>
    <w:rsid w:val="00071DBB"/>
    <w:rsid w:val="00071E12"/>
    <w:rsid w:val="00071E64"/>
    <w:rsid w:val="000726A3"/>
    <w:rsid w:val="0007272D"/>
    <w:rsid w:val="00072AD7"/>
    <w:rsid w:val="00072CD4"/>
    <w:rsid w:val="00072FFB"/>
    <w:rsid w:val="00073163"/>
    <w:rsid w:val="0007332F"/>
    <w:rsid w:val="000736D8"/>
    <w:rsid w:val="00073718"/>
    <w:rsid w:val="0007485C"/>
    <w:rsid w:val="00074DB4"/>
    <w:rsid w:val="00075003"/>
    <w:rsid w:val="000750BE"/>
    <w:rsid w:val="00075400"/>
    <w:rsid w:val="0007585B"/>
    <w:rsid w:val="00075D52"/>
    <w:rsid w:val="00075E66"/>
    <w:rsid w:val="000765E8"/>
    <w:rsid w:val="00076723"/>
    <w:rsid w:val="000767BA"/>
    <w:rsid w:val="0007710A"/>
    <w:rsid w:val="000776AD"/>
    <w:rsid w:val="0007773D"/>
    <w:rsid w:val="000779A0"/>
    <w:rsid w:val="00077C11"/>
    <w:rsid w:val="00077E19"/>
    <w:rsid w:val="00077E69"/>
    <w:rsid w:val="000804E6"/>
    <w:rsid w:val="000807FE"/>
    <w:rsid w:val="0008088B"/>
    <w:rsid w:val="0008091E"/>
    <w:rsid w:val="00080B08"/>
    <w:rsid w:val="00080B74"/>
    <w:rsid w:val="00080E83"/>
    <w:rsid w:val="00080F36"/>
    <w:rsid w:val="00080F43"/>
    <w:rsid w:val="00081180"/>
    <w:rsid w:val="000813A2"/>
    <w:rsid w:val="000818B4"/>
    <w:rsid w:val="00081D49"/>
    <w:rsid w:val="000822FD"/>
    <w:rsid w:val="0008244E"/>
    <w:rsid w:val="00082CAC"/>
    <w:rsid w:val="000835F6"/>
    <w:rsid w:val="000838F3"/>
    <w:rsid w:val="00083E88"/>
    <w:rsid w:val="00084182"/>
    <w:rsid w:val="000843B2"/>
    <w:rsid w:val="00084AD0"/>
    <w:rsid w:val="00084DB2"/>
    <w:rsid w:val="0008517C"/>
    <w:rsid w:val="0008553E"/>
    <w:rsid w:val="00085711"/>
    <w:rsid w:val="00085729"/>
    <w:rsid w:val="00085783"/>
    <w:rsid w:val="000858A6"/>
    <w:rsid w:val="000859E2"/>
    <w:rsid w:val="00085AC5"/>
    <w:rsid w:val="00085C00"/>
    <w:rsid w:val="00085C4E"/>
    <w:rsid w:val="00085FB8"/>
    <w:rsid w:val="00086063"/>
    <w:rsid w:val="000862E2"/>
    <w:rsid w:val="00086758"/>
    <w:rsid w:val="0008687D"/>
    <w:rsid w:val="00086FCC"/>
    <w:rsid w:val="000872C2"/>
    <w:rsid w:val="0008787F"/>
    <w:rsid w:val="000878E9"/>
    <w:rsid w:val="00087E30"/>
    <w:rsid w:val="00087F51"/>
    <w:rsid w:val="000900FF"/>
    <w:rsid w:val="000901C3"/>
    <w:rsid w:val="000901E0"/>
    <w:rsid w:val="000903E6"/>
    <w:rsid w:val="000904EB"/>
    <w:rsid w:val="00090773"/>
    <w:rsid w:val="00090B72"/>
    <w:rsid w:val="00090CD8"/>
    <w:rsid w:val="00090F53"/>
    <w:rsid w:val="000913BE"/>
    <w:rsid w:val="0009154A"/>
    <w:rsid w:val="00091F1C"/>
    <w:rsid w:val="00092280"/>
    <w:rsid w:val="0009246A"/>
    <w:rsid w:val="00092891"/>
    <w:rsid w:val="000928D4"/>
    <w:rsid w:val="00092933"/>
    <w:rsid w:val="00092961"/>
    <w:rsid w:val="000929F2"/>
    <w:rsid w:val="00092B70"/>
    <w:rsid w:val="00092D09"/>
    <w:rsid w:val="00093017"/>
    <w:rsid w:val="0009357D"/>
    <w:rsid w:val="000936CE"/>
    <w:rsid w:val="0009390C"/>
    <w:rsid w:val="00093C45"/>
    <w:rsid w:val="00093D14"/>
    <w:rsid w:val="00093D82"/>
    <w:rsid w:val="0009404A"/>
    <w:rsid w:val="0009427B"/>
    <w:rsid w:val="00094909"/>
    <w:rsid w:val="00094C9F"/>
    <w:rsid w:val="00095018"/>
    <w:rsid w:val="000953D8"/>
    <w:rsid w:val="0009554A"/>
    <w:rsid w:val="0009569F"/>
    <w:rsid w:val="00095748"/>
    <w:rsid w:val="000961A4"/>
    <w:rsid w:val="000967B2"/>
    <w:rsid w:val="00096C4C"/>
    <w:rsid w:val="00097123"/>
    <w:rsid w:val="000971B8"/>
    <w:rsid w:val="00097467"/>
    <w:rsid w:val="000976A2"/>
    <w:rsid w:val="00097928"/>
    <w:rsid w:val="0009793E"/>
    <w:rsid w:val="00097972"/>
    <w:rsid w:val="00097E24"/>
    <w:rsid w:val="000A045F"/>
    <w:rsid w:val="000A054A"/>
    <w:rsid w:val="000A0665"/>
    <w:rsid w:val="000A0920"/>
    <w:rsid w:val="000A0E12"/>
    <w:rsid w:val="000A0E62"/>
    <w:rsid w:val="000A0FB7"/>
    <w:rsid w:val="000A146C"/>
    <w:rsid w:val="000A15F1"/>
    <w:rsid w:val="000A15F9"/>
    <w:rsid w:val="000A1780"/>
    <w:rsid w:val="000A1B61"/>
    <w:rsid w:val="000A1EEE"/>
    <w:rsid w:val="000A20A4"/>
    <w:rsid w:val="000A2237"/>
    <w:rsid w:val="000A27BF"/>
    <w:rsid w:val="000A2C84"/>
    <w:rsid w:val="000A2E8E"/>
    <w:rsid w:val="000A3084"/>
    <w:rsid w:val="000A3226"/>
    <w:rsid w:val="000A3619"/>
    <w:rsid w:val="000A3666"/>
    <w:rsid w:val="000A380F"/>
    <w:rsid w:val="000A3993"/>
    <w:rsid w:val="000A3BD5"/>
    <w:rsid w:val="000A3C6B"/>
    <w:rsid w:val="000A3F8B"/>
    <w:rsid w:val="000A414B"/>
    <w:rsid w:val="000A46F6"/>
    <w:rsid w:val="000A4774"/>
    <w:rsid w:val="000A47DD"/>
    <w:rsid w:val="000A49A6"/>
    <w:rsid w:val="000A4D9F"/>
    <w:rsid w:val="000A5104"/>
    <w:rsid w:val="000A51B1"/>
    <w:rsid w:val="000A52BD"/>
    <w:rsid w:val="000A56D9"/>
    <w:rsid w:val="000A5FB3"/>
    <w:rsid w:val="000A5FFF"/>
    <w:rsid w:val="000A6084"/>
    <w:rsid w:val="000A6106"/>
    <w:rsid w:val="000A6426"/>
    <w:rsid w:val="000A65B0"/>
    <w:rsid w:val="000A6FD0"/>
    <w:rsid w:val="000A71E3"/>
    <w:rsid w:val="000A72E6"/>
    <w:rsid w:val="000A7466"/>
    <w:rsid w:val="000A777A"/>
    <w:rsid w:val="000B004D"/>
    <w:rsid w:val="000B0968"/>
    <w:rsid w:val="000B0B1F"/>
    <w:rsid w:val="000B0CCF"/>
    <w:rsid w:val="000B1126"/>
    <w:rsid w:val="000B1407"/>
    <w:rsid w:val="000B141A"/>
    <w:rsid w:val="000B15DF"/>
    <w:rsid w:val="000B16C9"/>
    <w:rsid w:val="000B1CCF"/>
    <w:rsid w:val="000B229C"/>
    <w:rsid w:val="000B23EB"/>
    <w:rsid w:val="000B23EF"/>
    <w:rsid w:val="000B27F6"/>
    <w:rsid w:val="000B31BB"/>
    <w:rsid w:val="000B32B6"/>
    <w:rsid w:val="000B33A7"/>
    <w:rsid w:val="000B3434"/>
    <w:rsid w:val="000B387D"/>
    <w:rsid w:val="000B3E01"/>
    <w:rsid w:val="000B44AB"/>
    <w:rsid w:val="000B5096"/>
    <w:rsid w:val="000B52B3"/>
    <w:rsid w:val="000B57B9"/>
    <w:rsid w:val="000B6069"/>
    <w:rsid w:val="000B60D1"/>
    <w:rsid w:val="000B653E"/>
    <w:rsid w:val="000B6BAE"/>
    <w:rsid w:val="000B70B0"/>
    <w:rsid w:val="000B7158"/>
    <w:rsid w:val="000B7530"/>
    <w:rsid w:val="000B7D71"/>
    <w:rsid w:val="000B7DE8"/>
    <w:rsid w:val="000C00B0"/>
    <w:rsid w:val="000C01B3"/>
    <w:rsid w:val="000C024C"/>
    <w:rsid w:val="000C092A"/>
    <w:rsid w:val="000C09DD"/>
    <w:rsid w:val="000C0A3A"/>
    <w:rsid w:val="000C0AAD"/>
    <w:rsid w:val="000C0B23"/>
    <w:rsid w:val="000C0BEB"/>
    <w:rsid w:val="000C0CA8"/>
    <w:rsid w:val="000C0DFB"/>
    <w:rsid w:val="000C122E"/>
    <w:rsid w:val="000C1F57"/>
    <w:rsid w:val="000C21F2"/>
    <w:rsid w:val="000C225A"/>
    <w:rsid w:val="000C23EF"/>
    <w:rsid w:val="000C24EE"/>
    <w:rsid w:val="000C2958"/>
    <w:rsid w:val="000C2B98"/>
    <w:rsid w:val="000C2D0C"/>
    <w:rsid w:val="000C2E82"/>
    <w:rsid w:val="000C30C9"/>
    <w:rsid w:val="000C3533"/>
    <w:rsid w:val="000C36CA"/>
    <w:rsid w:val="000C3807"/>
    <w:rsid w:val="000C3B6C"/>
    <w:rsid w:val="000C3EAC"/>
    <w:rsid w:val="000C470C"/>
    <w:rsid w:val="000C4755"/>
    <w:rsid w:val="000C47F4"/>
    <w:rsid w:val="000C4955"/>
    <w:rsid w:val="000C4AAE"/>
    <w:rsid w:val="000C4BC9"/>
    <w:rsid w:val="000C4CD4"/>
    <w:rsid w:val="000C4D67"/>
    <w:rsid w:val="000C4EA5"/>
    <w:rsid w:val="000C4ED6"/>
    <w:rsid w:val="000C4FDC"/>
    <w:rsid w:val="000C4FE9"/>
    <w:rsid w:val="000C5312"/>
    <w:rsid w:val="000C5C7D"/>
    <w:rsid w:val="000C5CE0"/>
    <w:rsid w:val="000C60DA"/>
    <w:rsid w:val="000C638E"/>
    <w:rsid w:val="000C6506"/>
    <w:rsid w:val="000C6557"/>
    <w:rsid w:val="000C678A"/>
    <w:rsid w:val="000C67A1"/>
    <w:rsid w:val="000C7005"/>
    <w:rsid w:val="000C7034"/>
    <w:rsid w:val="000C7151"/>
    <w:rsid w:val="000C73CA"/>
    <w:rsid w:val="000C7513"/>
    <w:rsid w:val="000C75DF"/>
    <w:rsid w:val="000C7604"/>
    <w:rsid w:val="000C76AC"/>
    <w:rsid w:val="000C76EA"/>
    <w:rsid w:val="000C7E52"/>
    <w:rsid w:val="000C7F82"/>
    <w:rsid w:val="000D0344"/>
    <w:rsid w:val="000D04A0"/>
    <w:rsid w:val="000D05A4"/>
    <w:rsid w:val="000D0C00"/>
    <w:rsid w:val="000D0D08"/>
    <w:rsid w:val="000D101F"/>
    <w:rsid w:val="000D13B0"/>
    <w:rsid w:val="000D1B9B"/>
    <w:rsid w:val="000D1E49"/>
    <w:rsid w:val="000D1E88"/>
    <w:rsid w:val="000D240D"/>
    <w:rsid w:val="000D24F7"/>
    <w:rsid w:val="000D282E"/>
    <w:rsid w:val="000D2950"/>
    <w:rsid w:val="000D3109"/>
    <w:rsid w:val="000D383E"/>
    <w:rsid w:val="000D38C1"/>
    <w:rsid w:val="000D39C2"/>
    <w:rsid w:val="000D3D10"/>
    <w:rsid w:val="000D3E1D"/>
    <w:rsid w:val="000D4076"/>
    <w:rsid w:val="000D4306"/>
    <w:rsid w:val="000D44DA"/>
    <w:rsid w:val="000D44F4"/>
    <w:rsid w:val="000D4B33"/>
    <w:rsid w:val="000D4EE3"/>
    <w:rsid w:val="000D5153"/>
    <w:rsid w:val="000D537B"/>
    <w:rsid w:val="000D56CF"/>
    <w:rsid w:val="000D5933"/>
    <w:rsid w:val="000D59E9"/>
    <w:rsid w:val="000D5A33"/>
    <w:rsid w:val="000D5C54"/>
    <w:rsid w:val="000D5C9F"/>
    <w:rsid w:val="000D5EA1"/>
    <w:rsid w:val="000D60E0"/>
    <w:rsid w:val="000D62B5"/>
    <w:rsid w:val="000D65C1"/>
    <w:rsid w:val="000D6613"/>
    <w:rsid w:val="000D6887"/>
    <w:rsid w:val="000D694C"/>
    <w:rsid w:val="000D7032"/>
    <w:rsid w:val="000D7589"/>
    <w:rsid w:val="000D75C2"/>
    <w:rsid w:val="000D7704"/>
    <w:rsid w:val="000D798D"/>
    <w:rsid w:val="000D7A81"/>
    <w:rsid w:val="000E0160"/>
    <w:rsid w:val="000E04FA"/>
    <w:rsid w:val="000E074A"/>
    <w:rsid w:val="000E07B9"/>
    <w:rsid w:val="000E0A87"/>
    <w:rsid w:val="000E0F3F"/>
    <w:rsid w:val="000E12F1"/>
    <w:rsid w:val="000E153C"/>
    <w:rsid w:val="000E1673"/>
    <w:rsid w:val="000E18D4"/>
    <w:rsid w:val="000E199D"/>
    <w:rsid w:val="000E1B90"/>
    <w:rsid w:val="000E1E9B"/>
    <w:rsid w:val="000E2034"/>
    <w:rsid w:val="000E2092"/>
    <w:rsid w:val="000E24A0"/>
    <w:rsid w:val="000E25AA"/>
    <w:rsid w:val="000E2D8E"/>
    <w:rsid w:val="000E2D91"/>
    <w:rsid w:val="000E2FEB"/>
    <w:rsid w:val="000E3039"/>
    <w:rsid w:val="000E30DB"/>
    <w:rsid w:val="000E3124"/>
    <w:rsid w:val="000E3156"/>
    <w:rsid w:val="000E3164"/>
    <w:rsid w:val="000E333F"/>
    <w:rsid w:val="000E33C1"/>
    <w:rsid w:val="000E3427"/>
    <w:rsid w:val="000E34B2"/>
    <w:rsid w:val="000E376A"/>
    <w:rsid w:val="000E379A"/>
    <w:rsid w:val="000E3A7D"/>
    <w:rsid w:val="000E3A91"/>
    <w:rsid w:val="000E3AB4"/>
    <w:rsid w:val="000E4230"/>
    <w:rsid w:val="000E45FD"/>
    <w:rsid w:val="000E4A53"/>
    <w:rsid w:val="000E4F34"/>
    <w:rsid w:val="000E519D"/>
    <w:rsid w:val="000E5316"/>
    <w:rsid w:val="000E5953"/>
    <w:rsid w:val="000E5B24"/>
    <w:rsid w:val="000E5D8C"/>
    <w:rsid w:val="000E5F40"/>
    <w:rsid w:val="000E63E7"/>
    <w:rsid w:val="000E660D"/>
    <w:rsid w:val="000E6623"/>
    <w:rsid w:val="000E67B1"/>
    <w:rsid w:val="000E67EB"/>
    <w:rsid w:val="000E6819"/>
    <w:rsid w:val="000E68F0"/>
    <w:rsid w:val="000E69A7"/>
    <w:rsid w:val="000E6A26"/>
    <w:rsid w:val="000E6AAE"/>
    <w:rsid w:val="000E6C6D"/>
    <w:rsid w:val="000E6F46"/>
    <w:rsid w:val="000E79EB"/>
    <w:rsid w:val="000E7BBD"/>
    <w:rsid w:val="000E7DB1"/>
    <w:rsid w:val="000F00B0"/>
    <w:rsid w:val="000F0686"/>
    <w:rsid w:val="000F074F"/>
    <w:rsid w:val="000F096D"/>
    <w:rsid w:val="000F0AA8"/>
    <w:rsid w:val="000F103D"/>
    <w:rsid w:val="000F11D8"/>
    <w:rsid w:val="000F1C87"/>
    <w:rsid w:val="000F1D1D"/>
    <w:rsid w:val="000F208E"/>
    <w:rsid w:val="000F2260"/>
    <w:rsid w:val="000F23F0"/>
    <w:rsid w:val="000F2644"/>
    <w:rsid w:val="000F29B0"/>
    <w:rsid w:val="000F2A24"/>
    <w:rsid w:val="000F2B5D"/>
    <w:rsid w:val="000F2FE2"/>
    <w:rsid w:val="000F33D9"/>
    <w:rsid w:val="000F36A8"/>
    <w:rsid w:val="000F3711"/>
    <w:rsid w:val="000F3D52"/>
    <w:rsid w:val="000F400F"/>
    <w:rsid w:val="000F484B"/>
    <w:rsid w:val="000F4A37"/>
    <w:rsid w:val="000F4ECC"/>
    <w:rsid w:val="000F511B"/>
    <w:rsid w:val="000F5C17"/>
    <w:rsid w:val="000F5C8E"/>
    <w:rsid w:val="000F6038"/>
    <w:rsid w:val="000F652E"/>
    <w:rsid w:val="000F66B1"/>
    <w:rsid w:val="000F6A3D"/>
    <w:rsid w:val="000F6AE3"/>
    <w:rsid w:val="000F6F77"/>
    <w:rsid w:val="000F7029"/>
    <w:rsid w:val="000F7512"/>
    <w:rsid w:val="000F76FD"/>
    <w:rsid w:val="0010007D"/>
    <w:rsid w:val="00100844"/>
    <w:rsid w:val="00101092"/>
    <w:rsid w:val="001012A4"/>
    <w:rsid w:val="00101971"/>
    <w:rsid w:val="00101C11"/>
    <w:rsid w:val="00101DB5"/>
    <w:rsid w:val="001020E3"/>
    <w:rsid w:val="001022D2"/>
    <w:rsid w:val="00102371"/>
    <w:rsid w:val="00102A54"/>
    <w:rsid w:val="00102BF5"/>
    <w:rsid w:val="00102EB6"/>
    <w:rsid w:val="001032D8"/>
    <w:rsid w:val="0010354C"/>
    <w:rsid w:val="0010394F"/>
    <w:rsid w:val="001043B0"/>
    <w:rsid w:val="001045FE"/>
    <w:rsid w:val="0010462B"/>
    <w:rsid w:val="001046FC"/>
    <w:rsid w:val="00104EB8"/>
    <w:rsid w:val="001054E8"/>
    <w:rsid w:val="0010573D"/>
    <w:rsid w:val="00105EBE"/>
    <w:rsid w:val="00105FEE"/>
    <w:rsid w:val="001060C5"/>
    <w:rsid w:val="00106841"/>
    <w:rsid w:val="001069AF"/>
    <w:rsid w:val="00106B7C"/>
    <w:rsid w:val="00106E7B"/>
    <w:rsid w:val="00106EC3"/>
    <w:rsid w:val="001070C7"/>
    <w:rsid w:val="00107353"/>
    <w:rsid w:val="001079C9"/>
    <w:rsid w:val="00107D59"/>
    <w:rsid w:val="00107D86"/>
    <w:rsid w:val="00107DF9"/>
    <w:rsid w:val="00107F26"/>
    <w:rsid w:val="00110554"/>
    <w:rsid w:val="00110689"/>
    <w:rsid w:val="00110AC8"/>
    <w:rsid w:val="001110CB"/>
    <w:rsid w:val="0011121C"/>
    <w:rsid w:val="0011133E"/>
    <w:rsid w:val="001116B9"/>
    <w:rsid w:val="00111895"/>
    <w:rsid w:val="00111EC3"/>
    <w:rsid w:val="0011216E"/>
    <w:rsid w:val="00112182"/>
    <w:rsid w:val="0011221A"/>
    <w:rsid w:val="001124DC"/>
    <w:rsid w:val="00112D78"/>
    <w:rsid w:val="00113315"/>
    <w:rsid w:val="00113728"/>
    <w:rsid w:val="00113751"/>
    <w:rsid w:val="00113763"/>
    <w:rsid w:val="00113DC8"/>
    <w:rsid w:val="00113EB6"/>
    <w:rsid w:val="00114282"/>
    <w:rsid w:val="001145D0"/>
    <w:rsid w:val="001148B3"/>
    <w:rsid w:val="001149E3"/>
    <w:rsid w:val="00114C1B"/>
    <w:rsid w:val="001151C4"/>
    <w:rsid w:val="00115266"/>
    <w:rsid w:val="001152DD"/>
    <w:rsid w:val="00115404"/>
    <w:rsid w:val="00115442"/>
    <w:rsid w:val="00115695"/>
    <w:rsid w:val="00115837"/>
    <w:rsid w:val="00116046"/>
    <w:rsid w:val="00116327"/>
    <w:rsid w:val="0011656E"/>
    <w:rsid w:val="00116894"/>
    <w:rsid w:val="00116E60"/>
    <w:rsid w:val="00117085"/>
    <w:rsid w:val="0011710D"/>
    <w:rsid w:val="00117229"/>
    <w:rsid w:val="001172A1"/>
    <w:rsid w:val="001172EB"/>
    <w:rsid w:val="0011734F"/>
    <w:rsid w:val="0011765D"/>
    <w:rsid w:val="0011792C"/>
    <w:rsid w:val="001179E5"/>
    <w:rsid w:val="00117A08"/>
    <w:rsid w:val="0012024C"/>
    <w:rsid w:val="001202BD"/>
    <w:rsid w:val="0012031F"/>
    <w:rsid w:val="00120408"/>
    <w:rsid w:val="001205AC"/>
    <w:rsid w:val="0012099B"/>
    <w:rsid w:val="00120B41"/>
    <w:rsid w:val="001213CD"/>
    <w:rsid w:val="0012159C"/>
    <w:rsid w:val="0012183A"/>
    <w:rsid w:val="00121B1C"/>
    <w:rsid w:val="00121D10"/>
    <w:rsid w:val="00121E0C"/>
    <w:rsid w:val="0012215E"/>
    <w:rsid w:val="0012233D"/>
    <w:rsid w:val="001226FE"/>
    <w:rsid w:val="00122B15"/>
    <w:rsid w:val="00122DBF"/>
    <w:rsid w:val="001230F0"/>
    <w:rsid w:val="001234B0"/>
    <w:rsid w:val="0012393A"/>
    <w:rsid w:val="001242A6"/>
    <w:rsid w:val="001244CD"/>
    <w:rsid w:val="001248A7"/>
    <w:rsid w:val="001250B2"/>
    <w:rsid w:val="0012543D"/>
    <w:rsid w:val="00125A02"/>
    <w:rsid w:val="00125B94"/>
    <w:rsid w:val="00125C29"/>
    <w:rsid w:val="00125EB3"/>
    <w:rsid w:val="001261B7"/>
    <w:rsid w:val="0012662E"/>
    <w:rsid w:val="0012665B"/>
    <w:rsid w:val="00126693"/>
    <w:rsid w:val="00126B98"/>
    <w:rsid w:val="00127074"/>
    <w:rsid w:val="001275D8"/>
    <w:rsid w:val="0012778D"/>
    <w:rsid w:val="00127CBE"/>
    <w:rsid w:val="00127DA5"/>
    <w:rsid w:val="00127DB8"/>
    <w:rsid w:val="00130595"/>
    <w:rsid w:val="00130739"/>
    <w:rsid w:val="001309FF"/>
    <w:rsid w:val="00130B5D"/>
    <w:rsid w:val="00130DE4"/>
    <w:rsid w:val="0013182D"/>
    <w:rsid w:val="0013190D"/>
    <w:rsid w:val="00131B3C"/>
    <w:rsid w:val="00131C64"/>
    <w:rsid w:val="00132210"/>
    <w:rsid w:val="00132227"/>
    <w:rsid w:val="00132364"/>
    <w:rsid w:val="0013245A"/>
    <w:rsid w:val="00132668"/>
    <w:rsid w:val="00132767"/>
    <w:rsid w:val="00132796"/>
    <w:rsid w:val="001327B2"/>
    <w:rsid w:val="00132F41"/>
    <w:rsid w:val="0013308B"/>
    <w:rsid w:val="00133640"/>
    <w:rsid w:val="001336CD"/>
    <w:rsid w:val="001338A3"/>
    <w:rsid w:val="00133BD0"/>
    <w:rsid w:val="00133BF1"/>
    <w:rsid w:val="00133C16"/>
    <w:rsid w:val="00133D88"/>
    <w:rsid w:val="00133DFB"/>
    <w:rsid w:val="00134754"/>
    <w:rsid w:val="001347D5"/>
    <w:rsid w:val="00134CC6"/>
    <w:rsid w:val="00134D2B"/>
    <w:rsid w:val="001350CA"/>
    <w:rsid w:val="001351AE"/>
    <w:rsid w:val="00135215"/>
    <w:rsid w:val="001354DF"/>
    <w:rsid w:val="00135956"/>
    <w:rsid w:val="001359D7"/>
    <w:rsid w:val="00135F06"/>
    <w:rsid w:val="00136373"/>
    <w:rsid w:val="0013665A"/>
    <w:rsid w:val="001366EC"/>
    <w:rsid w:val="001366F9"/>
    <w:rsid w:val="001367CA"/>
    <w:rsid w:val="00136DC2"/>
    <w:rsid w:val="00137272"/>
    <w:rsid w:val="001375BD"/>
    <w:rsid w:val="001378C8"/>
    <w:rsid w:val="00137A0B"/>
    <w:rsid w:val="00137F4F"/>
    <w:rsid w:val="001405B8"/>
    <w:rsid w:val="001411AF"/>
    <w:rsid w:val="00141A8B"/>
    <w:rsid w:val="00142B50"/>
    <w:rsid w:val="00142BD4"/>
    <w:rsid w:val="00142C8C"/>
    <w:rsid w:val="00142E93"/>
    <w:rsid w:val="001431B9"/>
    <w:rsid w:val="00143534"/>
    <w:rsid w:val="001435B6"/>
    <w:rsid w:val="00143686"/>
    <w:rsid w:val="001436CE"/>
    <w:rsid w:val="00143749"/>
    <w:rsid w:val="00143BC8"/>
    <w:rsid w:val="00144210"/>
    <w:rsid w:val="001443AA"/>
    <w:rsid w:val="00144B88"/>
    <w:rsid w:val="00144BAE"/>
    <w:rsid w:val="00145275"/>
    <w:rsid w:val="001454F5"/>
    <w:rsid w:val="00145A56"/>
    <w:rsid w:val="0014623A"/>
    <w:rsid w:val="001462C7"/>
    <w:rsid w:val="001463C3"/>
    <w:rsid w:val="00146448"/>
    <w:rsid w:val="001467BA"/>
    <w:rsid w:val="001467FF"/>
    <w:rsid w:val="00146FFC"/>
    <w:rsid w:val="0014725C"/>
    <w:rsid w:val="00147988"/>
    <w:rsid w:val="00147A29"/>
    <w:rsid w:val="00150250"/>
    <w:rsid w:val="00150465"/>
    <w:rsid w:val="00150656"/>
    <w:rsid w:val="001507D8"/>
    <w:rsid w:val="00150899"/>
    <w:rsid w:val="00150B0A"/>
    <w:rsid w:val="00150BD9"/>
    <w:rsid w:val="001519D0"/>
    <w:rsid w:val="00151A98"/>
    <w:rsid w:val="00151CA4"/>
    <w:rsid w:val="00151D77"/>
    <w:rsid w:val="00151E57"/>
    <w:rsid w:val="00152130"/>
    <w:rsid w:val="00152E6D"/>
    <w:rsid w:val="001532E9"/>
    <w:rsid w:val="001536AF"/>
    <w:rsid w:val="00153D19"/>
    <w:rsid w:val="00154687"/>
    <w:rsid w:val="00154A02"/>
    <w:rsid w:val="00154A82"/>
    <w:rsid w:val="00154B98"/>
    <w:rsid w:val="00154F67"/>
    <w:rsid w:val="00155A84"/>
    <w:rsid w:val="00155C13"/>
    <w:rsid w:val="00155D28"/>
    <w:rsid w:val="00155EBA"/>
    <w:rsid w:val="00155EF7"/>
    <w:rsid w:val="00156117"/>
    <w:rsid w:val="0015618C"/>
    <w:rsid w:val="001561A7"/>
    <w:rsid w:val="001567CF"/>
    <w:rsid w:val="00156B98"/>
    <w:rsid w:val="00156D59"/>
    <w:rsid w:val="00156F5B"/>
    <w:rsid w:val="001575E4"/>
    <w:rsid w:val="0016028B"/>
    <w:rsid w:val="0016070B"/>
    <w:rsid w:val="001608CB"/>
    <w:rsid w:val="00160B1C"/>
    <w:rsid w:val="00160F19"/>
    <w:rsid w:val="001618C5"/>
    <w:rsid w:val="00161AE2"/>
    <w:rsid w:val="00161CA0"/>
    <w:rsid w:val="00162221"/>
    <w:rsid w:val="001628BF"/>
    <w:rsid w:val="00162947"/>
    <w:rsid w:val="00162993"/>
    <w:rsid w:val="00162D0B"/>
    <w:rsid w:val="00162E5F"/>
    <w:rsid w:val="001631E7"/>
    <w:rsid w:val="001631F4"/>
    <w:rsid w:val="00163205"/>
    <w:rsid w:val="00163279"/>
    <w:rsid w:val="001632E1"/>
    <w:rsid w:val="00163500"/>
    <w:rsid w:val="00163576"/>
    <w:rsid w:val="00163726"/>
    <w:rsid w:val="00163AAF"/>
    <w:rsid w:val="00163E24"/>
    <w:rsid w:val="00163E3C"/>
    <w:rsid w:val="0016405B"/>
    <w:rsid w:val="001645F9"/>
    <w:rsid w:val="00164634"/>
    <w:rsid w:val="00164B6E"/>
    <w:rsid w:val="00164CAC"/>
    <w:rsid w:val="001653FC"/>
    <w:rsid w:val="001655AF"/>
    <w:rsid w:val="00165880"/>
    <w:rsid w:val="001659D8"/>
    <w:rsid w:val="00165B9A"/>
    <w:rsid w:val="0016632B"/>
    <w:rsid w:val="0016639D"/>
    <w:rsid w:val="001667B0"/>
    <w:rsid w:val="00166993"/>
    <w:rsid w:val="00166ED2"/>
    <w:rsid w:val="0016718C"/>
    <w:rsid w:val="001672EE"/>
    <w:rsid w:val="00167891"/>
    <w:rsid w:val="001678A0"/>
    <w:rsid w:val="00167953"/>
    <w:rsid w:val="00167C18"/>
    <w:rsid w:val="00167E89"/>
    <w:rsid w:val="00170757"/>
    <w:rsid w:val="0017075C"/>
    <w:rsid w:val="00170BB1"/>
    <w:rsid w:val="00170FC1"/>
    <w:rsid w:val="001711E7"/>
    <w:rsid w:val="00171388"/>
    <w:rsid w:val="001713C8"/>
    <w:rsid w:val="001713C9"/>
    <w:rsid w:val="001716AB"/>
    <w:rsid w:val="00171CBF"/>
    <w:rsid w:val="00171CD3"/>
    <w:rsid w:val="00171E5B"/>
    <w:rsid w:val="00171FBF"/>
    <w:rsid w:val="001721CF"/>
    <w:rsid w:val="00172205"/>
    <w:rsid w:val="0017221D"/>
    <w:rsid w:val="00172956"/>
    <w:rsid w:val="00172D99"/>
    <w:rsid w:val="00172DC7"/>
    <w:rsid w:val="00173967"/>
    <w:rsid w:val="0017424A"/>
    <w:rsid w:val="001743DF"/>
    <w:rsid w:val="0017446F"/>
    <w:rsid w:val="0017471D"/>
    <w:rsid w:val="001748C5"/>
    <w:rsid w:val="00174C24"/>
    <w:rsid w:val="00174E6F"/>
    <w:rsid w:val="00175041"/>
    <w:rsid w:val="0017511C"/>
    <w:rsid w:val="001752B3"/>
    <w:rsid w:val="001754A1"/>
    <w:rsid w:val="001757FF"/>
    <w:rsid w:val="00175815"/>
    <w:rsid w:val="00175D31"/>
    <w:rsid w:val="001760F8"/>
    <w:rsid w:val="001761ED"/>
    <w:rsid w:val="00176229"/>
    <w:rsid w:val="0017628F"/>
    <w:rsid w:val="00176CCA"/>
    <w:rsid w:val="00176F8E"/>
    <w:rsid w:val="00177975"/>
    <w:rsid w:val="0017797F"/>
    <w:rsid w:val="00177A04"/>
    <w:rsid w:val="001807F8"/>
    <w:rsid w:val="00180ED2"/>
    <w:rsid w:val="001813C7"/>
    <w:rsid w:val="001813F0"/>
    <w:rsid w:val="00181831"/>
    <w:rsid w:val="00181A03"/>
    <w:rsid w:val="00181A5E"/>
    <w:rsid w:val="00181ACA"/>
    <w:rsid w:val="00181D48"/>
    <w:rsid w:val="00181E24"/>
    <w:rsid w:val="00181EBB"/>
    <w:rsid w:val="0018218E"/>
    <w:rsid w:val="00182B2D"/>
    <w:rsid w:val="00182F97"/>
    <w:rsid w:val="0018317D"/>
    <w:rsid w:val="00183248"/>
    <w:rsid w:val="0018332C"/>
    <w:rsid w:val="00183C35"/>
    <w:rsid w:val="00184075"/>
    <w:rsid w:val="00184107"/>
    <w:rsid w:val="00184329"/>
    <w:rsid w:val="001846E5"/>
    <w:rsid w:val="0018497F"/>
    <w:rsid w:val="001856DD"/>
    <w:rsid w:val="00185C31"/>
    <w:rsid w:val="00185E64"/>
    <w:rsid w:val="0018612D"/>
    <w:rsid w:val="00186266"/>
    <w:rsid w:val="001864C2"/>
    <w:rsid w:val="00186586"/>
    <w:rsid w:val="00186A6A"/>
    <w:rsid w:val="00186B22"/>
    <w:rsid w:val="00186F4B"/>
    <w:rsid w:val="001871AF"/>
    <w:rsid w:val="001876EA"/>
    <w:rsid w:val="0018773E"/>
    <w:rsid w:val="00187A7C"/>
    <w:rsid w:val="00187E06"/>
    <w:rsid w:val="00187E76"/>
    <w:rsid w:val="001900CE"/>
    <w:rsid w:val="001903CB"/>
    <w:rsid w:val="00190471"/>
    <w:rsid w:val="0019083B"/>
    <w:rsid w:val="0019087C"/>
    <w:rsid w:val="00190C0F"/>
    <w:rsid w:val="00190DB2"/>
    <w:rsid w:val="00190E7D"/>
    <w:rsid w:val="001911DF"/>
    <w:rsid w:val="001916F8"/>
    <w:rsid w:val="00191D7F"/>
    <w:rsid w:val="00191E17"/>
    <w:rsid w:val="0019278D"/>
    <w:rsid w:val="00192AD6"/>
    <w:rsid w:val="00192CB3"/>
    <w:rsid w:val="001931EE"/>
    <w:rsid w:val="001933C5"/>
    <w:rsid w:val="00193400"/>
    <w:rsid w:val="00193830"/>
    <w:rsid w:val="00193AF7"/>
    <w:rsid w:val="0019481A"/>
    <w:rsid w:val="00194EA6"/>
    <w:rsid w:val="0019511D"/>
    <w:rsid w:val="00195AED"/>
    <w:rsid w:val="00195DB9"/>
    <w:rsid w:val="001964C3"/>
    <w:rsid w:val="0019680B"/>
    <w:rsid w:val="0019700E"/>
    <w:rsid w:val="001970A0"/>
    <w:rsid w:val="0019713B"/>
    <w:rsid w:val="00197EE9"/>
    <w:rsid w:val="00197FA4"/>
    <w:rsid w:val="00197FE0"/>
    <w:rsid w:val="001A0140"/>
    <w:rsid w:val="001A014A"/>
    <w:rsid w:val="001A03CA"/>
    <w:rsid w:val="001A08FF"/>
    <w:rsid w:val="001A0C4A"/>
    <w:rsid w:val="001A0FBF"/>
    <w:rsid w:val="001A1068"/>
    <w:rsid w:val="001A1424"/>
    <w:rsid w:val="001A162D"/>
    <w:rsid w:val="001A17FB"/>
    <w:rsid w:val="001A1818"/>
    <w:rsid w:val="001A1C1E"/>
    <w:rsid w:val="001A1D51"/>
    <w:rsid w:val="001A1D73"/>
    <w:rsid w:val="001A23A0"/>
    <w:rsid w:val="001A2449"/>
    <w:rsid w:val="001A249C"/>
    <w:rsid w:val="001A24BC"/>
    <w:rsid w:val="001A26E0"/>
    <w:rsid w:val="001A2BB7"/>
    <w:rsid w:val="001A2CD2"/>
    <w:rsid w:val="001A2F1D"/>
    <w:rsid w:val="001A3136"/>
    <w:rsid w:val="001A31CE"/>
    <w:rsid w:val="001A37DE"/>
    <w:rsid w:val="001A3901"/>
    <w:rsid w:val="001A3AA9"/>
    <w:rsid w:val="001A3C63"/>
    <w:rsid w:val="001A405C"/>
    <w:rsid w:val="001A45E4"/>
    <w:rsid w:val="001A4865"/>
    <w:rsid w:val="001A4926"/>
    <w:rsid w:val="001A492E"/>
    <w:rsid w:val="001A4DE4"/>
    <w:rsid w:val="001A4F95"/>
    <w:rsid w:val="001A532D"/>
    <w:rsid w:val="001A5756"/>
    <w:rsid w:val="001A5789"/>
    <w:rsid w:val="001A57BD"/>
    <w:rsid w:val="001A62D6"/>
    <w:rsid w:val="001A6528"/>
    <w:rsid w:val="001A6726"/>
    <w:rsid w:val="001A73C0"/>
    <w:rsid w:val="001A73F4"/>
    <w:rsid w:val="001A7404"/>
    <w:rsid w:val="001A7728"/>
    <w:rsid w:val="001A78E8"/>
    <w:rsid w:val="001A790D"/>
    <w:rsid w:val="001A7CC0"/>
    <w:rsid w:val="001B02A0"/>
    <w:rsid w:val="001B0998"/>
    <w:rsid w:val="001B09D5"/>
    <w:rsid w:val="001B0B14"/>
    <w:rsid w:val="001B0C6A"/>
    <w:rsid w:val="001B0F18"/>
    <w:rsid w:val="001B10AA"/>
    <w:rsid w:val="001B10D4"/>
    <w:rsid w:val="001B1495"/>
    <w:rsid w:val="001B151C"/>
    <w:rsid w:val="001B1554"/>
    <w:rsid w:val="001B15AD"/>
    <w:rsid w:val="001B2111"/>
    <w:rsid w:val="001B2307"/>
    <w:rsid w:val="001B2567"/>
    <w:rsid w:val="001B2AA2"/>
    <w:rsid w:val="001B2DF5"/>
    <w:rsid w:val="001B2EC6"/>
    <w:rsid w:val="001B2FC0"/>
    <w:rsid w:val="001B35FE"/>
    <w:rsid w:val="001B38C1"/>
    <w:rsid w:val="001B39F6"/>
    <w:rsid w:val="001B3A6E"/>
    <w:rsid w:val="001B403A"/>
    <w:rsid w:val="001B43B9"/>
    <w:rsid w:val="001B503D"/>
    <w:rsid w:val="001B51F7"/>
    <w:rsid w:val="001B588E"/>
    <w:rsid w:val="001B5D2B"/>
    <w:rsid w:val="001B5EBE"/>
    <w:rsid w:val="001B5EDF"/>
    <w:rsid w:val="001B6437"/>
    <w:rsid w:val="001B6510"/>
    <w:rsid w:val="001B6698"/>
    <w:rsid w:val="001B69BC"/>
    <w:rsid w:val="001B6B5D"/>
    <w:rsid w:val="001B6C8A"/>
    <w:rsid w:val="001B6E22"/>
    <w:rsid w:val="001B6EC4"/>
    <w:rsid w:val="001B6F8C"/>
    <w:rsid w:val="001B6FCA"/>
    <w:rsid w:val="001B71EA"/>
    <w:rsid w:val="001B7698"/>
    <w:rsid w:val="001B77BA"/>
    <w:rsid w:val="001B7833"/>
    <w:rsid w:val="001B7B9E"/>
    <w:rsid w:val="001B7C98"/>
    <w:rsid w:val="001B7E1D"/>
    <w:rsid w:val="001B7E42"/>
    <w:rsid w:val="001C0659"/>
    <w:rsid w:val="001C0A16"/>
    <w:rsid w:val="001C0C00"/>
    <w:rsid w:val="001C1056"/>
    <w:rsid w:val="001C1581"/>
    <w:rsid w:val="001C17FA"/>
    <w:rsid w:val="001C1C40"/>
    <w:rsid w:val="001C1F62"/>
    <w:rsid w:val="001C2057"/>
    <w:rsid w:val="001C2326"/>
    <w:rsid w:val="001C23C0"/>
    <w:rsid w:val="001C245C"/>
    <w:rsid w:val="001C25B6"/>
    <w:rsid w:val="001C2BF4"/>
    <w:rsid w:val="001C2EB2"/>
    <w:rsid w:val="001C2F6F"/>
    <w:rsid w:val="001C3069"/>
    <w:rsid w:val="001C328D"/>
    <w:rsid w:val="001C3491"/>
    <w:rsid w:val="001C3549"/>
    <w:rsid w:val="001C37FE"/>
    <w:rsid w:val="001C39BB"/>
    <w:rsid w:val="001C3A0A"/>
    <w:rsid w:val="001C3DA3"/>
    <w:rsid w:val="001C47E4"/>
    <w:rsid w:val="001C4A6D"/>
    <w:rsid w:val="001C4F09"/>
    <w:rsid w:val="001C543E"/>
    <w:rsid w:val="001C57D2"/>
    <w:rsid w:val="001C60DC"/>
    <w:rsid w:val="001C63EB"/>
    <w:rsid w:val="001C6496"/>
    <w:rsid w:val="001C652F"/>
    <w:rsid w:val="001C67BE"/>
    <w:rsid w:val="001C6BC9"/>
    <w:rsid w:val="001C6BF5"/>
    <w:rsid w:val="001C6EF6"/>
    <w:rsid w:val="001C7007"/>
    <w:rsid w:val="001C76E5"/>
    <w:rsid w:val="001C77D6"/>
    <w:rsid w:val="001C77E0"/>
    <w:rsid w:val="001C791F"/>
    <w:rsid w:val="001C7CC5"/>
    <w:rsid w:val="001C7D87"/>
    <w:rsid w:val="001D0282"/>
    <w:rsid w:val="001D06BC"/>
    <w:rsid w:val="001D07B1"/>
    <w:rsid w:val="001D0B23"/>
    <w:rsid w:val="001D0E37"/>
    <w:rsid w:val="001D13BD"/>
    <w:rsid w:val="001D13CF"/>
    <w:rsid w:val="001D17B1"/>
    <w:rsid w:val="001D19D4"/>
    <w:rsid w:val="001D21CD"/>
    <w:rsid w:val="001D21E1"/>
    <w:rsid w:val="001D2312"/>
    <w:rsid w:val="001D2804"/>
    <w:rsid w:val="001D2940"/>
    <w:rsid w:val="001D2D2C"/>
    <w:rsid w:val="001D2E0B"/>
    <w:rsid w:val="001D35B2"/>
    <w:rsid w:val="001D391C"/>
    <w:rsid w:val="001D3F10"/>
    <w:rsid w:val="001D421F"/>
    <w:rsid w:val="001D490D"/>
    <w:rsid w:val="001D49EB"/>
    <w:rsid w:val="001D4ADF"/>
    <w:rsid w:val="001D512E"/>
    <w:rsid w:val="001D5386"/>
    <w:rsid w:val="001D57A8"/>
    <w:rsid w:val="001D5912"/>
    <w:rsid w:val="001D5BC5"/>
    <w:rsid w:val="001D5BCD"/>
    <w:rsid w:val="001D5DD8"/>
    <w:rsid w:val="001D63C8"/>
    <w:rsid w:val="001D64EF"/>
    <w:rsid w:val="001D66F1"/>
    <w:rsid w:val="001D6738"/>
    <w:rsid w:val="001D6953"/>
    <w:rsid w:val="001D6C33"/>
    <w:rsid w:val="001D6FFB"/>
    <w:rsid w:val="001D70B0"/>
    <w:rsid w:val="001D734C"/>
    <w:rsid w:val="001D7631"/>
    <w:rsid w:val="001D78DC"/>
    <w:rsid w:val="001E041F"/>
    <w:rsid w:val="001E0D9F"/>
    <w:rsid w:val="001E0E2A"/>
    <w:rsid w:val="001E0E9C"/>
    <w:rsid w:val="001E118C"/>
    <w:rsid w:val="001E131D"/>
    <w:rsid w:val="001E1351"/>
    <w:rsid w:val="001E14C1"/>
    <w:rsid w:val="001E17EF"/>
    <w:rsid w:val="001E1A21"/>
    <w:rsid w:val="001E20E1"/>
    <w:rsid w:val="001E22FA"/>
    <w:rsid w:val="001E2486"/>
    <w:rsid w:val="001E25B1"/>
    <w:rsid w:val="001E2C39"/>
    <w:rsid w:val="001E2E09"/>
    <w:rsid w:val="001E2F45"/>
    <w:rsid w:val="001E314A"/>
    <w:rsid w:val="001E3509"/>
    <w:rsid w:val="001E3AAE"/>
    <w:rsid w:val="001E3E3E"/>
    <w:rsid w:val="001E4207"/>
    <w:rsid w:val="001E451E"/>
    <w:rsid w:val="001E469B"/>
    <w:rsid w:val="001E4A29"/>
    <w:rsid w:val="001E4EF0"/>
    <w:rsid w:val="001E5304"/>
    <w:rsid w:val="001E569C"/>
    <w:rsid w:val="001E583A"/>
    <w:rsid w:val="001E5D45"/>
    <w:rsid w:val="001E5F25"/>
    <w:rsid w:val="001E5F7D"/>
    <w:rsid w:val="001E61D8"/>
    <w:rsid w:val="001E62B9"/>
    <w:rsid w:val="001E62DC"/>
    <w:rsid w:val="001E659F"/>
    <w:rsid w:val="001E6A72"/>
    <w:rsid w:val="001E6AE3"/>
    <w:rsid w:val="001E6D80"/>
    <w:rsid w:val="001E6F25"/>
    <w:rsid w:val="001E6FD1"/>
    <w:rsid w:val="001E7087"/>
    <w:rsid w:val="001E71CA"/>
    <w:rsid w:val="001E764D"/>
    <w:rsid w:val="001E7829"/>
    <w:rsid w:val="001E7BEF"/>
    <w:rsid w:val="001E7F0C"/>
    <w:rsid w:val="001F04EB"/>
    <w:rsid w:val="001F0549"/>
    <w:rsid w:val="001F0AC2"/>
    <w:rsid w:val="001F0C6D"/>
    <w:rsid w:val="001F14E8"/>
    <w:rsid w:val="001F1591"/>
    <w:rsid w:val="001F15FD"/>
    <w:rsid w:val="001F1676"/>
    <w:rsid w:val="001F18D4"/>
    <w:rsid w:val="001F1E83"/>
    <w:rsid w:val="001F2604"/>
    <w:rsid w:val="001F263D"/>
    <w:rsid w:val="001F2852"/>
    <w:rsid w:val="001F296B"/>
    <w:rsid w:val="001F2E9E"/>
    <w:rsid w:val="001F2FD9"/>
    <w:rsid w:val="001F38D0"/>
    <w:rsid w:val="001F3B22"/>
    <w:rsid w:val="001F3B26"/>
    <w:rsid w:val="001F4619"/>
    <w:rsid w:val="001F4716"/>
    <w:rsid w:val="001F48A8"/>
    <w:rsid w:val="001F4916"/>
    <w:rsid w:val="001F4DA3"/>
    <w:rsid w:val="001F4EBD"/>
    <w:rsid w:val="001F4F6F"/>
    <w:rsid w:val="001F50DE"/>
    <w:rsid w:val="001F53D3"/>
    <w:rsid w:val="001F5B74"/>
    <w:rsid w:val="001F63A7"/>
    <w:rsid w:val="001F6A5D"/>
    <w:rsid w:val="001F6B9E"/>
    <w:rsid w:val="001F727E"/>
    <w:rsid w:val="001F72C8"/>
    <w:rsid w:val="001F74BE"/>
    <w:rsid w:val="001F7A35"/>
    <w:rsid w:val="001F7CB2"/>
    <w:rsid w:val="00200498"/>
    <w:rsid w:val="00200576"/>
    <w:rsid w:val="0020064C"/>
    <w:rsid w:val="002007EE"/>
    <w:rsid w:val="00200881"/>
    <w:rsid w:val="00200AC1"/>
    <w:rsid w:val="00200B55"/>
    <w:rsid w:val="0020116C"/>
    <w:rsid w:val="00201171"/>
    <w:rsid w:val="00201232"/>
    <w:rsid w:val="002013EB"/>
    <w:rsid w:val="00201693"/>
    <w:rsid w:val="002016A8"/>
    <w:rsid w:val="0020192C"/>
    <w:rsid w:val="00201B68"/>
    <w:rsid w:val="00201BD0"/>
    <w:rsid w:val="00201C01"/>
    <w:rsid w:val="00201C6F"/>
    <w:rsid w:val="00201E36"/>
    <w:rsid w:val="0020209C"/>
    <w:rsid w:val="00202175"/>
    <w:rsid w:val="00202668"/>
    <w:rsid w:val="0020317D"/>
    <w:rsid w:val="002031E3"/>
    <w:rsid w:val="0020362C"/>
    <w:rsid w:val="002038D0"/>
    <w:rsid w:val="00203D98"/>
    <w:rsid w:val="00203EC0"/>
    <w:rsid w:val="002040CF"/>
    <w:rsid w:val="002048CB"/>
    <w:rsid w:val="00204C16"/>
    <w:rsid w:val="00204D21"/>
    <w:rsid w:val="00204F42"/>
    <w:rsid w:val="00205289"/>
    <w:rsid w:val="002052DB"/>
    <w:rsid w:val="00205695"/>
    <w:rsid w:val="00205941"/>
    <w:rsid w:val="00205A1A"/>
    <w:rsid w:val="00205FA1"/>
    <w:rsid w:val="0020650A"/>
    <w:rsid w:val="00206915"/>
    <w:rsid w:val="0020754C"/>
    <w:rsid w:val="00207582"/>
    <w:rsid w:val="002075F8"/>
    <w:rsid w:val="00207799"/>
    <w:rsid w:val="0020788B"/>
    <w:rsid w:val="00207CE8"/>
    <w:rsid w:val="00207E2A"/>
    <w:rsid w:val="00207FBA"/>
    <w:rsid w:val="002103EE"/>
    <w:rsid w:val="002108B2"/>
    <w:rsid w:val="00210BEC"/>
    <w:rsid w:val="00210C88"/>
    <w:rsid w:val="00210FE7"/>
    <w:rsid w:val="0021111C"/>
    <w:rsid w:val="00211395"/>
    <w:rsid w:val="00211A2D"/>
    <w:rsid w:val="00211DF4"/>
    <w:rsid w:val="0021210A"/>
    <w:rsid w:val="0021227C"/>
    <w:rsid w:val="00212826"/>
    <w:rsid w:val="00213013"/>
    <w:rsid w:val="002130A8"/>
    <w:rsid w:val="00213696"/>
    <w:rsid w:val="00213ADC"/>
    <w:rsid w:val="00213E7F"/>
    <w:rsid w:val="00213E91"/>
    <w:rsid w:val="002143A2"/>
    <w:rsid w:val="00214E2B"/>
    <w:rsid w:val="00215288"/>
    <w:rsid w:val="00215532"/>
    <w:rsid w:val="00215B36"/>
    <w:rsid w:val="00215F92"/>
    <w:rsid w:val="002160DF"/>
    <w:rsid w:val="0021673F"/>
    <w:rsid w:val="00216A27"/>
    <w:rsid w:val="00216AB7"/>
    <w:rsid w:val="002173B6"/>
    <w:rsid w:val="002175F1"/>
    <w:rsid w:val="00217D5E"/>
    <w:rsid w:val="00220A61"/>
    <w:rsid w:val="00220AE3"/>
    <w:rsid w:val="00220AF5"/>
    <w:rsid w:val="00220B85"/>
    <w:rsid w:val="00220F45"/>
    <w:rsid w:val="0022100A"/>
    <w:rsid w:val="0022122B"/>
    <w:rsid w:val="00221424"/>
    <w:rsid w:val="002217F8"/>
    <w:rsid w:val="002217FB"/>
    <w:rsid w:val="00221BB6"/>
    <w:rsid w:val="0022203F"/>
    <w:rsid w:val="00222932"/>
    <w:rsid w:val="00222986"/>
    <w:rsid w:val="0022311E"/>
    <w:rsid w:val="002233BF"/>
    <w:rsid w:val="002237BB"/>
    <w:rsid w:val="00223A69"/>
    <w:rsid w:val="00223CEC"/>
    <w:rsid w:val="00224F00"/>
    <w:rsid w:val="002251E1"/>
    <w:rsid w:val="0022573F"/>
    <w:rsid w:val="00225870"/>
    <w:rsid w:val="00225DA3"/>
    <w:rsid w:val="002263CC"/>
    <w:rsid w:val="00226423"/>
    <w:rsid w:val="00226885"/>
    <w:rsid w:val="00226918"/>
    <w:rsid w:val="00226F5F"/>
    <w:rsid w:val="0022794E"/>
    <w:rsid w:val="002279F2"/>
    <w:rsid w:val="00227E72"/>
    <w:rsid w:val="00230222"/>
    <w:rsid w:val="00230285"/>
    <w:rsid w:val="00230521"/>
    <w:rsid w:val="002309C3"/>
    <w:rsid w:val="00230F8A"/>
    <w:rsid w:val="0023103A"/>
    <w:rsid w:val="00231228"/>
    <w:rsid w:val="0023138E"/>
    <w:rsid w:val="00231540"/>
    <w:rsid w:val="00231553"/>
    <w:rsid w:val="0023162F"/>
    <w:rsid w:val="00231E00"/>
    <w:rsid w:val="0023215B"/>
    <w:rsid w:val="00232366"/>
    <w:rsid w:val="00232498"/>
    <w:rsid w:val="00232C78"/>
    <w:rsid w:val="00232DB8"/>
    <w:rsid w:val="00232F9E"/>
    <w:rsid w:val="00233226"/>
    <w:rsid w:val="002332E4"/>
    <w:rsid w:val="002333A4"/>
    <w:rsid w:val="0023353F"/>
    <w:rsid w:val="00233744"/>
    <w:rsid w:val="00233C42"/>
    <w:rsid w:val="00233E62"/>
    <w:rsid w:val="00234352"/>
    <w:rsid w:val="0023499B"/>
    <w:rsid w:val="00234A49"/>
    <w:rsid w:val="00234A92"/>
    <w:rsid w:val="00234EF2"/>
    <w:rsid w:val="002351BE"/>
    <w:rsid w:val="002359C0"/>
    <w:rsid w:val="00235C0D"/>
    <w:rsid w:val="00235D49"/>
    <w:rsid w:val="00235F18"/>
    <w:rsid w:val="00235F6A"/>
    <w:rsid w:val="00235FB2"/>
    <w:rsid w:val="00235FD2"/>
    <w:rsid w:val="00236166"/>
    <w:rsid w:val="002363AC"/>
    <w:rsid w:val="002365E6"/>
    <w:rsid w:val="00236904"/>
    <w:rsid w:val="0023715D"/>
    <w:rsid w:val="00237FB6"/>
    <w:rsid w:val="0024041F"/>
    <w:rsid w:val="00240679"/>
    <w:rsid w:val="00240B7D"/>
    <w:rsid w:val="00241D39"/>
    <w:rsid w:val="002420A5"/>
    <w:rsid w:val="002422A5"/>
    <w:rsid w:val="002422CE"/>
    <w:rsid w:val="00242A2F"/>
    <w:rsid w:val="00242A81"/>
    <w:rsid w:val="00242E28"/>
    <w:rsid w:val="00243480"/>
    <w:rsid w:val="00243988"/>
    <w:rsid w:val="00243E10"/>
    <w:rsid w:val="0024463F"/>
    <w:rsid w:val="00244671"/>
    <w:rsid w:val="0024494F"/>
    <w:rsid w:val="0024523B"/>
    <w:rsid w:val="00245A8D"/>
    <w:rsid w:val="00245CEA"/>
    <w:rsid w:val="00245E89"/>
    <w:rsid w:val="0024604F"/>
    <w:rsid w:val="002461AF"/>
    <w:rsid w:val="0024653C"/>
    <w:rsid w:val="00246A72"/>
    <w:rsid w:val="0024726A"/>
    <w:rsid w:val="00247588"/>
    <w:rsid w:val="0024771A"/>
    <w:rsid w:val="00247CA9"/>
    <w:rsid w:val="00247FE9"/>
    <w:rsid w:val="002501DD"/>
    <w:rsid w:val="002504E2"/>
    <w:rsid w:val="00250B0A"/>
    <w:rsid w:val="0025138B"/>
    <w:rsid w:val="002514C3"/>
    <w:rsid w:val="0025152E"/>
    <w:rsid w:val="002517E2"/>
    <w:rsid w:val="002518FB"/>
    <w:rsid w:val="00252026"/>
    <w:rsid w:val="00252425"/>
    <w:rsid w:val="00252897"/>
    <w:rsid w:val="00252BF9"/>
    <w:rsid w:val="00253477"/>
    <w:rsid w:val="0025348F"/>
    <w:rsid w:val="0025363D"/>
    <w:rsid w:val="00253667"/>
    <w:rsid w:val="00253E21"/>
    <w:rsid w:val="00254462"/>
    <w:rsid w:val="00254528"/>
    <w:rsid w:val="00254617"/>
    <w:rsid w:val="00254769"/>
    <w:rsid w:val="0025479B"/>
    <w:rsid w:val="002547E2"/>
    <w:rsid w:val="00254AEF"/>
    <w:rsid w:val="002551E0"/>
    <w:rsid w:val="002552B2"/>
    <w:rsid w:val="00255777"/>
    <w:rsid w:val="00255853"/>
    <w:rsid w:val="002558AA"/>
    <w:rsid w:val="002561A4"/>
    <w:rsid w:val="002562FD"/>
    <w:rsid w:val="002567FA"/>
    <w:rsid w:val="00256890"/>
    <w:rsid w:val="00256CE3"/>
    <w:rsid w:val="00256DDE"/>
    <w:rsid w:val="002571FA"/>
    <w:rsid w:val="00257563"/>
    <w:rsid w:val="00257604"/>
    <w:rsid w:val="00257FE6"/>
    <w:rsid w:val="00260380"/>
    <w:rsid w:val="00260916"/>
    <w:rsid w:val="00260C50"/>
    <w:rsid w:val="00260E69"/>
    <w:rsid w:val="00261211"/>
    <w:rsid w:val="002614C9"/>
    <w:rsid w:val="00261762"/>
    <w:rsid w:val="00261AE6"/>
    <w:rsid w:val="00261C3A"/>
    <w:rsid w:val="00261D10"/>
    <w:rsid w:val="00261E49"/>
    <w:rsid w:val="00262368"/>
    <w:rsid w:val="002624D0"/>
    <w:rsid w:val="0026264E"/>
    <w:rsid w:val="00262CF7"/>
    <w:rsid w:val="00262D3F"/>
    <w:rsid w:val="00262E44"/>
    <w:rsid w:val="00262E76"/>
    <w:rsid w:val="00263102"/>
    <w:rsid w:val="00263513"/>
    <w:rsid w:val="00263606"/>
    <w:rsid w:val="002639A3"/>
    <w:rsid w:val="00263A39"/>
    <w:rsid w:val="00263FA3"/>
    <w:rsid w:val="002641CB"/>
    <w:rsid w:val="00264271"/>
    <w:rsid w:val="0026430D"/>
    <w:rsid w:val="002643DF"/>
    <w:rsid w:val="0026454C"/>
    <w:rsid w:val="002645BE"/>
    <w:rsid w:val="00264860"/>
    <w:rsid w:val="00264D6D"/>
    <w:rsid w:val="00264DE2"/>
    <w:rsid w:val="00265184"/>
    <w:rsid w:val="002651AC"/>
    <w:rsid w:val="002652DE"/>
    <w:rsid w:val="00265604"/>
    <w:rsid w:val="002659AC"/>
    <w:rsid w:val="00265A61"/>
    <w:rsid w:val="00265ADC"/>
    <w:rsid w:val="00265CD1"/>
    <w:rsid w:val="0026654A"/>
    <w:rsid w:val="002670B7"/>
    <w:rsid w:val="002671B4"/>
    <w:rsid w:val="002675C0"/>
    <w:rsid w:val="002677A6"/>
    <w:rsid w:val="002677C4"/>
    <w:rsid w:val="00267A2D"/>
    <w:rsid w:val="00267D83"/>
    <w:rsid w:val="00270176"/>
    <w:rsid w:val="002704F8"/>
    <w:rsid w:val="00271176"/>
    <w:rsid w:val="0027124C"/>
    <w:rsid w:val="002717B2"/>
    <w:rsid w:val="00271A44"/>
    <w:rsid w:val="00271CD7"/>
    <w:rsid w:val="00271E4D"/>
    <w:rsid w:val="00271EA2"/>
    <w:rsid w:val="00271F25"/>
    <w:rsid w:val="00272066"/>
    <w:rsid w:val="00272A00"/>
    <w:rsid w:val="00272FBF"/>
    <w:rsid w:val="00272FEF"/>
    <w:rsid w:val="00273152"/>
    <w:rsid w:val="00273457"/>
    <w:rsid w:val="0027372B"/>
    <w:rsid w:val="00273E52"/>
    <w:rsid w:val="00274375"/>
    <w:rsid w:val="00274892"/>
    <w:rsid w:val="00274924"/>
    <w:rsid w:val="00274D4B"/>
    <w:rsid w:val="0027613F"/>
    <w:rsid w:val="0027638C"/>
    <w:rsid w:val="00276438"/>
    <w:rsid w:val="002768F5"/>
    <w:rsid w:val="00276935"/>
    <w:rsid w:val="00276B28"/>
    <w:rsid w:val="00276B72"/>
    <w:rsid w:val="00276EC5"/>
    <w:rsid w:val="00276F01"/>
    <w:rsid w:val="00277588"/>
    <w:rsid w:val="0027769F"/>
    <w:rsid w:val="002777A6"/>
    <w:rsid w:val="00277A63"/>
    <w:rsid w:val="0028084F"/>
    <w:rsid w:val="00280FDD"/>
    <w:rsid w:val="00281063"/>
    <w:rsid w:val="00281346"/>
    <w:rsid w:val="002816BB"/>
    <w:rsid w:val="002818CD"/>
    <w:rsid w:val="00282262"/>
    <w:rsid w:val="0028241B"/>
    <w:rsid w:val="0028242D"/>
    <w:rsid w:val="00282733"/>
    <w:rsid w:val="00282FD6"/>
    <w:rsid w:val="0028324D"/>
    <w:rsid w:val="0028335E"/>
    <w:rsid w:val="002833C9"/>
    <w:rsid w:val="0028354C"/>
    <w:rsid w:val="00283564"/>
    <w:rsid w:val="002839FD"/>
    <w:rsid w:val="00284342"/>
    <w:rsid w:val="002843C6"/>
    <w:rsid w:val="0028461B"/>
    <w:rsid w:val="00284AA0"/>
    <w:rsid w:val="00284D00"/>
    <w:rsid w:val="00284ECE"/>
    <w:rsid w:val="002856C6"/>
    <w:rsid w:val="0028599F"/>
    <w:rsid w:val="00286AD4"/>
    <w:rsid w:val="00286F86"/>
    <w:rsid w:val="002871EB"/>
    <w:rsid w:val="002872C5"/>
    <w:rsid w:val="00287BD5"/>
    <w:rsid w:val="00287C2D"/>
    <w:rsid w:val="00287D37"/>
    <w:rsid w:val="00287DE0"/>
    <w:rsid w:val="002900F7"/>
    <w:rsid w:val="0029038B"/>
    <w:rsid w:val="00290629"/>
    <w:rsid w:val="00290722"/>
    <w:rsid w:val="00290A97"/>
    <w:rsid w:val="00290AEC"/>
    <w:rsid w:val="00290BE6"/>
    <w:rsid w:val="00290D7F"/>
    <w:rsid w:val="002910E7"/>
    <w:rsid w:val="002916E2"/>
    <w:rsid w:val="00291712"/>
    <w:rsid w:val="00291725"/>
    <w:rsid w:val="0029174C"/>
    <w:rsid w:val="0029183C"/>
    <w:rsid w:val="00292245"/>
    <w:rsid w:val="00292334"/>
    <w:rsid w:val="002923A2"/>
    <w:rsid w:val="002924E2"/>
    <w:rsid w:val="00292C86"/>
    <w:rsid w:val="00292D6F"/>
    <w:rsid w:val="00293AA7"/>
    <w:rsid w:val="00293AAD"/>
    <w:rsid w:val="00293D1C"/>
    <w:rsid w:val="00293D64"/>
    <w:rsid w:val="00293E2E"/>
    <w:rsid w:val="00294025"/>
    <w:rsid w:val="0029434F"/>
    <w:rsid w:val="002949EF"/>
    <w:rsid w:val="0029503E"/>
    <w:rsid w:val="00295269"/>
    <w:rsid w:val="002954AE"/>
    <w:rsid w:val="00295AD7"/>
    <w:rsid w:val="00295B35"/>
    <w:rsid w:val="00295DBB"/>
    <w:rsid w:val="00295EC9"/>
    <w:rsid w:val="00295F50"/>
    <w:rsid w:val="00296499"/>
    <w:rsid w:val="00296549"/>
    <w:rsid w:val="00296701"/>
    <w:rsid w:val="0029673A"/>
    <w:rsid w:val="00296CFA"/>
    <w:rsid w:val="00296D6E"/>
    <w:rsid w:val="00296EFF"/>
    <w:rsid w:val="002972E8"/>
    <w:rsid w:val="00297506"/>
    <w:rsid w:val="00297626"/>
    <w:rsid w:val="00297E5E"/>
    <w:rsid w:val="002A03CE"/>
    <w:rsid w:val="002A0DE0"/>
    <w:rsid w:val="002A10FF"/>
    <w:rsid w:val="002A133D"/>
    <w:rsid w:val="002A15AB"/>
    <w:rsid w:val="002A1797"/>
    <w:rsid w:val="002A1CA0"/>
    <w:rsid w:val="002A21F9"/>
    <w:rsid w:val="002A24A1"/>
    <w:rsid w:val="002A27FF"/>
    <w:rsid w:val="002A2984"/>
    <w:rsid w:val="002A2A49"/>
    <w:rsid w:val="002A2A5A"/>
    <w:rsid w:val="002A2B29"/>
    <w:rsid w:val="002A2F74"/>
    <w:rsid w:val="002A32A7"/>
    <w:rsid w:val="002A353F"/>
    <w:rsid w:val="002A38CC"/>
    <w:rsid w:val="002A42F3"/>
    <w:rsid w:val="002A4429"/>
    <w:rsid w:val="002A490D"/>
    <w:rsid w:val="002A4DD0"/>
    <w:rsid w:val="002A4DE2"/>
    <w:rsid w:val="002A550D"/>
    <w:rsid w:val="002A55AA"/>
    <w:rsid w:val="002A5A07"/>
    <w:rsid w:val="002A5C46"/>
    <w:rsid w:val="002A5CCB"/>
    <w:rsid w:val="002A5D79"/>
    <w:rsid w:val="002A60B9"/>
    <w:rsid w:val="002A631E"/>
    <w:rsid w:val="002A63A7"/>
    <w:rsid w:val="002A685B"/>
    <w:rsid w:val="002A68B1"/>
    <w:rsid w:val="002A6E96"/>
    <w:rsid w:val="002A6F1D"/>
    <w:rsid w:val="002A723B"/>
    <w:rsid w:val="002A74A0"/>
    <w:rsid w:val="002A77F1"/>
    <w:rsid w:val="002A7A26"/>
    <w:rsid w:val="002A7B7E"/>
    <w:rsid w:val="002A7CD3"/>
    <w:rsid w:val="002B008E"/>
    <w:rsid w:val="002B0136"/>
    <w:rsid w:val="002B03BA"/>
    <w:rsid w:val="002B03D6"/>
    <w:rsid w:val="002B042E"/>
    <w:rsid w:val="002B045E"/>
    <w:rsid w:val="002B089A"/>
    <w:rsid w:val="002B154B"/>
    <w:rsid w:val="002B19C4"/>
    <w:rsid w:val="002B1C75"/>
    <w:rsid w:val="002B1F16"/>
    <w:rsid w:val="002B22F9"/>
    <w:rsid w:val="002B26C0"/>
    <w:rsid w:val="002B2B7A"/>
    <w:rsid w:val="002B30AF"/>
    <w:rsid w:val="002B3594"/>
    <w:rsid w:val="002B367F"/>
    <w:rsid w:val="002B39B6"/>
    <w:rsid w:val="002B3AA7"/>
    <w:rsid w:val="002B3CBB"/>
    <w:rsid w:val="002B4265"/>
    <w:rsid w:val="002B43A6"/>
    <w:rsid w:val="002B43AA"/>
    <w:rsid w:val="002B4BF9"/>
    <w:rsid w:val="002B4CBE"/>
    <w:rsid w:val="002B4CDC"/>
    <w:rsid w:val="002B509F"/>
    <w:rsid w:val="002B51C7"/>
    <w:rsid w:val="002B528A"/>
    <w:rsid w:val="002B59C2"/>
    <w:rsid w:val="002B5AC9"/>
    <w:rsid w:val="002B5D1E"/>
    <w:rsid w:val="002B603F"/>
    <w:rsid w:val="002B68DE"/>
    <w:rsid w:val="002B69B1"/>
    <w:rsid w:val="002B6B1A"/>
    <w:rsid w:val="002B71CE"/>
    <w:rsid w:val="002B7ABE"/>
    <w:rsid w:val="002B7ACA"/>
    <w:rsid w:val="002B7FC2"/>
    <w:rsid w:val="002C02DE"/>
    <w:rsid w:val="002C03C2"/>
    <w:rsid w:val="002C08D0"/>
    <w:rsid w:val="002C0D3D"/>
    <w:rsid w:val="002C1AF2"/>
    <w:rsid w:val="002C1D86"/>
    <w:rsid w:val="002C1E79"/>
    <w:rsid w:val="002C1FBD"/>
    <w:rsid w:val="002C20E9"/>
    <w:rsid w:val="002C247E"/>
    <w:rsid w:val="002C290D"/>
    <w:rsid w:val="002C299D"/>
    <w:rsid w:val="002C2C97"/>
    <w:rsid w:val="002C2CFC"/>
    <w:rsid w:val="002C2E0D"/>
    <w:rsid w:val="002C3318"/>
    <w:rsid w:val="002C349C"/>
    <w:rsid w:val="002C357C"/>
    <w:rsid w:val="002C362E"/>
    <w:rsid w:val="002C3A99"/>
    <w:rsid w:val="002C3DA2"/>
    <w:rsid w:val="002C3F8C"/>
    <w:rsid w:val="002C4009"/>
    <w:rsid w:val="002C4028"/>
    <w:rsid w:val="002C4B62"/>
    <w:rsid w:val="002C4EB0"/>
    <w:rsid w:val="002C5F52"/>
    <w:rsid w:val="002C63D3"/>
    <w:rsid w:val="002C6450"/>
    <w:rsid w:val="002C64D7"/>
    <w:rsid w:val="002C65A5"/>
    <w:rsid w:val="002C6F75"/>
    <w:rsid w:val="002C71A4"/>
    <w:rsid w:val="002C7AA5"/>
    <w:rsid w:val="002C7DC6"/>
    <w:rsid w:val="002D066D"/>
    <w:rsid w:val="002D093E"/>
    <w:rsid w:val="002D0D2C"/>
    <w:rsid w:val="002D0D6C"/>
    <w:rsid w:val="002D0F1B"/>
    <w:rsid w:val="002D0FAF"/>
    <w:rsid w:val="002D194C"/>
    <w:rsid w:val="002D20B3"/>
    <w:rsid w:val="002D2161"/>
    <w:rsid w:val="002D246B"/>
    <w:rsid w:val="002D30C2"/>
    <w:rsid w:val="002D30F4"/>
    <w:rsid w:val="002D36FA"/>
    <w:rsid w:val="002D3AE5"/>
    <w:rsid w:val="002D3BC4"/>
    <w:rsid w:val="002D3CB3"/>
    <w:rsid w:val="002D539F"/>
    <w:rsid w:val="002D58A7"/>
    <w:rsid w:val="002D59D6"/>
    <w:rsid w:val="002D5A0F"/>
    <w:rsid w:val="002D61CF"/>
    <w:rsid w:val="002D6237"/>
    <w:rsid w:val="002D62F6"/>
    <w:rsid w:val="002D636B"/>
    <w:rsid w:val="002D6455"/>
    <w:rsid w:val="002D65FD"/>
    <w:rsid w:val="002D6672"/>
    <w:rsid w:val="002D673D"/>
    <w:rsid w:val="002D693C"/>
    <w:rsid w:val="002D6FF7"/>
    <w:rsid w:val="002D71B3"/>
    <w:rsid w:val="002D7926"/>
    <w:rsid w:val="002D793F"/>
    <w:rsid w:val="002D7980"/>
    <w:rsid w:val="002D7E90"/>
    <w:rsid w:val="002D7FBF"/>
    <w:rsid w:val="002D7FE3"/>
    <w:rsid w:val="002E03F3"/>
    <w:rsid w:val="002E088A"/>
    <w:rsid w:val="002E0BD6"/>
    <w:rsid w:val="002E0F33"/>
    <w:rsid w:val="002E137C"/>
    <w:rsid w:val="002E152F"/>
    <w:rsid w:val="002E18BE"/>
    <w:rsid w:val="002E192B"/>
    <w:rsid w:val="002E1D79"/>
    <w:rsid w:val="002E2432"/>
    <w:rsid w:val="002E2499"/>
    <w:rsid w:val="002E2989"/>
    <w:rsid w:val="002E2F7A"/>
    <w:rsid w:val="002E36CB"/>
    <w:rsid w:val="002E39F4"/>
    <w:rsid w:val="002E3AB9"/>
    <w:rsid w:val="002E3BAF"/>
    <w:rsid w:val="002E3E8A"/>
    <w:rsid w:val="002E3FAE"/>
    <w:rsid w:val="002E464F"/>
    <w:rsid w:val="002E4723"/>
    <w:rsid w:val="002E4883"/>
    <w:rsid w:val="002E5012"/>
    <w:rsid w:val="002E5432"/>
    <w:rsid w:val="002E5485"/>
    <w:rsid w:val="002E5657"/>
    <w:rsid w:val="002E579B"/>
    <w:rsid w:val="002E57D0"/>
    <w:rsid w:val="002E582B"/>
    <w:rsid w:val="002E5BEF"/>
    <w:rsid w:val="002E5CBE"/>
    <w:rsid w:val="002E60D8"/>
    <w:rsid w:val="002E630D"/>
    <w:rsid w:val="002E6B74"/>
    <w:rsid w:val="002E6F02"/>
    <w:rsid w:val="002E6FF8"/>
    <w:rsid w:val="002E706B"/>
    <w:rsid w:val="002E76C1"/>
    <w:rsid w:val="002E7701"/>
    <w:rsid w:val="002E784F"/>
    <w:rsid w:val="002E7BFA"/>
    <w:rsid w:val="002E7EA9"/>
    <w:rsid w:val="002F0067"/>
    <w:rsid w:val="002F0148"/>
    <w:rsid w:val="002F03CA"/>
    <w:rsid w:val="002F0435"/>
    <w:rsid w:val="002F066F"/>
    <w:rsid w:val="002F0706"/>
    <w:rsid w:val="002F084D"/>
    <w:rsid w:val="002F0C8A"/>
    <w:rsid w:val="002F0F12"/>
    <w:rsid w:val="002F11DD"/>
    <w:rsid w:val="002F1382"/>
    <w:rsid w:val="002F1988"/>
    <w:rsid w:val="002F1EB2"/>
    <w:rsid w:val="002F1EEC"/>
    <w:rsid w:val="002F290E"/>
    <w:rsid w:val="002F2B78"/>
    <w:rsid w:val="002F2D1A"/>
    <w:rsid w:val="002F2D4A"/>
    <w:rsid w:val="002F2FCE"/>
    <w:rsid w:val="002F313D"/>
    <w:rsid w:val="002F361D"/>
    <w:rsid w:val="002F432E"/>
    <w:rsid w:val="002F46E3"/>
    <w:rsid w:val="002F47C3"/>
    <w:rsid w:val="002F4DBF"/>
    <w:rsid w:val="002F5004"/>
    <w:rsid w:val="002F5042"/>
    <w:rsid w:val="002F563A"/>
    <w:rsid w:val="002F5CE0"/>
    <w:rsid w:val="002F5D77"/>
    <w:rsid w:val="002F690B"/>
    <w:rsid w:val="002F6B91"/>
    <w:rsid w:val="002F70C9"/>
    <w:rsid w:val="002F7251"/>
    <w:rsid w:val="002F7665"/>
    <w:rsid w:val="002F7861"/>
    <w:rsid w:val="002F7910"/>
    <w:rsid w:val="002F7C5B"/>
    <w:rsid w:val="002F7EDA"/>
    <w:rsid w:val="0030025A"/>
    <w:rsid w:val="00300A0D"/>
    <w:rsid w:val="00300B0D"/>
    <w:rsid w:val="00300DFF"/>
    <w:rsid w:val="00301158"/>
    <w:rsid w:val="00301A3E"/>
    <w:rsid w:val="00301A3F"/>
    <w:rsid w:val="00301CA6"/>
    <w:rsid w:val="00301E6F"/>
    <w:rsid w:val="003021AC"/>
    <w:rsid w:val="00302566"/>
    <w:rsid w:val="00302F74"/>
    <w:rsid w:val="00303004"/>
    <w:rsid w:val="0030300A"/>
    <w:rsid w:val="00303237"/>
    <w:rsid w:val="00303E98"/>
    <w:rsid w:val="00303F01"/>
    <w:rsid w:val="003040D6"/>
    <w:rsid w:val="0030422E"/>
    <w:rsid w:val="00304265"/>
    <w:rsid w:val="0030433E"/>
    <w:rsid w:val="00304534"/>
    <w:rsid w:val="00305224"/>
    <w:rsid w:val="003052E0"/>
    <w:rsid w:val="00305376"/>
    <w:rsid w:val="00305402"/>
    <w:rsid w:val="0030543F"/>
    <w:rsid w:val="003055B7"/>
    <w:rsid w:val="0030564D"/>
    <w:rsid w:val="00305803"/>
    <w:rsid w:val="003059BA"/>
    <w:rsid w:val="00305B45"/>
    <w:rsid w:val="00305D86"/>
    <w:rsid w:val="00306021"/>
    <w:rsid w:val="00306535"/>
    <w:rsid w:val="0030684A"/>
    <w:rsid w:val="0030689D"/>
    <w:rsid w:val="0030692F"/>
    <w:rsid w:val="00306F69"/>
    <w:rsid w:val="00307014"/>
    <w:rsid w:val="00307248"/>
    <w:rsid w:val="00307414"/>
    <w:rsid w:val="003075CB"/>
    <w:rsid w:val="003078B4"/>
    <w:rsid w:val="00307D9C"/>
    <w:rsid w:val="00307FB9"/>
    <w:rsid w:val="00310188"/>
    <w:rsid w:val="00310195"/>
    <w:rsid w:val="00310502"/>
    <w:rsid w:val="0031099F"/>
    <w:rsid w:val="0031119D"/>
    <w:rsid w:val="0031121A"/>
    <w:rsid w:val="003112EA"/>
    <w:rsid w:val="00311305"/>
    <w:rsid w:val="00311448"/>
    <w:rsid w:val="00311582"/>
    <w:rsid w:val="0031176B"/>
    <w:rsid w:val="00311E1F"/>
    <w:rsid w:val="00311F47"/>
    <w:rsid w:val="003121E8"/>
    <w:rsid w:val="00312814"/>
    <w:rsid w:val="00312893"/>
    <w:rsid w:val="003128DE"/>
    <w:rsid w:val="00312A84"/>
    <w:rsid w:val="00312C5E"/>
    <w:rsid w:val="003133F6"/>
    <w:rsid w:val="003138E5"/>
    <w:rsid w:val="00313BCC"/>
    <w:rsid w:val="00313D6A"/>
    <w:rsid w:val="003142A5"/>
    <w:rsid w:val="00314384"/>
    <w:rsid w:val="003143EE"/>
    <w:rsid w:val="003147F3"/>
    <w:rsid w:val="003148CF"/>
    <w:rsid w:val="00314A65"/>
    <w:rsid w:val="00314B54"/>
    <w:rsid w:val="00314CBE"/>
    <w:rsid w:val="0031507D"/>
    <w:rsid w:val="003150C7"/>
    <w:rsid w:val="003152B5"/>
    <w:rsid w:val="003152CD"/>
    <w:rsid w:val="00315757"/>
    <w:rsid w:val="00315BF9"/>
    <w:rsid w:val="00315CE3"/>
    <w:rsid w:val="00315ED7"/>
    <w:rsid w:val="003160EB"/>
    <w:rsid w:val="003161EC"/>
    <w:rsid w:val="00316285"/>
    <w:rsid w:val="003162A8"/>
    <w:rsid w:val="0031667A"/>
    <w:rsid w:val="0031685B"/>
    <w:rsid w:val="003170A6"/>
    <w:rsid w:val="00317295"/>
    <w:rsid w:val="0031785E"/>
    <w:rsid w:val="003200F8"/>
    <w:rsid w:val="003204FF"/>
    <w:rsid w:val="00320AFE"/>
    <w:rsid w:val="00320BC0"/>
    <w:rsid w:val="00320CDE"/>
    <w:rsid w:val="00320D97"/>
    <w:rsid w:val="00321318"/>
    <w:rsid w:val="0032138B"/>
    <w:rsid w:val="00321563"/>
    <w:rsid w:val="00321850"/>
    <w:rsid w:val="0032196E"/>
    <w:rsid w:val="00321A24"/>
    <w:rsid w:val="0032253A"/>
    <w:rsid w:val="00322893"/>
    <w:rsid w:val="00322F86"/>
    <w:rsid w:val="0032318B"/>
    <w:rsid w:val="003233A2"/>
    <w:rsid w:val="0032352D"/>
    <w:rsid w:val="00323A3B"/>
    <w:rsid w:val="00323B7E"/>
    <w:rsid w:val="00323C5B"/>
    <w:rsid w:val="00323E4D"/>
    <w:rsid w:val="0032402D"/>
    <w:rsid w:val="00324628"/>
    <w:rsid w:val="00324699"/>
    <w:rsid w:val="003248D6"/>
    <w:rsid w:val="003250F9"/>
    <w:rsid w:val="00325295"/>
    <w:rsid w:val="00325931"/>
    <w:rsid w:val="00325A55"/>
    <w:rsid w:val="003261BE"/>
    <w:rsid w:val="0032645A"/>
    <w:rsid w:val="00326642"/>
    <w:rsid w:val="0032673A"/>
    <w:rsid w:val="00326C62"/>
    <w:rsid w:val="003270B2"/>
    <w:rsid w:val="0032722B"/>
    <w:rsid w:val="0032724C"/>
    <w:rsid w:val="00327EFD"/>
    <w:rsid w:val="00327F1D"/>
    <w:rsid w:val="003303F2"/>
    <w:rsid w:val="003304E9"/>
    <w:rsid w:val="00330A2D"/>
    <w:rsid w:val="00330BB0"/>
    <w:rsid w:val="00331114"/>
    <w:rsid w:val="00331221"/>
    <w:rsid w:val="00331423"/>
    <w:rsid w:val="00331F8B"/>
    <w:rsid w:val="003327E1"/>
    <w:rsid w:val="00332859"/>
    <w:rsid w:val="00333817"/>
    <w:rsid w:val="00333984"/>
    <w:rsid w:val="00333DCF"/>
    <w:rsid w:val="00333DE0"/>
    <w:rsid w:val="00333F98"/>
    <w:rsid w:val="00334126"/>
    <w:rsid w:val="003341FB"/>
    <w:rsid w:val="00334250"/>
    <w:rsid w:val="00334584"/>
    <w:rsid w:val="003346A6"/>
    <w:rsid w:val="00334E20"/>
    <w:rsid w:val="00335135"/>
    <w:rsid w:val="003353A1"/>
    <w:rsid w:val="0033544E"/>
    <w:rsid w:val="003355D9"/>
    <w:rsid w:val="003357DF"/>
    <w:rsid w:val="00335835"/>
    <w:rsid w:val="003358D0"/>
    <w:rsid w:val="00335A7E"/>
    <w:rsid w:val="0033603D"/>
    <w:rsid w:val="003361B4"/>
    <w:rsid w:val="00336229"/>
    <w:rsid w:val="00336E91"/>
    <w:rsid w:val="003377E9"/>
    <w:rsid w:val="00340226"/>
    <w:rsid w:val="003402DC"/>
    <w:rsid w:val="003403B4"/>
    <w:rsid w:val="00340448"/>
    <w:rsid w:val="00340A13"/>
    <w:rsid w:val="00340A83"/>
    <w:rsid w:val="00340D5F"/>
    <w:rsid w:val="00340D9E"/>
    <w:rsid w:val="00340E56"/>
    <w:rsid w:val="0034129C"/>
    <w:rsid w:val="003417BA"/>
    <w:rsid w:val="003426A8"/>
    <w:rsid w:val="00342FC4"/>
    <w:rsid w:val="00343487"/>
    <w:rsid w:val="0034369C"/>
    <w:rsid w:val="00343728"/>
    <w:rsid w:val="00343A5E"/>
    <w:rsid w:val="00343C11"/>
    <w:rsid w:val="00343D91"/>
    <w:rsid w:val="00343F60"/>
    <w:rsid w:val="003443A8"/>
    <w:rsid w:val="00344896"/>
    <w:rsid w:val="00344C99"/>
    <w:rsid w:val="00344D79"/>
    <w:rsid w:val="00344EC2"/>
    <w:rsid w:val="00345218"/>
    <w:rsid w:val="0034528D"/>
    <w:rsid w:val="003455BE"/>
    <w:rsid w:val="0034582D"/>
    <w:rsid w:val="00345AC5"/>
    <w:rsid w:val="00345E94"/>
    <w:rsid w:val="003465CB"/>
    <w:rsid w:val="00346930"/>
    <w:rsid w:val="00346B45"/>
    <w:rsid w:val="00346BD5"/>
    <w:rsid w:val="00346C09"/>
    <w:rsid w:val="00346DFE"/>
    <w:rsid w:val="00346FB8"/>
    <w:rsid w:val="003471FC"/>
    <w:rsid w:val="003473F4"/>
    <w:rsid w:val="0034798A"/>
    <w:rsid w:val="00347AD4"/>
    <w:rsid w:val="0035015C"/>
    <w:rsid w:val="00350AC0"/>
    <w:rsid w:val="00351588"/>
    <w:rsid w:val="003517A8"/>
    <w:rsid w:val="0035192E"/>
    <w:rsid w:val="00351C43"/>
    <w:rsid w:val="00351D7F"/>
    <w:rsid w:val="00352097"/>
    <w:rsid w:val="00352799"/>
    <w:rsid w:val="0035298C"/>
    <w:rsid w:val="00352C11"/>
    <w:rsid w:val="00352F24"/>
    <w:rsid w:val="0035317B"/>
    <w:rsid w:val="003536CC"/>
    <w:rsid w:val="00353C1A"/>
    <w:rsid w:val="00353E19"/>
    <w:rsid w:val="00354533"/>
    <w:rsid w:val="00354B06"/>
    <w:rsid w:val="00354BC0"/>
    <w:rsid w:val="00354BCE"/>
    <w:rsid w:val="00354C29"/>
    <w:rsid w:val="00354F68"/>
    <w:rsid w:val="0035503A"/>
    <w:rsid w:val="0035516D"/>
    <w:rsid w:val="003553B6"/>
    <w:rsid w:val="0035554D"/>
    <w:rsid w:val="00355588"/>
    <w:rsid w:val="00356098"/>
    <w:rsid w:val="003562EB"/>
    <w:rsid w:val="0035652F"/>
    <w:rsid w:val="003566CB"/>
    <w:rsid w:val="0035672E"/>
    <w:rsid w:val="0035684D"/>
    <w:rsid w:val="00356BF8"/>
    <w:rsid w:val="00356E61"/>
    <w:rsid w:val="00356E8E"/>
    <w:rsid w:val="00357B26"/>
    <w:rsid w:val="00360020"/>
    <w:rsid w:val="00360142"/>
    <w:rsid w:val="003604C8"/>
    <w:rsid w:val="003604DF"/>
    <w:rsid w:val="003606A3"/>
    <w:rsid w:val="003607CC"/>
    <w:rsid w:val="003609D7"/>
    <w:rsid w:val="00360A67"/>
    <w:rsid w:val="00360AC7"/>
    <w:rsid w:val="00360B01"/>
    <w:rsid w:val="00360E8C"/>
    <w:rsid w:val="00361236"/>
    <w:rsid w:val="003612AF"/>
    <w:rsid w:val="00361397"/>
    <w:rsid w:val="00361578"/>
    <w:rsid w:val="003616D9"/>
    <w:rsid w:val="00361A03"/>
    <w:rsid w:val="00361CD1"/>
    <w:rsid w:val="00361D3B"/>
    <w:rsid w:val="00361EF4"/>
    <w:rsid w:val="003621F6"/>
    <w:rsid w:val="00362734"/>
    <w:rsid w:val="00362C9B"/>
    <w:rsid w:val="00362D1D"/>
    <w:rsid w:val="00362D9F"/>
    <w:rsid w:val="00363217"/>
    <w:rsid w:val="00363280"/>
    <w:rsid w:val="00363481"/>
    <w:rsid w:val="00363781"/>
    <w:rsid w:val="00363ADD"/>
    <w:rsid w:val="00364351"/>
    <w:rsid w:val="00364388"/>
    <w:rsid w:val="00364726"/>
    <w:rsid w:val="00364B5B"/>
    <w:rsid w:val="00364C72"/>
    <w:rsid w:val="00364D61"/>
    <w:rsid w:val="00364EEA"/>
    <w:rsid w:val="00365398"/>
    <w:rsid w:val="00365D04"/>
    <w:rsid w:val="00365D29"/>
    <w:rsid w:val="00366022"/>
    <w:rsid w:val="003662EE"/>
    <w:rsid w:val="00366536"/>
    <w:rsid w:val="00366AD9"/>
    <w:rsid w:val="00366B74"/>
    <w:rsid w:val="00366EB4"/>
    <w:rsid w:val="00367201"/>
    <w:rsid w:val="00367306"/>
    <w:rsid w:val="003678F9"/>
    <w:rsid w:val="00370322"/>
    <w:rsid w:val="00370455"/>
    <w:rsid w:val="003704F9"/>
    <w:rsid w:val="00370ABE"/>
    <w:rsid w:val="00370C52"/>
    <w:rsid w:val="00370C6B"/>
    <w:rsid w:val="0037126B"/>
    <w:rsid w:val="003715ED"/>
    <w:rsid w:val="0037162A"/>
    <w:rsid w:val="003719AD"/>
    <w:rsid w:val="00371A95"/>
    <w:rsid w:val="0037231E"/>
    <w:rsid w:val="0037259B"/>
    <w:rsid w:val="00372D34"/>
    <w:rsid w:val="00374159"/>
    <w:rsid w:val="003742ED"/>
    <w:rsid w:val="003751D9"/>
    <w:rsid w:val="00375DD7"/>
    <w:rsid w:val="00376348"/>
    <w:rsid w:val="0037648D"/>
    <w:rsid w:val="0037688D"/>
    <w:rsid w:val="00376BC7"/>
    <w:rsid w:val="0037720A"/>
    <w:rsid w:val="0037726C"/>
    <w:rsid w:val="003776A8"/>
    <w:rsid w:val="003778E6"/>
    <w:rsid w:val="00377B3D"/>
    <w:rsid w:val="00377C3F"/>
    <w:rsid w:val="00377D4F"/>
    <w:rsid w:val="00377D63"/>
    <w:rsid w:val="003800A7"/>
    <w:rsid w:val="0038013E"/>
    <w:rsid w:val="003803DF"/>
    <w:rsid w:val="00380CAD"/>
    <w:rsid w:val="003817D7"/>
    <w:rsid w:val="00381A55"/>
    <w:rsid w:val="00381B04"/>
    <w:rsid w:val="00381E4D"/>
    <w:rsid w:val="00382068"/>
    <w:rsid w:val="00382382"/>
    <w:rsid w:val="00382620"/>
    <w:rsid w:val="0038281C"/>
    <w:rsid w:val="0038288C"/>
    <w:rsid w:val="003829AD"/>
    <w:rsid w:val="00382D62"/>
    <w:rsid w:val="00382DD0"/>
    <w:rsid w:val="00383071"/>
    <w:rsid w:val="00383A30"/>
    <w:rsid w:val="00383CBD"/>
    <w:rsid w:val="00383E3F"/>
    <w:rsid w:val="0038400D"/>
    <w:rsid w:val="0038408E"/>
    <w:rsid w:val="00384113"/>
    <w:rsid w:val="00384581"/>
    <w:rsid w:val="003845B3"/>
    <w:rsid w:val="00384FB5"/>
    <w:rsid w:val="00384FFC"/>
    <w:rsid w:val="003851E6"/>
    <w:rsid w:val="00385DFC"/>
    <w:rsid w:val="00386061"/>
    <w:rsid w:val="00386100"/>
    <w:rsid w:val="0038639D"/>
    <w:rsid w:val="00386600"/>
    <w:rsid w:val="003868D0"/>
    <w:rsid w:val="003868E4"/>
    <w:rsid w:val="00386D5C"/>
    <w:rsid w:val="00387F8F"/>
    <w:rsid w:val="00387FD8"/>
    <w:rsid w:val="00390380"/>
    <w:rsid w:val="00390385"/>
    <w:rsid w:val="0039058F"/>
    <w:rsid w:val="003905BB"/>
    <w:rsid w:val="003906B9"/>
    <w:rsid w:val="003908D1"/>
    <w:rsid w:val="00390940"/>
    <w:rsid w:val="00390B2D"/>
    <w:rsid w:val="00390E50"/>
    <w:rsid w:val="00390E80"/>
    <w:rsid w:val="00390F6C"/>
    <w:rsid w:val="00391482"/>
    <w:rsid w:val="00391CE4"/>
    <w:rsid w:val="003921B9"/>
    <w:rsid w:val="003921E3"/>
    <w:rsid w:val="003925BC"/>
    <w:rsid w:val="0039294D"/>
    <w:rsid w:val="00392F6A"/>
    <w:rsid w:val="00392F9E"/>
    <w:rsid w:val="003932FD"/>
    <w:rsid w:val="003936AB"/>
    <w:rsid w:val="003941C4"/>
    <w:rsid w:val="00394983"/>
    <w:rsid w:val="00395470"/>
    <w:rsid w:val="0039565C"/>
    <w:rsid w:val="003957D5"/>
    <w:rsid w:val="00395822"/>
    <w:rsid w:val="00395F0B"/>
    <w:rsid w:val="00395F8B"/>
    <w:rsid w:val="00396033"/>
    <w:rsid w:val="00396394"/>
    <w:rsid w:val="003965BE"/>
    <w:rsid w:val="0039707A"/>
    <w:rsid w:val="00397147"/>
    <w:rsid w:val="003971BE"/>
    <w:rsid w:val="00397448"/>
    <w:rsid w:val="003974E8"/>
    <w:rsid w:val="003977BC"/>
    <w:rsid w:val="0039799A"/>
    <w:rsid w:val="00397C7B"/>
    <w:rsid w:val="00397D6F"/>
    <w:rsid w:val="00397D80"/>
    <w:rsid w:val="003A018F"/>
    <w:rsid w:val="003A0252"/>
    <w:rsid w:val="003A02CA"/>
    <w:rsid w:val="003A035B"/>
    <w:rsid w:val="003A071C"/>
    <w:rsid w:val="003A0907"/>
    <w:rsid w:val="003A1262"/>
    <w:rsid w:val="003A15F0"/>
    <w:rsid w:val="003A1C6D"/>
    <w:rsid w:val="003A1E04"/>
    <w:rsid w:val="003A1E27"/>
    <w:rsid w:val="003A232F"/>
    <w:rsid w:val="003A2686"/>
    <w:rsid w:val="003A2696"/>
    <w:rsid w:val="003A2B5B"/>
    <w:rsid w:val="003A2BB7"/>
    <w:rsid w:val="003A2EAD"/>
    <w:rsid w:val="003A3258"/>
    <w:rsid w:val="003A3EE9"/>
    <w:rsid w:val="003A42F6"/>
    <w:rsid w:val="003A4604"/>
    <w:rsid w:val="003A4648"/>
    <w:rsid w:val="003A4939"/>
    <w:rsid w:val="003A4FB6"/>
    <w:rsid w:val="003A5572"/>
    <w:rsid w:val="003A5C04"/>
    <w:rsid w:val="003A6068"/>
    <w:rsid w:val="003A64F1"/>
    <w:rsid w:val="003A67A2"/>
    <w:rsid w:val="003A6A73"/>
    <w:rsid w:val="003A6ACD"/>
    <w:rsid w:val="003A6B92"/>
    <w:rsid w:val="003A6D95"/>
    <w:rsid w:val="003A77EB"/>
    <w:rsid w:val="003A7AD1"/>
    <w:rsid w:val="003A7E51"/>
    <w:rsid w:val="003B017C"/>
    <w:rsid w:val="003B056C"/>
    <w:rsid w:val="003B0B40"/>
    <w:rsid w:val="003B0F20"/>
    <w:rsid w:val="003B1A77"/>
    <w:rsid w:val="003B1B73"/>
    <w:rsid w:val="003B1F40"/>
    <w:rsid w:val="003B21C1"/>
    <w:rsid w:val="003B2436"/>
    <w:rsid w:val="003B29D7"/>
    <w:rsid w:val="003B2F8D"/>
    <w:rsid w:val="003B31B4"/>
    <w:rsid w:val="003B34C4"/>
    <w:rsid w:val="003B3956"/>
    <w:rsid w:val="003B421E"/>
    <w:rsid w:val="003B4508"/>
    <w:rsid w:val="003B457D"/>
    <w:rsid w:val="003B49B0"/>
    <w:rsid w:val="003B49D5"/>
    <w:rsid w:val="003B4DED"/>
    <w:rsid w:val="003B510B"/>
    <w:rsid w:val="003B5598"/>
    <w:rsid w:val="003B59BF"/>
    <w:rsid w:val="003B59FD"/>
    <w:rsid w:val="003B5E32"/>
    <w:rsid w:val="003B640E"/>
    <w:rsid w:val="003B65B5"/>
    <w:rsid w:val="003B6708"/>
    <w:rsid w:val="003B691B"/>
    <w:rsid w:val="003B7060"/>
    <w:rsid w:val="003B71C3"/>
    <w:rsid w:val="003B73A5"/>
    <w:rsid w:val="003B78EA"/>
    <w:rsid w:val="003B7F7F"/>
    <w:rsid w:val="003C027A"/>
    <w:rsid w:val="003C0CD1"/>
    <w:rsid w:val="003C0D27"/>
    <w:rsid w:val="003C10BB"/>
    <w:rsid w:val="003C1213"/>
    <w:rsid w:val="003C139B"/>
    <w:rsid w:val="003C171C"/>
    <w:rsid w:val="003C1817"/>
    <w:rsid w:val="003C1E2E"/>
    <w:rsid w:val="003C24C3"/>
    <w:rsid w:val="003C2637"/>
    <w:rsid w:val="003C2697"/>
    <w:rsid w:val="003C28D3"/>
    <w:rsid w:val="003C2A6B"/>
    <w:rsid w:val="003C2D92"/>
    <w:rsid w:val="003C2E42"/>
    <w:rsid w:val="003C2EA0"/>
    <w:rsid w:val="003C30AF"/>
    <w:rsid w:val="003C352D"/>
    <w:rsid w:val="003C3921"/>
    <w:rsid w:val="003C3C31"/>
    <w:rsid w:val="003C3F0B"/>
    <w:rsid w:val="003C440E"/>
    <w:rsid w:val="003C4967"/>
    <w:rsid w:val="003C4A23"/>
    <w:rsid w:val="003C50A1"/>
    <w:rsid w:val="003C51B1"/>
    <w:rsid w:val="003C55E2"/>
    <w:rsid w:val="003C6307"/>
    <w:rsid w:val="003C63A2"/>
    <w:rsid w:val="003C6539"/>
    <w:rsid w:val="003C6633"/>
    <w:rsid w:val="003C6EC8"/>
    <w:rsid w:val="003C7463"/>
    <w:rsid w:val="003C764D"/>
    <w:rsid w:val="003C77B5"/>
    <w:rsid w:val="003C7816"/>
    <w:rsid w:val="003C7BED"/>
    <w:rsid w:val="003C7C5B"/>
    <w:rsid w:val="003C7CA9"/>
    <w:rsid w:val="003D0112"/>
    <w:rsid w:val="003D05A0"/>
    <w:rsid w:val="003D069A"/>
    <w:rsid w:val="003D0BAD"/>
    <w:rsid w:val="003D0C21"/>
    <w:rsid w:val="003D0E8C"/>
    <w:rsid w:val="003D1319"/>
    <w:rsid w:val="003D153C"/>
    <w:rsid w:val="003D17BE"/>
    <w:rsid w:val="003D1802"/>
    <w:rsid w:val="003D19E3"/>
    <w:rsid w:val="003D1BE0"/>
    <w:rsid w:val="003D1C5A"/>
    <w:rsid w:val="003D2759"/>
    <w:rsid w:val="003D2B54"/>
    <w:rsid w:val="003D3365"/>
    <w:rsid w:val="003D37CE"/>
    <w:rsid w:val="003D3814"/>
    <w:rsid w:val="003D3B9D"/>
    <w:rsid w:val="003D3C3A"/>
    <w:rsid w:val="003D4280"/>
    <w:rsid w:val="003D462D"/>
    <w:rsid w:val="003D4869"/>
    <w:rsid w:val="003D48FE"/>
    <w:rsid w:val="003D4C06"/>
    <w:rsid w:val="003D4C52"/>
    <w:rsid w:val="003D5190"/>
    <w:rsid w:val="003D54C1"/>
    <w:rsid w:val="003D5B0D"/>
    <w:rsid w:val="003D62AF"/>
    <w:rsid w:val="003D64E9"/>
    <w:rsid w:val="003D682C"/>
    <w:rsid w:val="003D699E"/>
    <w:rsid w:val="003D6BA5"/>
    <w:rsid w:val="003D6F4B"/>
    <w:rsid w:val="003D7062"/>
    <w:rsid w:val="003D731C"/>
    <w:rsid w:val="003D73BA"/>
    <w:rsid w:val="003D758C"/>
    <w:rsid w:val="003D7D28"/>
    <w:rsid w:val="003D7D9B"/>
    <w:rsid w:val="003E07E9"/>
    <w:rsid w:val="003E091D"/>
    <w:rsid w:val="003E09A5"/>
    <w:rsid w:val="003E0E49"/>
    <w:rsid w:val="003E1441"/>
    <w:rsid w:val="003E1A02"/>
    <w:rsid w:val="003E1A9E"/>
    <w:rsid w:val="003E1CE8"/>
    <w:rsid w:val="003E1D0F"/>
    <w:rsid w:val="003E1DC1"/>
    <w:rsid w:val="003E2184"/>
    <w:rsid w:val="003E23D3"/>
    <w:rsid w:val="003E2E68"/>
    <w:rsid w:val="003E3AEE"/>
    <w:rsid w:val="003E3EF0"/>
    <w:rsid w:val="003E3FE1"/>
    <w:rsid w:val="003E4F20"/>
    <w:rsid w:val="003E4F35"/>
    <w:rsid w:val="003E503E"/>
    <w:rsid w:val="003E5057"/>
    <w:rsid w:val="003E5087"/>
    <w:rsid w:val="003E5266"/>
    <w:rsid w:val="003E5EE9"/>
    <w:rsid w:val="003E5F11"/>
    <w:rsid w:val="003E61E1"/>
    <w:rsid w:val="003E6986"/>
    <w:rsid w:val="003E6ADF"/>
    <w:rsid w:val="003E6C7B"/>
    <w:rsid w:val="003E7375"/>
    <w:rsid w:val="003E7527"/>
    <w:rsid w:val="003E7929"/>
    <w:rsid w:val="003F05F4"/>
    <w:rsid w:val="003F1398"/>
    <w:rsid w:val="003F152D"/>
    <w:rsid w:val="003F1D7F"/>
    <w:rsid w:val="003F2611"/>
    <w:rsid w:val="003F28E8"/>
    <w:rsid w:val="003F2956"/>
    <w:rsid w:val="003F31D9"/>
    <w:rsid w:val="003F3303"/>
    <w:rsid w:val="003F3367"/>
    <w:rsid w:val="003F3A86"/>
    <w:rsid w:val="003F3D88"/>
    <w:rsid w:val="003F3E0E"/>
    <w:rsid w:val="003F40CA"/>
    <w:rsid w:val="003F438D"/>
    <w:rsid w:val="003F44F4"/>
    <w:rsid w:val="003F45F9"/>
    <w:rsid w:val="003F576F"/>
    <w:rsid w:val="003F5776"/>
    <w:rsid w:val="003F5A77"/>
    <w:rsid w:val="003F5C6B"/>
    <w:rsid w:val="003F5CE6"/>
    <w:rsid w:val="003F63D0"/>
    <w:rsid w:val="003F68EF"/>
    <w:rsid w:val="003F756A"/>
    <w:rsid w:val="003F7A9F"/>
    <w:rsid w:val="003F7E0B"/>
    <w:rsid w:val="003F7E93"/>
    <w:rsid w:val="0040002B"/>
    <w:rsid w:val="004004F7"/>
    <w:rsid w:val="004008C5"/>
    <w:rsid w:val="004009BE"/>
    <w:rsid w:val="00400C95"/>
    <w:rsid w:val="004014A6"/>
    <w:rsid w:val="004018E4"/>
    <w:rsid w:val="00401987"/>
    <w:rsid w:val="00401B1D"/>
    <w:rsid w:val="00401CEA"/>
    <w:rsid w:val="00402042"/>
    <w:rsid w:val="004021CE"/>
    <w:rsid w:val="004024DE"/>
    <w:rsid w:val="00402D32"/>
    <w:rsid w:val="00402DEC"/>
    <w:rsid w:val="004036AC"/>
    <w:rsid w:val="00403742"/>
    <w:rsid w:val="004039DA"/>
    <w:rsid w:val="00403BC1"/>
    <w:rsid w:val="0040459A"/>
    <w:rsid w:val="004049BE"/>
    <w:rsid w:val="00404CDB"/>
    <w:rsid w:val="004051F5"/>
    <w:rsid w:val="004053D2"/>
    <w:rsid w:val="00405495"/>
    <w:rsid w:val="004054BA"/>
    <w:rsid w:val="0040553A"/>
    <w:rsid w:val="00405649"/>
    <w:rsid w:val="00405C1C"/>
    <w:rsid w:val="00405CE3"/>
    <w:rsid w:val="00405D1F"/>
    <w:rsid w:val="00406720"/>
    <w:rsid w:val="004067D6"/>
    <w:rsid w:val="004068C6"/>
    <w:rsid w:val="00406909"/>
    <w:rsid w:val="004069DB"/>
    <w:rsid w:val="00407B3F"/>
    <w:rsid w:val="00407BC7"/>
    <w:rsid w:val="00407DE3"/>
    <w:rsid w:val="00410076"/>
    <w:rsid w:val="0041038F"/>
    <w:rsid w:val="004104E7"/>
    <w:rsid w:val="00410599"/>
    <w:rsid w:val="00410629"/>
    <w:rsid w:val="00410B5B"/>
    <w:rsid w:val="00410CF9"/>
    <w:rsid w:val="00410E9F"/>
    <w:rsid w:val="0041132E"/>
    <w:rsid w:val="00411666"/>
    <w:rsid w:val="00411AF8"/>
    <w:rsid w:val="00411FF6"/>
    <w:rsid w:val="004120AB"/>
    <w:rsid w:val="00412113"/>
    <w:rsid w:val="00412290"/>
    <w:rsid w:val="00412CA0"/>
    <w:rsid w:val="00412D8E"/>
    <w:rsid w:val="004136E7"/>
    <w:rsid w:val="00413D4C"/>
    <w:rsid w:val="0041414C"/>
    <w:rsid w:val="004144DD"/>
    <w:rsid w:val="0041491D"/>
    <w:rsid w:val="00414988"/>
    <w:rsid w:val="00414B44"/>
    <w:rsid w:val="00414BA3"/>
    <w:rsid w:val="00414C3E"/>
    <w:rsid w:val="00415016"/>
    <w:rsid w:val="00415222"/>
    <w:rsid w:val="00415707"/>
    <w:rsid w:val="004158C8"/>
    <w:rsid w:val="00415B63"/>
    <w:rsid w:val="00415D5B"/>
    <w:rsid w:val="00415DB4"/>
    <w:rsid w:val="00415DDC"/>
    <w:rsid w:val="00415FA2"/>
    <w:rsid w:val="004162C6"/>
    <w:rsid w:val="0041688C"/>
    <w:rsid w:val="00416D57"/>
    <w:rsid w:val="004172F2"/>
    <w:rsid w:val="0041739D"/>
    <w:rsid w:val="00417549"/>
    <w:rsid w:val="004175CA"/>
    <w:rsid w:val="0041769B"/>
    <w:rsid w:val="00417743"/>
    <w:rsid w:val="00420041"/>
    <w:rsid w:val="004203C0"/>
    <w:rsid w:val="004204C2"/>
    <w:rsid w:val="004209F6"/>
    <w:rsid w:val="00420B6A"/>
    <w:rsid w:val="00420F6B"/>
    <w:rsid w:val="004211F0"/>
    <w:rsid w:val="004213C6"/>
    <w:rsid w:val="00421C39"/>
    <w:rsid w:val="00421F92"/>
    <w:rsid w:val="004225A5"/>
    <w:rsid w:val="004230F4"/>
    <w:rsid w:val="004231EA"/>
    <w:rsid w:val="00423575"/>
    <w:rsid w:val="004239BE"/>
    <w:rsid w:val="00423A1C"/>
    <w:rsid w:val="004241EA"/>
    <w:rsid w:val="0042435B"/>
    <w:rsid w:val="00424D43"/>
    <w:rsid w:val="00425261"/>
    <w:rsid w:val="00425865"/>
    <w:rsid w:val="0042597E"/>
    <w:rsid w:val="00425B30"/>
    <w:rsid w:val="00425B6D"/>
    <w:rsid w:val="00425C68"/>
    <w:rsid w:val="00425DD9"/>
    <w:rsid w:val="00425E94"/>
    <w:rsid w:val="0042618D"/>
    <w:rsid w:val="004261A2"/>
    <w:rsid w:val="00426479"/>
    <w:rsid w:val="00426748"/>
    <w:rsid w:val="00427484"/>
    <w:rsid w:val="00427710"/>
    <w:rsid w:val="00427A97"/>
    <w:rsid w:val="00427DF2"/>
    <w:rsid w:val="00427F79"/>
    <w:rsid w:val="004300E7"/>
    <w:rsid w:val="00430108"/>
    <w:rsid w:val="004301DD"/>
    <w:rsid w:val="00430266"/>
    <w:rsid w:val="00430438"/>
    <w:rsid w:val="00430453"/>
    <w:rsid w:val="00430F3F"/>
    <w:rsid w:val="00430FCF"/>
    <w:rsid w:val="00430FEB"/>
    <w:rsid w:val="0043111A"/>
    <w:rsid w:val="0043118B"/>
    <w:rsid w:val="00431198"/>
    <w:rsid w:val="00431456"/>
    <w:rsid w:val="00431CC1"/>
    <w:rsid w:val="00431E54"/>
    <w:rsid w:val="00432445"/>
    <w:rsid w:val="004324E0"/>
    <w:rsid w:val="00432D29"/>
    <w:rsid w:val="00432EC2"/>
    <w:rsid w:val="00432FC8"/>
    <w:rsid w:val="004335C8"/>
    <w:rsid w:val="0043367F"/>
    <w:rsid w:val="00433DB8"/>
    <w:rsid w:val="00434080"/>
    <w:rsid w:val="00434173"/>
    <w:rsid w:val="004342ED"/>
    <w:rsid w:val="00434399"/>
    <w:rsid w:val="004345BC"/>
    <w:rsid w:val="00434635"/>
    <w:rsid w:val="0043472C"/>
    <w:rsid w:val="00434872"/>
    <w:rsid w:val="00434977"/>
    <w:rsid w:val="00434F4D"/>
    <w:rsid w:val="004359FE"/>
    <w:rsid w:val="00435A77"/>
    <w:rsid w:val="00435CF5"/>
    <w:rsid w:val="00435E66"/>
    <w:rsid w:val="004362A9"/>
    <w:rsid w:val="004364CC"/>
    <w:rsid w:val="0043658D"/>
    <w:rsid w:val="00436632"/>
    <w:rsid w:val="004367F4"/>
    <w:rsid w:val="0043681F"/>
    <w:rsid w:val="00436906"/>
    <w:rsid w:val="0043690E"/>
    <w:rsid w:val="0043697E"/>
    <w:rsid w:val="00436B18"/>
    <w:rsid w:val="00436BC9"/>
    <w:rsid w:val="00436C4B"/>
    <w:rsid w:val="00436F6C"/>
    <w:rsid w:val="00436F89"/>
    <w:rsid w:val="004373BE"/>
    <w:rsid w:val="0043740A"/>
    <w:rsid w:val="00437DCA"/>
    <w:rsid w:val="00437E03"/>
    <w:rsid w:val="00440081"/>
    <w:rsid w:val="00440239"/>
    <w:rsid w:val="00440396"/>
    <w:rsid w:val="0044086C"/>
    <w:rsid w:val="004411C8"/>
    <w:rsid w:val="00441393"/>
    <w:rsid w:val="004413CA"/>
    <w:rsid w:val="004417D1"/>
    <w:rsid w:val="00441DBE"/>
    <w:rsid w:val="004420D2"/>
    <w:rsid w:val="004427B6"/>
    <w:rsid w:val="00442859"/>
    <w:rsid w:val="004428BF"/>
    <w:rsid w:val="004428C0"/>
    <w:rsid w:val="00442966"/>
    <w:rsid w:val="00442FB0"/>
    <w:rsid w:val="004432F2"/>
    <w:rsid w:val="00443389"/>
    <w:rsid w:val="00443557"/>
    <w:rsid w:val="0044373E"/>
    <w:rsid w:val="0044425E"/>
    <w:rsid w:val="00444345"/>
    <w:rsid w:val="00444438"/>
    <w:rsid w:val="0044476D"/>
    <w:rsid w:val="0044487E"/>
    <w:rsid w:val="00444D04"/>
    <w:rsid w:val="00444E19"/>
    <w:rsid w:val="004450F8"/>
    <w:rsid w:val="00445533"/>
    <w:rsid w:val="0044559C"/>
    <w:rsid w:val="004456A2"/>
    <w:rsid w:val="004456DE"/>
    <w:rsid w:val="004457B5"/>
    <w:rsid w:val="00445B88"/>
    <w:rsid w:val="00446374"/>
    <w:rsid w:val="00446BE9"/>
    <w:rsid w:val="00446C49"/>
    <w:rsid w:val="004474D9"/>
    <w:rsid w:val="004476A6"/>
    <w:rsid w:val="00447EC2"/>
    <w:rsid w:val="00450494"/>
    <w:rsid w:val="00450644"/>
    <w:rsid w:val="00450C73"/>
    <w:rsid w:val="00451470"/>
    <w:rsid w:val="004516EF"/>
    <w:rsid w:val="00451740"/>
    <w:rsid w:val="004517AB"/>
    <w:rsid w:val="00451919"/>
    <w:rsid w:val="00451C2E"/>
    <w:rsid w:val="00451C30"/>
    <w:rsid w:val="00452047"/>
    <w:rsid w:val="0045225B"/>
    <w:rsid w:val="00452427"/>
    <w:rsid w:val="0045243D"/>
    <w:rsid w:val="004524E4"/>
    <w:rsid w:val="0045254C"/>
    <w:rsid w:val="004525C2"/>
    <w:rsid w:val="0045264D"/>
    <w:rsid w:val="004526C1"/>
    <w:rsid w:val="00452769"/>
    <w:rsid w:val="00452F2D"/>
    <w:rsid w:val="00453777"/>
    <w:rsid w:val="004539CD"/>
    <w:rsid w:val="00453ECC"/>
    <w:rsid w:val="0045412E"/>
    <w:rsid w:val="00454336"/>
    <w:rsid w:val="00454CD7"/>
    <w:rsid w:val="00454FC0"/>
    <w:rsid w:val="00455569"/>
    <w:rsid w:val="004557C0"/>
    <w:rsid w:val="00455AA8"/>
    <w:rsid w:val="00455CAF"/>
    <w:rsid w:val="00455D1D"/>
    <w:rsid w:val="00455F75"/>
    <w:rsid w:val="00456639"/>
    <w:rsid w:val="00456F88"/>
    <w:rsid w:val="004572E4"/>
    <w:rsid w:val="004574A5"/>
    <w:rsid w:val="00457B6F"/>
    <w:rsid w:val="00457E38"/>
    <w:rsid w:val="00460167"/>
    <w:rsid w:val="00460596"/>
    <w:rsid w:val="004606F2"/>
    <w:rsid w:val="0046080D"/>
    <w:rsid w:val="004608A7"/>
    <w:rsid w:val="004608EE"/>
    <w:rsid w:val="00460C08"/>
    <w:rsid w:val="0046100B"/>
    <w:rsid w:val="004610A5"/>
    <w:rsid w:val="00461263"/>
    <w:rsid w:val="00461C64"/>
    <w:rsid w:val="00461EA2"/>
    <w:rsid w:val="004627E9"/>
    <w:rsid w:val="004632B9"/>
    <w:rsid w:val="00463730"/>
    <w:rsid w:val="00463A6C"/>
    <w:rsid w:val="00463F1D"/>
    <w:rsid w:val="0046424B"/>
    <w:rsid w:val="004643FB"/>
    <w:rsid w:val="0046443A"/>
    <w:rsid w:val="00464C85"/>
    <w:rsid w:val="00464CED"/>
    <w:rsid w:val="00464DF3"/>
    <w:rsid w:val="00464E07"/>
    <w:rsid w:val="00464FDF"/>
    <w:rsid w:val="00465332"/>
    <w:rsid w:val="00465535"/>
    <w:rsid w:val="0046593C"/>
    <w:rsid w:val="00465F35"/>
    <w:rsid w:val="00465F94"/>
    <w:rsid w:val="004662B0"/>
    <w:rsid w:val="004662F8"/>
    <w:rsid w:val="004665CA"/>
    <w:rsid w:val="00466A78"/>
    <w:rsid w:val="00466E3E"/>
    <w:rsid w:val="00466E54"/>
    <w:rsid w:val="00467217"/>
    <w:rsid w:val="00467417"/>
    <w:rsid w:val="00467472"/>
    <w:rsid w:val="0046765A"/>
    <w:rsid w:val="00467842"/>
    <w:rsid w:val="0046789A"/>
    <w:rsid w:val="0047001A"/>
    <w:rsid w:val="00470DE7"/>
    <w:rsid w:val="00470E7C"/>
    <w:rsid w:val="0047117E"/>
    <w:rsid w:val="0047153D"/>
    <w:rsid w:val="00471876"/>
    <w:rsid w:val="00471D87"/>
    <w:rsid w:val="00472065"/>
    <w:rsid w:val="004721D7"/>
    <w:rsid w:val="00472210"/>
    <w:rsid w:val="00472541"/>
    <w:rsid w:val="00472A05"/>
    <w:rsid w:val="00472B5F"/>
    <w:rsid w:val="00472D78"/>
    <w:rsid w:val="00472ED4"/>
    <w:rsid w:val="00473111"/>
    <w:rsid w:val="00473530"/>
    <w:rsid w:val="00473A6F"/>
    <w:rsid w:val="00473C81"/>
    <w:rsid w:val="00473E5D"/>
    <w:rsid w:val="0047464A"/>
    <w:rsid w:val="00475320"/>
    <w:rsid w:val="00475361"/>
    <w:rsid w:val="00475399"/>
    <w:rsid w:val="004753AE"/>
    <w:rsid w:val="00475616"/>
    <w:rsid w:val="00475979"/>
    <w:rsid w:val="00475BAD"/>
    <w:rsid w:val="00475D04"/>
    <w:rsid w:val="00475E32"/>
    <w:rsid w:val="00475F1D"/>
    <w:rsid w:val="00475FBA"/>
    <w:rsid w:val="00476670"/>
    <w:rsid w:val="0047689D"/>
    <w:rsid w:val="00476A9E"/>
    <w:rsid w:val="00476C97"/>
    <w:rsid w:val="00476D10"/>
    <w:rsid w:val="00477421"/>
    <w:rsid w:val="004779D9"/>
    <w:rsid w:val="00477E7E"/>
    <w:rsid w:val="00480A19"/>
    <w:rsid w:val="00480E66"/>
    <w:rsid w:val="00480E82"/>
    <w:rsid w:val="00480F49"/>
    <w:rsid w:val="00481148"/>
    <w:rsid w:val="0048114B"/>
    <w:rsid w:val="0048170E"/>
    <w:rsid w:val="00481970"/>
    <w:rsid w:val="00481D09"/>
    <w:rsid w:val="00481F7B"/>
    <w:rsid w:val="00481FC7"/>
    <w:rsid w:val="00482029"/>
    <w:rsid w:val="004821B0"/>
    <w:rsid w:val="0048270A"/>
    <w:rsid w:val="00482896"/>
    <w:rsid w:val="00482B01"/>
    <w:rsid w:val="00482B93"/>
    <w:rsid w:val="00482BDC"/>
    <w:rsid w:val="00482D60"/>
    <w:rsid w:val="00482E4C"/>
    <w:rsid w:val="00483004"/>
    <w:rsid w:val="0048310A"/>
    <w:rsid w:val="004831CD"/>
    <w:rsid w:val="00483822"/>
    <w:rsid w:val="00483DED"/>
    <w:rsid w:val="004840CC"/>
    <w:rsid w:val="00484B1B"/>
    <w:rsid w:val="00484BC1"/>
    <w:rsid w:val="00484E9E"/>
    <w:rsid w:val="00484F81"/>
    <w:rsid w:val="004850B2"/>
    <w:rsid w:val="004851E4"/>
    <w:rsid w:val="0048534B"/>
    <w:rsid w:val="004853B3"/>
    <w:rsid w:val="004853C0"/>
    <w:rsid w:val="004858BB"/>
    <w:rsid w:val="00485A28"/>
    <w:rsid w:val="00485BA4"/>
    <w:rsid w:val="00485BE0"/>
    <w:rsid w:val="00485F4A"/>
    <w:rsid w:val="004861E2"/>
    <w:rsid w:val="00487222"/>
    <w:rsid w:val="00487329"/>
    <w:rsid w:val="00487840"/>
    <w:rsid w:val="00487BD4"/>
    <w:rsid w:val="00487E6A"/>
    <w:rsid w:val="00490178"/>
    <w:rsid w:val="004901E4"/>
    <w:rsid w:val="00490395"/>
    <w:rsid w:val="00490687"/>
    <w:rsid w:val="004908F4"/>
    <w:rsid w:val="00490C79"/>
    <w:rsid w:val="0049117C"/>
    <w:rsid w:val="00491186"/>
    <w:rsid w:val="00491310"/>
    <w:rsid w:val="00491566"/>
    <w:rsid w:val="004915D8"/>
    <w:rsid w:val="00491C59"/>
    <w:rsid w:val="00491F52"/>
    <w:rsid w:val="0049203B"/>
    <w:rsid w:val="00492536"/>
    <w:rsid w:val="004926E6"/>
    <w:rsid w:val="00492B67"/>
    <w:rsid w:val="00493159"/>
    <w:rsid w:val="0049325F"/>
    <w:rsid w:val="0049337F"/>
    <w:rsid w:val="00493439"/>
    <w:rsid w:val="00493972"/>
    <w:rsid w:val="00493973"/>
    <w:rsid w:val="00493D4C"/>
    <w:rsid w:val="00494533"/>
    <w:rsid w:val="0049470B"/>
    <w:rsid w:val="00494736"/>
    <w:rsid w:val="00494B2C"/>
    <w:rsid w:val="00494DA0"/>
    <w:rsid w:val="00495954"/>
    <w:rsid w:val="00495996"/>
    <w:rsid w:val="00495B6E"/>
    <w:rsid w:val="00495E76"/>
    <w:rsid w:val="00495EFB"/>
    <w:rsid w:val="004962E6"/>
    <w:rsid w:val="00496705"/>
    <w:rsid w:val="00496EC2"/>
    <w:rsid w:val="00497E0E"/>
    <w:rsid w:val="00497ECA"/>
    <w:rsid w:val="004A01C2"/>
    <w:rsid w:val="004A02C1"/>
    <w:rsid w:val="004A0340"/>
    <w:rsid w:val="004A096B"/>
    <w:rsid w:val="004A1110"/>
    <w:rsid w:val="004A1176"/>
    <w:rsid w:val="004A1E67"/>
    <w:rsid w:val="004A1EAE"/>
    <w:rsid w:val="004A1FCE"/>
    <w:rsid w:val="004A22A7"/>
    <w:rsid w:val="004A2508"/>
    <w:rsid w:val="004A278C"/>
    <w:rsid w:val="004A2B5F"/>
    <w:rsid w:val="004A2C2B"/>
    <w:rsid w:val="004A2DC0"/>
    <w:rsid w:val="004A30D9"/>
    <w:rsid w:val="004A37E9"/>
    <w:rsid w:val="004A3AC9"/>
    <w:rsid w:val="004A3C9C"/>
    <w:rsid w:val="004A3E76"/>
    <w:rsid w:val="004A421A"/>
    <w:rsid w:val="004A4257"/>
    <w:rsid w:val="004A4841"/>
    <w:rsid w:val="004A4CF1"/>
    <w:rsid w:val="004A547A"/>
    <w:rsid w:val="004A54EC"/>
    <w:rsid w:val="004A588D"/>
    <w:rsid w:val="004A5BB5"/>
    <w:rsid w:val="004A5D48"/>
    <w:rsid w:val="004A6338"/>
    <w:rsid w:val="004A6AF3"/>
    <w:rsid w:val="004A6D5C"/>
    <w:rsid w:val="004A7259"/>
    <w:rsid w:val="004A74C6"/>
    <w:rsid w:val="004A79EE"/>
    <w:rsid w:val="004B051E"/>
    <w:rsid w:val="004B0772"/>
    <w:rsid w:val="004B0958"/>
    <w:rsid w:val="004B0AC5"/>
    <w:rsid w:val="004B0F60"/>
    <w:rsid w:val="004B12E4"/>
    <w:rsid w:val="004B1444"/>
    <w:rsid w:val="004B1A0D"/>
    <w:rsid w:val="004B1A6B"/>
    <w:rsid w:val="004B1D0C"/>
    <w:rsid w:val="004B1D2C"/>
    <w:rsid w:val="004B1D5F"/>
    <w:rsid w:val="004B1F2D"/>
    <w:rsid w:val="004B255D"/>
    <w:rsid w:val="004B2CBF"/>
    <w:rsid w:val="004B2D0D"/>
    <w:rsid w:val="004B423D"/>
    <w:rsid w:val="004B4DB8"/>
    <w:rsid w:val="004B4E2D"/>
    <w:rsid w:val="004B5566"/>
    <w:rsid w:val="004B5593"/>
    <w:rsid w:val="004B56C6"/>
    <w:rsid w:val="004B56DF"/>
    <w:rsid w:val="004B5829"/>
    <w:rsid w:val="004B5AE5"/>
    <w:rsid w:val="004B5D9B"/>
    <w:rsid w:val="004B61F8"/>
    <w:rsid w:val="004B63E8"/>
    <w:rsid w:val="004B693E"/>
    <w:rsid w:val="004B6C58"/>
    <w:rsid w:val="004B6CDC"/>
    <w:rsid w:val="004B6E93"/>
    <w:rsid w:val="004B77DE"/>
    <w:rsid w:val="004B7B2D"/>
    <w:rsid w:val="004C0846"/>
    <w:rsid w:val="004C093D"/>
    <w:rsid w:val="004C0A07"/>
    <w:rsid w:val="004C0A35"/>
    <w:rsid w:val="004C0A64"/>
    <w:rsid w:val="004C0C93"/>
    <w:rsid w:val="004C0D9C"/>
    <w:rsid w:val="004C0F60"/>
    <w:rsid w:val="004C100E"/>
    <w:rsid w:val="004C10FF"/>
    <w:rsid w:val="004C1376"/>
    <w:rsid w:val="004C154F"/>
    <w:rsid w:val="004C15FB"/>
    <w:rsid w:val="004C188F"/>
    <w:rsid w:val="004C24FF"/>
    <w:rsid w:val="004C27E0"/>
    <w:rsid w:val="004C282E"/>
    <w:rsid w:val="004C2CF3"/>
    <w:rsid w:val="004C2F0C"/>
    <w:rsid w:val="004C3627"/>
    <w:rsid w:val="004C376D"/>
    <w:rsid w:val="004C3C1B"/>
    <w:rsid w:val="004C3D96"/>
    <w:rsid w:val="004C4151"/>
    <w:rsid w:val="004C45B3"/>
    <w:rsid w:val="004C4A57"/>
    <w:rsid w:val="004C4B7A"/>
    <w:rsid w:val="004C4F1E"/>
    <w:rsid w:val="004C5113"/>
    <w:rsid w:val="004C52A6"/>
    <w:rsid w:val="004C5736"/>
    <w:rsid w:val="004C5806"/>
    <w:rsid w:val="004C6290"/>
    <w:rsid w:val="004C6353"/>
    <w:rsid w:val="004C6438"/>
    <w:rsid w:val="004C676D"/>
    <w:rsid w:val="004C6A84"/>
    <w:rsid w:val="004C6C53"/>
    <w:rsid w:val="004C6F7A"/>
    <w:rsid w:val="004C736F"/>
    <w:rsid w:val="004C7A70"/>
    <w:rsid w:val="004D002A"/>
    <w:rsid w:val="004D025E"/>
    <w:rsid w:val="004D04B3"/>
    <w:rsid w:val="004D0D76"/>
    <w:rsid w:val="004D0F1E"/>
    <w:rsid w:val="004D10DF"/>
    <w:rsid w:val="004D1B4C"/>
    <w:rsid w:val="004D1D87"/>
    <w:rsid w:val="004D2145"/>
    <w:rsid w:val="004D27D4"/>
    <w:rsid w:val="004D2C0F"/>
    <w:rsid w:val="004D2C31"/>
    <w:rsid w:val="004D35CF"/>
    <w:rsid w:val="004D373E"/>
    <w:rsid w:val="004D3E32"/>
    <w:rsid w:val="004D3E5D"/>
    <w:rsid w:val="004D42EE"/>
    <w:rsid w:val="004D4390"/>
    <w:rsid w:val="004D446B"/>
    <w:rsid w:val="004D4519"/>
    <w:rsid w:val="004D47D2"/>
    <w:rsid w:val="004D4906"/>
    <w:rsid w:val="004D4973"/>
    <w:rsid w:val="004D4B01"/>
    <w:rsid w:val="004D5896"/>
    <w:rsid w:val="004D5F3B"/>
    <w:rsid w:val="004D5F3F"/>
    <w:rsid w:val="004D5F40"/>
    <w:rsid w:val="004D62D3"/>
    <w:rsid w:val="004D6360"/>
    <w:rsid w:val="004D6543"/>
    <w:rsid w:val="004D66E2"/>
    <w:rsid w:val="004D6857"/>
    <w:rsid w:val="004D6B98"/>
    <w:rsid w:val="004D7332"/>
    <w:rsid w:val="004D735C"/>
    <w:rsid w:val="004D73D0"/>
    <w:rsid w:val="004D7C27"/>
    <w:rsid w:val="004D7CB7"/>
    <w:rsid w:val="004E0291"/>
    <w:rsid w:val="004E07EF"/>
    <w:rsid w:val="004E092F"/>
    <w:rsid w:val="004E0B97"/>
    <w:rsid w:val="004E0C40"/>
    <w:rsid w:val="004E0C80"/>
    <w:rsid w:val="004E0DB9"/>
    <w:rsid w:val="004E0E9E"/>
    <w:rsid w:val="004E1A30"/>
    <w:rsid w:val="004E1DB6"/>
    <w:rsid w:val="004E1DBB"/>
    <w:rsid w:val="004E2091"/>
    <w:rsid w:val="004E25BF"/>
    <w:rsid w:val="004E2831"/>
    <w:rsid w:val="004E28CF"/>
    <w:rsid w:val="004E2C03"/>
    <w:rsid w:val="004E2FEB"/>
    <w:rsid w:val="004E303A"/>
    <w:rsid w:val="004E303B"/>
    <w:rsid w:val="004E32E3"/>
    <w:rsid w:val="004E34F7"/>
    <w:rsid w:val="004E3582"/>
    <w:rsid w:val="004E3809"/>
    <w:rsid w:val="004E3D70"/>
    <w:rsid w:val="004E4083"/>
    <w:rsid w:val="004E4678"/>
    <w:rsid w:val="004E493A"/>
    <w:rsid w:val="004E50A0"/>
    <w:rsid w:val="004E51B0"/>
    <w:rsid w:val="004E51EA"/>
    <w:rsid w:val="004E5A90"/>
    <w:rsid w:val="004E5CF3"/>
    <w:rsid w:val="004E5D31"/>
    <w:rsid w:val="004E60FF"/>
    <w:rsid w:val="004E62C8"/>
    <w:rsid w:val="004E6422"/>
    <w:rsid w:val="004E6D9A"/>
    <w:rsid w:val="004E71EA"/>
    <w:rsid w:val="004E7332"/>
    <w:rsid w:val="004E7964"/>
    <w:rsid w:val="004E7A88"/>
    <w:rsid w:val="004E7B3D"/>
    <w:rsid w:val="004F0077"/>
    <w:rsid w:val="004F0684"/>
    <w:rsid w:val="004F099F"/>
    <w:rsid w:val="004F09D5"/>
    <w:rsid w:val="004F0E66"/>
    <w:rsid w:val="004F0EFB"/>
    <w:rsid w:val="004F1048"/>
    <w:rsid w:val="004F129F"/>
    <w:rsid w:val="004F15D6"/>
    <w:rsid w:val="004F17DE"/>
    <w:rsid w:val="004F18FD"/>
    <w:rsid w:val="004F1B35"/>
    <w:rsid w:val="004F1C1B"/>
    <w:rsid w:val="004F2683"/>
    <w:rsid w:val="004F2CE6"/>
    <w:rsid w:val="004F30B9"/>
    <w:rsid w:val="004F3119"/>
    <w:rsid w:val="004F33FC"/>
    <w:rsid w:val="004F3FBF"/>
    <w:rsid w:val="004F40DA"/>
    <w:rsid w:val="004F45DA"/>
    <w:rsid w:val="004F48BB"/>
    <w:rsid w:val="004F4FFF"/>
    <w:rsid w:val="004F5449"/>
    <w:rsid w:val="004F546F"/>
    <w:rsid w:val="004F5489"/>
    <w:rsid w:val="004F5A77"/>
    <w:rsid w:val="004F5B5B"/>
    <w:rsid w:val="004F5BE8"/>
    <w:rsid w:val="004F5C07"/>
    <w:rsid w:val="004F6847"/>
    <w:rsid w:val="004F68BF"/>
    <w:rsid w:val="004F697E"/>
    <w:rsid w:val="004F6FA7"/>
    <w:rsid w:val="004F70D8"/>
    <w:rsid w:val="004F7316"/>
    <w:rsid w:val="004F7937"/>
    <w:rsid w:val="004F7BA5"/>
    <w:rsid w:val="004F7D5B"/>
    <w:rsid w:val="004F7DB7"/>
    <w:rsid w:val="00500564"/>
    <w:rsid w:val="00500691"/>
    <w:rsid w:val="005017CB"/>
    <w:rsid w:val="005017EC"/>
    <w:rsid w:val="005018F6"/>
    <w:rsid w:val="005019D7"/>
    <w:rsid w:val="005023F0"/>
    <w:rsid w:val="0050295F"/>
    <w:rsid w:val="00502B42"/>
    <w:rsid w:val="00502CCF"/>
    <w:rsid w:val="00502DD6"/>
    <w:rsid w:val="005034C0"/>
    <w:rsid w:val="005035E4"/>
    <w:rsid w:val="005038AF"/>
    <w:rsid w:val="00503F38"/>
    <w:rsid w:val="0050433D"/>
    <w:rsid w:val="0050477A"/>
    <w:rsid w:val="005048D8"/>
    <w:rsid w:val="0050528C"/>
    <w:rsid w:val="0050557A"/>
    <w:rsid w:val="00505BA8"/>
    <w:rsid w:val="00505FDC"/>
    <w:rsid w:val="00506239"/>
    <w:rsid w:val="0050645D"/>
    <w:rsid w:val="0050696B"/>
    <w:rsid w:val="00506BD2"/>
    <w:rsid w:val="00506F34"/>
    <w:rsid w:val="0050714B"/>
    <w:rsid w:val="00507184"/>
    <w:rsid w:val="00507299"/>
    <w:rsid w:val="00507956"/>
    <w:rsid w:val="00507DD0"/>
    <w:rsid w:val="00507F8C"/>
    <w:rsid w:val="00510137"/>
    <w:rsid w:val="00510194"/>
    <w:rsid w:val="00510A08"/>
    <w:rsid w:val="00510CE4"/>
    <w:rsid w:val="00510D72"/>
    <w:rsid w:val="0051145B"/>
    <w:rsid w:val="005115C8"/>
    <w:rsid w:val="005116FF"/>
    <w:rsid w:val="005119F9"/>
    <w:rsid w:val="00511A0E"/>
    <w:rsid w:val="00511AC1"/>
    <w:rsid w:val="00511F1C"/>
    <w:rsid w:val="00512A97"/>
    <w:rsid w:val="00512D1A"/>
    <w:rsid w:val="00512D40"/>
    <w:rsid w:val="00512EFC"/>
    <w:rsid w:val="00513001"/>
    <w:rsid w:val="00513088"/>
    <w:rsid w:val="005130B4"/>
    <w:rsid w:val="00513141"/>
    <w:rsid w:val="0051377B"/>
    <w:rsid w:val="00513DAD"/>
    <w:rsid w:val="00513DEB"/>
    <w:rsid w:val="00514018"/>
    <w:rsid w:val="005143C4"/>
    <w:rsid w:val="005149E9"/>
    <w:rsid w:val="00514FA9"/>
    <w:rsid w:val="00515503"/>
    <w:rsid w:val="005155BD"/>
    <w:rsid w:val="00515960"/>
    <w:rsid w:val="00515EC4"/>
    <w:rsid w:val="00516090"/>
    <w:rsid w:val="0051671F"/>
    <w:rsid w:val="00516A3A"/>
    <w:rsid w:val="00516A4C"/>
    <w:rsid w:val="00517589"/>
    <w:rsid w:val="00517ABF"/>
    <w:rsid w:val="005204F7"/>
    <w:rsid w:val="00520A80"/>
    <w:rsid w:val="005212A0"/>
    <w:rsid w:val="00521361"/>
    <w:rsid w:val="00521435"/>
    <w:rsid w:val="005215A7"/>
    <w:rsid w:val="0052182B"/>
    <w:rsid w:val="005218D1"/>
    <w:rsid w:val="00521B0E"/>
    <w:rsid w:val="00521CBE"/>
    <w:rsid w:val="00521D7D"/>
    <w:rsid w:val="00521F14"/>
    <w:rsid w:val="0052218D"/>
    <w:rsid w:val="0052271B"/>
    <w:rsid w:val="005228B3"/>
    <w:rsid w:val="0052299D"/>
    <w:rsid w:val="00522BC4"/>
    <w:rsid w:val="00522D97"/>
    <w:rsid w:val="00522E2F"/>
    <w:rsid w:val="005231C4"/>
    <w:rsid w:val="00523B41"/>
    <w:rsid w:val="00523FAF"/>
    <w:rsid w:val="005240D7"/>
    <w:rsid w:val="00524181"/>
    <w:rsid w:val="005241A3"/>
    <w:rsid w:val="005244D4"/>
    <w:rsid w:val="0052497A"/>
    <w:rsid w:val="00524989"/>
    <w:rsid w:val="005260A0"/>
    <w:rsid w:val="0052678D"/>
    <w:rsid w:val="00526942"/>
    <w:rsid w:val="005269F6"/>
    <w:rsid w:val="005271E3"/>
    <w:rsid w:val="005273E3"/>
    <w:rsid w:val="005276DC"/>
    <w:rsid w:val="005277EE"/>
    <w:rsid w:val="00527D7F"/>
    <w:rsid w:val="00527F1E"/>
    <w:rsid w:val="00530274"/>
    <w:rsid w:val="005307CB"/>
    <w:rsid w:val="00530853"/>
    <w:rsid w:val="00530950"/>
    <w:rsid w:val="00530F88"/>
    <w:rsid w:val="005312DE"/>
    <w:rsid w:val="00531419"/>
    <w:rsid w:val="005314F9"/>
    <w:rsid w:val="00531643"/>
    <w:rsid w:val="00531A1E"/>
    <w:rsid w:val="00531A74"/>
    <w:rsid w:val="00531D0A"/>
    <w:rsid w:val="0053262E"/>
    <w:rsid w:val="005329A7"/>
    <w:rsid w:val="00532A7B"/>
    <w:rsid w:val="00532D9C"/>
    <w:rsid w:val="0053325E"/>
    <w:rsid w:val="005333A4"/>
    <w:rsid w:val="0053373B"/>
    <w:rsid w:val="0053393D"/>
    <w:rsid w:val="00533C27"/>
    <w:rsid w:val="00533F79"/>
    <w:rsid w:val="00533FCF"/>
    <w:rsid w:val="00534970"/>
    <w:rsid w:val="00534EAE"/>
    <w:rsid w:val="00535329"/>
    <w:rsid w:val="005354D7"/>
    <w:rsid w:val="00535DBB"/>
    <w:rsid w:val="00535DD9"/>
    <w:rsid w:val="00535F11"/>
    <w:rsid w:val="00536586"/>
    <w:rsid w:val="00536B55"/>
    <w:rsid w:val="00536C0A"/>
    <w:rsid w:val="00536C61"/>
    <w:rsid w:val="00536E7B"/>
    <w:rsid w:val="00536F4F"/>
    <w:rsid w:val="00536F8C"/>
    <w:rsid w:val="00536F92"/>
    <w:rsid w:val="005373BD"/>
    <w:rsid w:val="005375ED"/>
    <w:rsid w:val="00537671"/>
    <w:rsid w:val="00537826"/>
    <w:rsid w:val="00537841"/>
    <w:rsid w:val="00537AA2"/>
    <w:rsid w:val="00537CE8"/>
    <w:rsid w:val="00537D27"/>
    <w:rsid w:val="00537D54"/>
    <w:rsid w:val="0054001C"/>
    <w:rsid w:val="00540294"/>
    <w:rsid w:val="005404AC"/>
    <w:rsid w:val="005404D8"/>
    <w:rsid w:val="00540518"/>
    <w:rsid w:val="00540614"/>
    <w:rsid w:val="0054085B"/>
    <w:rsid w:val="00540979"/>
    <w:rsid w:val="00540AA1"/>
    <w:rsid w:val="00540FE7"/>
    <w:rsid w:val="005415C3"/>
    <w:rsid w:val="0054236F"/>
    <w:rsid w:val="0054253A"/>
    <w:rsid w:val="005425E3"/>
    <w:rsid w:val="005427DC"/>
    <w:rsid w:val="00542B31"/>
    <w:rsid w:val="00542EC4"/>
    <w:rsid w:val="00542FDB"/>
    <w:rsid w:val="005433D3"/>
    <w:rsid w:val="00543520"/>
    <w:rsid w:val="0054352C"/>
    <w:rsid w:val="00543B95"/>
    <w:rsid w:val="00543DC8"/>
    <w:rsid w:val="0054486A"/>
    <w:rsid w:val="005448E2"/>
    <w:rsid w:val="00544F5F"/>
    <w:rsid w:val="005456AB"/>
    <w:rsid w:val="005459B4"/>
    <w:rsid w:val="005461EB"/>
    <w:rsid w:val="005462D1"/>
    <w:rsid w:val="00546317"/>
    <w:rsid w:val="005463A0"/>
    <w:rsid w:val="005465C0"/>
    <w:rsid w:val="005466C3"/>
    <w:rsid w:val="00547061"/>
    <w:rsid w:val="0054726F"/>
    <w:rsid w:val="005473F2"/>
    <w:rsid w:val="005476A6"/>
    <w:rsid w:val="00547AF0"/>
    <w:rsid w:val="00547CAA"/>
    <w:rsid w:val="00547D96"/>
    <w:rsid w:val="00547F5F"/>
    <w:rsid w:val="005501E4"/>
    <w:rsid w:val="00550386"/>
    <w:rsid w:val="005506AA"/>
    <w:rsid w:val="00550779"/>
    <w:rsid w:val="005509DC"/>
    <w:rsid w:val="0055137E"/>
    <w:rsid w:val="005515F2"/>
    <w:rsid w:val="005518DF"/>
    <w:rsid w:val="00551E92"/>
    <w:rsid w:val="00551FE9"/>
    <w:rsid w:val="00551FF8"/>
    <w:rsid w:val="00552104"/>
    <w:rsid w:val="005521E7"/>
    <w:rsid w:val="005522AC"/>
    <w:rsid w:val="005527A0"/>
    <w:rsid w:val="005527BB"/>
    <w:rsid w:val="00552BB9"/>
    <w:rsid w:val="005533DC"/>
    <w:rsid w:val="00553953"/>
    <w:rsid w:val="00553BB5"/>
    <w:rsid w:val="00554092"/>
    <w:rsid w:val="0055438C"/>
    <w:rsid w:val="0055488F"/>
    <w:rsid w:val="00554CC6"/>
    <w:rsid w:val="005552D3"/>
    <w:rsid w:val="00555483"/>
    <w:rsid w:val="0055555E"/>
    <w:rsid w:val="005560A5"/>
    <w:rsid w:val="0055628E"/>
    <w:rsid w:val="005566BD"/>
    <w:rsid w:val="0055692C"/>
    <w:rsid w:val="00556CA0"/>
    <w:rsid w:val="0055714F"/>
    <w:rsid w:val="005571BA"/>
    <w:rsid w:val="00557387"/>
    <w:rsid w:val="00557662"/>
    <w:rsid w:val="005576E2"/>
    <w:rsid w:val="00557B62"/>
    <w:rsid w:val="0056001A"/>
    <w:rsid w:val="005603F8"/>
    <w:rsid w:val="0056077E"/>
    <w:rsid w:val="00560E52"/>
    <w:rsid w:val="005610D1"/>
    <w:rsid w:val="00561CF8"/>
    <w:rsid w:val="0056208F"/>
    <w:rsid w:val="005623CB"/>
    <w:rsid w:val="00562737"/>
    <w:rsid w:val="0056288D"/>
    <w:rsid w:val="00562C62"/>
    <w:rsid w:val="00562CBF"/>
    <w:rsid w:val="00562EFC"/>
    <w:rsid w:val="0056342B"/>
    <w:rsid w:val="0056358B"/>
    <w:rsid w:val="005635E7"/>
    <w:rsid w:val="0056390D"/>
    <w:rsid w:val="00563A9C"/>
    <w:rsid w:val="00563ECB"/>
    <w:rsid w:val="00563F54"/>
    <w:rsid w:val="005644A2"/>
    <w:rsid w:val="0056493B"/>
    <w:rsid w:val="00564CCB"/>
    <w:rsid w:val="00564CE1"/>
    <w:rsid w:val="00565113"/>
    <w:rsid w:val="005656BB"/>
    <w:rsid w:val="00565E76"/>
    <w:rsid w:val="00565EA2"/>
    <w:rsid w:val="00566065"/>
    <w:rsid w:val="00566874"/>
    <w:rsid w:val="00566A66"/>
    <w:rsid w:val="00566E31"/>
    <w:rsid w:val="00566F3F"/>
    <w:rsid w:val="00567898"/>
    <w:rsid w:val="00567E8D"/>
    <w:rsid w:val="00570379"/>
    <w:rsid w:val="00570664"/>
    <w:rsid w:val="00570834"/>
    <w:rsid w:val="0057084B"/>
    <w:rsid w:val="0057086D"/>
    <w:rsid w:val="00570B9A"/>
    <w:rsid w:val="00570D7D"/>
    <w:rsid w:val="00571153"/>
    <w:rsid w:val="00571182"/>
    <w:rsid w:val="00571419"/>
    <w:rsid w:val="0057173D"/>
    <w:rsid w:val="00571FC7"/>
    <w:rsid w:val="005720F6"/>
    <w:rsid w:val="00572885"/>
    <w:rsid w:val="00572AAF"/>
    <w:rsid w:val="00573BF7"/>
    <w:rsid w:val="00573E3E"/>
    <w:rsid w:val="00574196"/>
    <w:rsid w:val="00574B9E"/>
    <w:rsid w:val="005755CC"/>
    <w:rsid w:val="005756ED"/>
    <w:rsid w:val="0057647F"/>
    <w:rsid w:val="0057666C"/>
    <w:rsid w:val="00576796"/>
    <w:rsid w:val="005769DA"/>
    <w:rsid w:val="00576F0B"/>
    <w:rsid w:val="0057768A"/>
    <w:rsid w:val="005779C2"/>
    <w:rsid w:val="005806C4"/>
    <w:rsid w:val="00580736"/>
    <w:rsid w:val="00580A60"/>
    <w:rsid w:val="00580B33"/>
    <w:rsid w:val="00580E90"/>
    <w:rsid w:val="005813CD"/>
    <w:rsid w:val="00581BD2"/>
    <w:rsid w:val="005822C6"/>
    <w:rsid w:val="005824F5"/>
    <w:rsid w:val="00582AF6"/>
    <w:rsid w:val="00582B9C"/>
    <w:rsid w:val="00582BAE"/>
    <w:rsid w:val="00583208"/>
    <w:rsid w:val="005836FB"/>
    <w:rsid w:val="00583770"/>
    <w:rsid w:val="0058390B"/>
    <w:rsid w:val="00583C97"/>
    <w:rsid w:val="00583CE1"/>
    <w:rsid w:val="005841B1"/>
    <w:rsid w:val="005843BE"/>
    <w:rsid w:val="00584787"/>
    <w:rsid w:val="00584945"/>
    <w:rsid w:val="00584CBF"/>
    <w:rsid w:val="00584EE6"/>
    <w:rsid w:val="00585081"/>
    <w:rsid w:val="005850D9"/>
    <w:rsid w:val="0058554A"/>
    <w:rsid w:val="0058559B"/>
    <w:rsid w:val="0058583E"/>
    <w:rsid w:val="0058591B"/>
    <w:rsid w:val="00585BF7"/>
    <w:rsid w:val="00585C01"/>
    <w:rsid w:val="0058600D"/>
    <w:rsid w:val="0058632E"/>
    <w:rsid w:val="0058651E"/>
    <w:rsid w:val="005867EA"/>
    <w:rsid w:val="005868C6"/>
    <w:rsid w:val="00586A16"/>
    <w:rsid w:val="00586B5F"/>
    <w:rsid w:val="00586C77"/>
    <w:rsid w:val="005871BA"/>
    <w:rsid w:val="005873C9"/>
    <w:rsid w:val="00587669"/>
    <w:rsid w:val="00587699"/>
    <w:rsid w:val="00587AEC"/>
    <w:rsid w:val="00587BF8"/>
    <w:rsid w:val="0059004F"/>
    <w:rsid w:val="00590368"/>
    <w:rsid w:val="005904F6"/>
    <w:rsid w:val="00590681"/>
    <w:rsid w:val="005906ED"/>
    <w:rsid w:val="00590901"/>
    <w:rsid w:val="00590AC4"/>
    <w:rsid w:val="00590BA7"/>
    <w:rsid w:val="00590F19"/>
    <w:rsid w:val="005911DB"/>
    <w:rsid w:val="00591516"/>
    <w:rsid w:val="0059160A"/>
    <w:rsid w:val="005917A2"/>
    <w:rsid w:val="00591A04"/>
    <w:rsid w:val="00591F75"/>
    <w:rsid w:val="00592380"/>
    <w:rsid w:val="005923EB"/>
    <w:rsid w:val="00592997"/>
    <w:rsid w:val="00592F31"/>
    <w:rsid w:val="005941FE"/>
    <w:rsid w:val="0059420F"/>
    <w:rsid w:val="005946C1"/>
    <w:rsid w:val="005947D0"/>
    <w:rsid w:val="00594847"/>
    <w:rsid w:val="005948EE"/>
    <w:rsid w:val="00594A0D"/>
    <w:rsid w:val="00594B2A"/>
    <w:rsid w:val="00594B2D"/>
    <w:rsid w:val="00594B93"/>
    <w:rsid w:val="00594DC5"/>
    <w:rsid w:val="0059568D"/>
    <w:rsid w:val="0059580B"/>
    <w:rsid w:val="005959D1"/>
    <w:rsid w:val="00595D1B"/>
    <w:rsid w:val="00595E71"/>
    <w:rsid w:val="00596A5D"/>
    <w:rsid w:val="00596F37"/>
    <w:rsid w:val="00597518"/>
    <w:rsid w:val="005A03B3"/>
    <w:rsid w:val="005A0587"/>
    <w:rsid w:val="005A063A"/>
    <w:rsid w:val="005A090B"/>
    <w:rsid w:val="005A0B76"/>
    <w:rsid w:val="005A1114"/>
    <w:rsid w:val="005A11B8"/>
    <w:rsid w:val="005A11C8"/>
    <w:rsid w:val="005A13AD"/>
    <w:rsid w:val="005A16F0"/>
    <w:rsid w:val="005A1894"/>
    <w:rsid w:val="005A19F2"/>
    <w:rsid w:val="005A1BB9"/>
    <w:rsid w:val="005A1D1E"/>
    <w:rsid w:val="005A1F75"/>
    <w:rsid w:val="005A283E"/>
    <w:rsid w:val="005A2886"/>
    <w:rsid w:val="005A2B03"/>
    <w:rsid w:val="005A2DD2"/>
    <w:rsid w:val="005A2EB1"/>
    <w:rsid w:val="005A30D3"/>
    <w:rsid w:val="005A32B5"/>
    <w:rsid w:val="005A3347"/>
    <w:rsid w:val="005A355C"/>
    <w:rsid w:val="005A37C0"/>
    <w:rsid w:val="005A3C13"/>
    <w:rsid w:val="005A3C85"/>
    <w:rsid w:val="005A3DFB"/>
    <w:rsid w:val="005A3ECE"/>
    <w:rsid w:val="005A3F7C"/>
    <w:rsid w:val="005A40E5"/>
    <w:rsid w:val="005A4285"/>
    <w:rsid w:val="005A498C"/>
    <w:rsid w:val="005A4A17"/>
    <w:rsid w:val="005A4BC4"/>
    <w:rsid w:val="005A4EFF"/>
    <w:rsid w:val="005A55EA"/>
    <w:rsid w:val="005A5BBC"/>
    <w:rsid w:val="005A5D20"/>
    <w:rsid w:val="005A5E36"/>
    <w:rsid w:val="005A5EA5"/>
    <w:rsid w:val="005A5F3E"/>
    <w:rsid w:val="005A608A"/>
    <w:rsid w:val="005A635D"/>
    <w:rsid w:val="005A6361"/>
    <w:rsid w:val="005A669A"/>
    <w:rsid w:val="005A6733"/>
    <w:rsid w:val="005A6E4A"/>
    <w:rsid w:val="005A729D"/>
    <w:rsid w:val="005A77CC"/>
    <w:rsid w:val="005B0214"/>
    <w:rsid w:val="005B0637"/>
    <w:rsid w:val="005B0648"/>
    <w:rsid w:val="005B0786"/>
    <w:rsid w:val="005B0AB9"/>
    <w:rsid w:val="005B0B0E"/>
    <w:rsid w:val="005B102D"/>
    <w:rsid w:val="005B11FD"/>
    <w:rsid w:val="005B1246"/>
    <w:rsid w:val="005B1354"/>
    <w:rsid w:val="005B144E"/>
    <w:rsid w:val="005B147C"/>
    <w:rsid w:val="005B1561"/>
    <w:rsid w:val="005B197D"/>
    <w:rsid w:val="005B1A89"/>
    <w:rsid w:val="005B1ABD"/>
    <w:rsid w:val="005B1FF4"/>
    <w:rsid w:val="005B227D"/>
    <w:rsid w:val="005B249A"/>
    <w:rsid w:val="005B29A8"/>
    <w:rsid w:val="005B2C1D"/>
    <w:rsid w:val="005B2D1C"/>
    <w:rsid w:val="005B383D"/>
    <w:rsid w:val="005B403F"/>
    <w:rsid w:val="005B40E9"/>
    <w:rsid w:val="005B4133"/>
    <w:rsid w:val="005B47DB"/>
    <w:rsid w:val="005B50A4"/>
    <w:rsid w:val="005B5B4E"/>
    <w:rsid w:val="005B62F0"/>
    <w:rsid w:val="005B6D87"/>
    <w:rsid w:val="005B7185"/>
    <w:rsid w:val="005B7405"/>
    <w:rsid w:val="005B7531"/>
    <w:rsid w:val="005B7610"/>
    <w:rsid w:val="005B7A2E"/>
    <w:rsid w:val="005B7CD6"/>
    <w:rsid w:val="005C092F"/>
    <w:rsid w:val="005C0D33"/>
    <w:rsid w:val="005C0EB7"/>
    <w:rsid w:val="005C1052"/>
    <w:rsid w:val="005C139B"/>
    <w:rsid w:val="005C1560"/>
    <w:rsid w:val="005C1696"/>
    <w:rsid w:val="005C1922"/>
    <w:rsid w:val="005C1B5C"/>
    <w:rsid w:val="005C1E2A"/>
    <w:rsid w:val="005C1EC6"/>
    <w:rsid w:val="005C1ED5"/>
    <w:rsid w:val="005C209E"/>
    <w:rsid w:val="005C3739"/>
    <w:rsid w:val="005C3CBB"/>
    <w:rsid w:val="005C407E"/>
    <w:rsid w:val="005C415A"/>
    <w:rsid w:val="005C41EC"/>
    <w:rsid w:val="005C41FC"/>
    <w:rsid w:val="005C46FB"/>
    <w:rsid w:val="005C4BAF"/>
    <w:rsid w:val="005C4D8C"/>
    <w:rsid w:val="005C4FE6"/>
    <w:rsid w:val="005C50FC"/>
    <w:rsid w:val="005C51A7"/>
    <w:rsid w:val="005C5230"/>
    <w:rsid w:val="005C5392"/>
    <w:rsid w:val="005C54C7"/>
    <w:rsid w:val="005C55A2"/>
    <w:rsid w:val="005C56ED"/>
    <w:rsid w:val="005C59CA"/>
    <w:rsid w:val="005C5B11"/>
    <w:rsid w:val="005C5B98"/>
    <w:rsid w:val="005C5E0C"/>
    <w:rsid w:val="005C5E2A"/>
    <w:rsid w:val="005C64F2"/>
    <w:rsid w:val="005C6846"/>
    <w:rsid w:val="005C6C5A"/>
    <w:rsid w:val="005C7209"/>
    <w:rsid w:val="005C790F"/>
    <w:rsid w:val="005C7EEE"/>
    <w:rsid w:val="005D0121"/>
    <w:rsid w:val="005D02CF"/>
    <w:rsid w:val="005D0B30"/>
    <w:rsid w:val="005D0C47"/>
    <w:rsid w:val="005D0FD0"/>
    <w:rsid w:val="005D107A"/>
    <w:rsid w:val="005D1098"/>
    <w:rsid w:val="005D1379"/>
    <w:rsid w:val="005D15F4"/>
    <w:rsid w:val="005D1771"/>
    <w:rsid w:val="005D20E1"/>
    <w:rsid w:val="005D217E"/>
    <w:rsid w:val="005D25C1"/>
    <w:rsid w:val="005D2D06"/>
    <w:rsid w:val="005D2D7C"/>
    <w:rsid w:val="005D2DD4"/>
    <w:rsid w:val="005D2FAD"/>
    <w:rsid w:val="005D31F8"/>
    <w:rsid w:val="005D3235"/>
    <w:rsid w:val="005D3AA5"/>
    <w:rsid w:val="005D3C5F"/>
    <w:rsid w:val="005D4126"/>
    <w:rsid w:val="005D440E"/>
    <w:rsid w:val="005D456E"/>
    <w:rsid w:val="005D478F"/>
    <w:rsid w:val="005D59EE"/>
    <w:rsid w:val="005D5A6C"/>
    <w:rsid w:val="005D5B65"/>
    <w:rsid w:val="005D5EEF"/>
    <w:rsid w:val="005D60A9"/>
    <w:rsid w:val="005D624A"/>
    <w:rsid w:val="005D6340"/>
    <w:rsid w:val="005D63FC"/>
    <w:rsid w:val="005D6615"/>
    <w:rsid w:val="005D661D"/>
    <w:rsid w:val="005D6832"/>
    <w:rsid w:val="005D6CF0"/>
    <w:rsid w:val="005D7022"/>
    <w:rsid w:val="005D7250"/>
    <w:rsid w:val="005D7902"/>
    <w:rsid w:val="005D7A63"/>
    <w:rsid w:val="005D7AA5"/>
    <w:rsid w:val="005D7D63"/>
    <w:rsid w:val="005E0376"/>
    <w:rsid w:val="005E04A3"/>
    <w:rsid w:val="005E0F20"/>
    <w:rsid w:val="005E20F5"/>
    <w:rsid w:val="005E2199"/>
    <w:rsid w:val="005E225E"/>
    <w:rsid w:val="005E25F7"/>
    <w:rsid w:val="005E2641"/>
    <w:rsid w:val="005E28CB"/>
    <w:rsid w:val="005E2B27"/>
    <w:rsid w:val="005E33AF"/>
    <w:rsid w:val="005E35BF"/>
    <w:rsid w:val="005E3691"/>
    <w:rsid w:val="005E369F"/>
    <w:rsid w:val="005E37F2"/>
    <w:rsid w:val="005E38B2"/>
    <w:rsid w:val="005E3A2F"/>
    <w:rsid w:val="005E3D11"/>
    <w:rsid w:val="005E3D6E"/>
    <w:rsid w:val="005E401D"/>
    <w:rsid w:val="005E41A9"/>
    <w:rsid w:val="005E4216"/>
    <w:rsid w:val="005E438B"/>
    <w:rsid w:val="005E5031"/>
    <w:rsid w:val="005E5502"/>
    <w:rsid w:val="005E557A"/>
    <w:rsid w:val="005E5723"/>
    <w:rsid w:val="005E57C8"/>
    <w:rsid w:val="005E5C8B"/>
    <w:rsid w:val="005E5D50"/>
    <w:rsid w:val="005E5FA8"/>
    <w:rsid w:val="005E6169"/>
    <w:rsid w:val="005E653F"/>
    <w:rsid w:val="005E6908"/>
    <w:rsid w:val="005E6DAA"/>
    <w:rsid w:val="005E6E98"/>
    <w:rsid w:val="005E6F2A"/>
    <w:rsid w:val="005E7357"/>
    <w:rsid w:val="005E7ADD"/>
    <w:rsid w:val="005F04DC"/>
    <w:rsid w:val="005F0CB2"/>
    <w:rsid w:val="005F114A"/>
    <w:rsid w:val="005F1242"/>
    <w:rsid w:val="005F129C"/>
    <w:rsid w:val="005F1578"/>
    <w:rsid w:val="005F1698"/>
    <w:rsid w:val="005F19A3"/>
    <w:rsid w:val="005F19B5"/>
    <w:rsid w:val="005F1CAA"/>
    <w:rsid w:val="005F1E38"/>
    <w:rsid w:val="005F1E75"/>
    <w:rsid w:val="005F201C"/>
    <w:rsid w:val="005F20C7"/>
    <w:rsid w:val="005F24D9"/>
    <w:rsid w:val="005F2E1A"/>
    <w:rsid w:val="005F2EE7"/>
    <w:rsid w:val="005F2F05"/>
    <w:rsid w:val="005F343C"/>
    <w:rsid w:val="005F37C8"/>
    <w:rsid w:val="005F49D4"/>
    <w:rsid w:val="005F4B88"/>
    <w:rsid w:val="005F4E28"/>
    <w:rsid w:val="005F4E57"/>
    <w:rsid w:val="005F4F64"/>
    <w:rsid w:val="005F523D"/>
    <w:rsid w:val="005F7993"/>
    <w:rsid w:val="005F7BDA"/>
    <w:rsid w:val="00600291"/>
    <w:rsid w:val="00600664"/>
    <w:rsid w:val="00600AAC"/>
    <w:rsid w:val="00600C7B"/>
    <w:rsid w:val="00600FB0"/>
    <w:rsid w:val="006010D5"/>
    <w:rsid w:val="006013E3"/>
    <w:rsid w:val="00601842"/>
    <w:rsid w:val="00601918"/>
    <w:rsid w:val="00601C63"/>
    <w:rsid w:val="006022B1"/>
    <w:rsid w:val="00602C7C"/>
    <w:rsid w:val="00603458"/>
    <w:rsid w:val="006034FB"/>
    <w:rsid w:val="00603628"/>
    <w:rsid w:val="00604ABC"/>
    <w:rsid w:val="00604C5D"/>
    <w:rsid w:val="00604D1B"/>
    <w:rsid w:val="00605072"/>
    <w:rsid w:val="0060528B"/>
    <w:rsid w:val="006053CC"/>
    <w:rsid w:val="006054E4"/>
    <w:rsid w:val="00605A76"/>
    <w:rsid w:val="00605EC1"/>
    <w:rsid w:val="00606A58"/>
    <w:rsid w:val="00606B2D"/>
    <w:rsid w:val="00606BE4"/>
    <w:rsid w:val="006070AD"/>
    <w:rsid w:val="0060750A"/>
    <w:rsid w:val="006076BF"/>
    <w:rsid w:val="006079A5"/>
    <w:rsid w:val="006079FD"/>
    <w:rsid w:val="00607A61"/>
    <w:rsid w:val="0061017F"/>
    <w:rsid w:val="00610B16"/>
    <w:rsid w:val="00610FDF"/>
    <w:rsid w:val="00611117"/>
    <w:rsid w:val="0061115A"/>
    <w:rsid w:val="006117BE"/>
    <w:rsid w:val="00611F3F"/>
    <w:rsid w:val="006123E5"/>
    <w:rsid w:val="006126A8"/>
    <w:rsid w:val="00612B3B"/>
    <w:rsid w:val="006133A2"/>
    <w:rsid w:val="00613672"/>
    <w:rsid w:val="0061414D"/>
    <w:rsid w:val="00614650"/>
    <w:rsid w:val="00614A56"/>
    <w:rsid w:val="00614BF0"/>
    <w:rsid w:val="0061531E"/>
    <w:rsid w:val="00615AC3"/>
    <w:rsid w:val="00615FD4"/>
    <w:rsid w:val="00616195"/>
    <w:rsid w:val="006162B8"/>
    <w:rsid w:val="00616300"/>
    <w:rsid w:val="00616E16"/>
    <w:rsid w:val="00616FD7"/>
    <w:rsid w:val="006170A7"/>
    <w:rsid w:val="00617256"/>
    <w:rsid w:val="006174CC"/>
    <w:rsid w:val="00617649"/>
    <w:rsid w:val="00617914"/>
    <w:rsid w:val="00620547"/>
    <w:rsid w:val="006206D4"/>
    <w:rsid w:val="0062121F"/>
    <w:rsid w:val="00621375"/>
    <w:rsid w:val="006214FB"/>
    <w:rsid w:val="0062185F"/>
    <w:rsid w:val="0062192F"/>
    <w:rsid w:val="006221DE"/>
    <w:rsid w:val="00622310"/>
    <w:rsid w:val="00622E4E"/>
    <w:rsid w:val="00623311"/>
    <w:rsid w:val="00623CFD"/>
    <w:rsid w:val="0062436C"/>
    <w:rsid w:val="00624612"/>
    <w:rsid w:val="00624753"/>
    <w:rsid w:val="00624CE2"/>
    <w:rsid w:val="00625664"/>
    <w:rsid w:val="006259D9"/>
    <w:rsid w:val="00625B14"/>
    <w:rsid w:val="00625CCA"/>
    <w:rsid w:val="006261B0"/>
    <w:rsid w:val="006261BC"/>
    <w:rsid w:val="006262A0"/>
    <w:rsid w:val="0062681D"/>
    <w:rsid w:val="00626DC5"/>
    <w:rsid w:val="0062726C"/>
    <w:rsid w:val="00627840"/>
    <w:rsid w:val="00627F02"/>
    <w:rsid w:val="00630223"/>
    <w:rsid w:val="0063023A"/>
    <w:rsid w:val="006305BB"/>
    <w:rsid w:val="00630717"/>
    <w:rsid w:val="00630AB5"/>
    <w:rsid w:val="00631351"/>
    <w:rsid w:val="006315D3"/>
    <w:rsid w:val="00631726"/>
    <w:rsid w:val="00631CF7"/>
    <w:rsid w:val="00631D46"/>
    <w:rsid w:val="00632028"/>
    <w:rsid w:val="006324E0"/>
    <w:rsid w:val="00632C57"/>
    <w:rsid w:val="0063307B"/>
    <w:rsid w:val="00633327"/>
    <w:rsid w:val="00633673"/>
    <w:rsid w:val="006336B4"/>
    <w:rsid w:val="00633A31"/>
    <w:rsid w:val="00633BFC"/>
    <w:rsid w:val="0063407F"/>
    <w:rsid w:val="0063418C"/>
    <w:rsid w:val="006342F7"/>
    <w:rsid w:val="006345F9"/>
    <w:rsid w:val="00634799"/>
    <w:rsid w:val="006350E3"/>
    <w:rsid w:val="006350EC"/>
    <w:rsid w:val="0063522B"/>
    <w:rsid w:val="006352E4"/>
    <w:rsid w:val="00635771"/>
    <w:rsid w:val="00635A97"/>
    <w:rsid w:val="00635AF8"/>
    <w:rsid w:val="00636534"/>
    <w:rsid w:val="00636597"/>
    <w:rsid w:val="0063699D"/>
    <w:rsid w:val="00636DA5"/>
    <w:rsid w:val="006370FA"/>
    <w:rsid w:val="0063747E"/>
    <w:rsid w:val="0063757C"/>
    <w:rsid w:val="006378C2"/>
    <w:rsid w:val="00637E1C"/>
    <w:rsid w:val="00637E66"/>
    <w:rsid w:val="00637E7F"/>
    <w:rsid w:val="00637E90"/>
    <w:rsid w:val="006400FE"/>
    <w:rsid w:val="0064051B"/>
    <w:rsid w:val="00640726"/>
    <w:rsid w:val="00640787"/>
    <w:rsid w:val="00640809"/>
    <w:rsid w:val="00640AFE"/>
    <w:rsid w:val="00640BEC"/>
    <w:rsid w:val="00640D1E"/>
    <w:rsid w:val="00641108"/>
    <w:rsid w:val="006415A6"/>
    <w:rsid w:val="006418DE"/>
    <w:rsid w:val="00641A4D"/>
    <w:rsid w:val="00642122"/>
    <w:rsid w:val="0064249C"/>
    <w:rsid w:val="006425B8"/>
    <w:rsid w:val="00642716"/>
    <w:rsid w:val="0064285E"/>
    <w:rsid w:val="006429EE"/>
    <w:rsid w:val="00642BD1"/>
    <w:rsid w:val="006430BD"/>
    <w:rsid w:val="00643500"/>
    <w:rsid w:val="006439AB"/>
    <w:rsid w:val="006445E5"/>
    <w:rsid w:val="006446C3"/>
    <w:rsid w:val="00644830"/>
    <w:rsid w:val="0064488C"/>
    <w:rsid w:val="00644D8D"/>
    <w:rsid w:val="00644DD0"/>
    <w:rsid w:val="00644E59"/>
    <w:rsid w:val="00645365"/>
    <w:rsid w:val="00645390"/>
    <w:rsid w:val="00645785"/>
    <w:rsid w:val="00645A36"/>
    <w:rsid w:val="00645B65"/>
    <w:rsid w:val="0064621B"/>
    <w:rsid w:val="0064667F"/>
    <w:rsid w:val="00647222"/>
    <w:rsid w:val="00647423"/>
    <w:rsid w:val="006477A1"/>
    <w:rsid w:val="00647928"/>
    <w:rsid w:val="00647B5F"/>
    <w:rsid w:val="00650029"/>
    <w:rsid w:val="00650089"/>
    <w:rsid w:val="0065036F"/>
    <w:rsid w:val="006506DD"/>
    <w:rsid w:val="00650740"/>
    <w:rsid w:val="00650D75"/>
    <w:rsid w:val="0065192C"/>
    <w:rsid w:val="006519A5"/>
    <w:rsid w:val="00651DA0"/>
    <w:rsid w:val="00651DAB"/>
    <w:rsid w:val="00651FA4"/>
    <w:rsid w:val="00652109"/>
    <w:rsid w:val="006521B7"/>
    <w:rsid w:val="006522F8"/>
    <w:rsid w:val="00652398"/>
    <w:rsid w:val="00652488"/>
    <w:rsid w:val="0065299B"/>
    <w:rsid w:val="00652E03"/>
    <w:rsid w:val="00653209"/>
    <w:rsid w:val="00653229"/>
    <w:rsid w:val="00653509"/>
    <w:rsid w:val="006537D6"/>
    <w:rsid w:val="006538B1"/>
    <w:rsid w:val="00653BBC"/>
    <w:rsid w:val="00653E85"/>
    <w:rsid w:val="00654066"/>
    <w:rsid w:val="006540A9"/>
    <w:rsid w:val="006541DF"/>
    <w:rsid w:val="0065423E"/>
    <w:rsid w:val="00654713"/>
    <w:rsid w:val="006548B5"/>
    <w:rsid w:val="00654995"/>
    <w:rsid w:val="00655082"/>
    <w:rsid w:val="00655302"/>
    <w:rsid w:val="00655484"/>
    <w:rsid w:val="00655B9F"/>
    <w:rsid w:val="00655BF3"/>
    <w:rsid w:val="00655C6A"/>
    <w:rsid w:val="00655E03"/>
    <w:rsid w:val="006561AF"/>
    <w:rsid w:val="00656576"/>
    <w:rsid w:val="00656ABE"/>
    <w:rsid w:val="00656CDA"/>
    <w:rsid w:val="00657178"/>
    <w:rsid w:val="006574A8"/>
    <w:rsid w:val="006578FE"/>
    <w:rsid w:val="00657F6F"/>
    <w:rsid w:val="00660212"/>
    <w:rsid w:val="00660789"/>
    <w:rsid w:val="0066098F"/>
    <w:rsid w:val="00660AB6"/>
    <w:rsid w:val="00660BB8"/>
    <w:rsid w:val="00660F32"/>
    <w:rsid w:val="00661367"/>
    <w:rsid w:val="00661924"/>
    <w:rsid w:val="00661AC8"/>
    <w:rsid w:val="00661CE2"/>
    <w:rsid w:val="006625FA"/>
    <w:rsid w:val="006626FD"/>
    <w:rsid w:val="006628E3"/>
    <w:rsid w:val="0066292B"/>
    <w:rsid w:val="00662A4F"/>
    <w:rsid w:val="00662E10"/>
    <w:rsid w:val="006631B9"/>
    <w:rsid w:val="0066375C"/>
    <w:rsid w:val="006639ED"/>
    <w:rsid w:val="00663A17"/>
    <w:rsid w:val="0066413B"/>
    <w:rsid w:val="00664436"/>
    <w:rsid w:val="00664502"/>
    <w:rsid w:val="00664656"/>
    <w:rsid w:val="0066479A"/>
    <w:rsid w:val="00664ABD"/>
    <w:rsid w:val="00664D13"/>
    <w:rsid w:val="00664D3E"/>
    <w:rsid w:val="00664D89"/>
    <w:rsid w:val="00665A75"/>
    <w:rsid w:val="006665A4"/>
    <w:rsid w:val="006671C5"/>
    <w:rsid w:val="00667773"/>
    <w:rsid w:val="006679B1"/>
    <w:rsid w:val="00667BCA"/>
    <w:rsid w:val="00667C98"/>
    <w:rsid w:val="006707EE"/>
    <w:rsid w:val="00670A9F"/>
    <w:rsid w:val="00670C6D"/>
    <w:rsid w:val="006712F0"/>
    <w:rsid w:val="00671312"/>
    <w:rsid w:val="00671793"/>
    <w:rsid w:val="006718EF"/>
    <w:rsid w:val="00671985"/>
    <w:rsid w:val="00672783"/>
    <w:rsid w:val="00672949"/>
    <w:rsid w:val="006729A6"/>
    <w:rsid w:val="00672FD5"/>
    <w:rsid w:val="006731A1"/>
    <w:rsid w:val="00673434"/>
    <w:rsid w:val="0067352F"/>
    <w:rsid w:val="00673BAC"/>
    <w:rsid w:val="00673C50"/>
    <w:rsid w:val="00674155"/>
    <w:rsid w:val="006745A5"/>
    <w:rsid w:val="00674B01"/>
    <w:rsid w:val="00674B9B"/>
    <w:rsid w:val="00674FC3"/>
    <w:rsid w:val="00674FDE"/>
    <w:rsid w:val="006756C7"/>
    <w:rsid w:val="0067580C"/>
    <w:rsid w:val="00675837"/>
    <w:rsid w:val="00675A46"/>
    <w:rsid w:val="00675BF3"/>
    <w:rsid w:val="00675DD0"/>
    <w:rsid w:val="0067609E"/>
    <w:rsid w:val="00676316"/>
    <w:rsid w:val="006764D5"/>
    <w:rsid w:val="006765C4"/>
    <w:rsid w:val="0067678D"/>
    <w:rsid w:val="00676817"/>
    <w:rsid w:val="0067693B"/>
    <w:rsid w:val="00676C95"/>
    <w:rsid w:val="00676D2D"/>
    <w:rsid w:val="00676DE7"/>
    <w:rsid w:val="00676FEA"/>
    <w:rsid w:val="0067727E"/>
    <w:rsid w:val="00677BF7"/>
    <w:rsid w:val="00677C84"/>
    <w:rsid w:val="00680184"/>
    <w:rsid w:val="006801BB"/>
    <w:rsid w:val="006801DA"/>
    <w:rsid w:val="00680330"/>
    <w:rsid w:val="00680AB1"/>
    <w:rsid w:val="00680C74"/>
    <w:rsid w:val="0068143A"/>
    <w:rsid w:val="0068147A"/>
    <w:rsid w:val="00681F51"/>
    <w:rsid w:val="006820EF"/>
    <w:rsid w:val="00682130"/>
    <w:rsid w:val="006822BC"/>
    <w:rsid w:val="006823DC"/>
    <w:rsid w:val="006823E4"/>
    <w:rsid w:val="0068243F"/>
    <w:rsid w:val="006828FF"/>
    <w:rsid w:val="00682AA8"/>
    <w:rsid w:val="00682ACE"/>
    <w:rsid w:val="00683144"/>
    <w:rsid w:val="00683A3E"/>
    <w:rsid w:val="00683A6E"/>
    <w:rsid w:val="00683AB4"/>
    <w:rsid w:val="00683E39"/>
    <w:rsid w:val="0068408F"/>
    <w:rsid w:val="00684152"/>
    <w:rsid w:val="006841E8"/>
    <w:rsid w:val="00684441"/>
    <w:rsid w:val="00685152"/>
    <w:rsid w:val="00685322"/>
    <w:rsid w:val="00685CC1"/>
    <w:rsid w:val="00685E0F"/>
    <w:rsid w:val="00685E6C"/>
    <w:rsid w:val="006862A4"/>
    <w:rsid w:val="006869AA"/>
    <w:rsid w:val="00686A99"/>
    <w:rsid w:val="00686CF5"/>
    <w:rsid w:val="00686FE4"/>
    <w:rsid w:val="00687237"/>
    <w:rsid w:val="00687823"/>
    <w:rsid w:val="00687AE0"/>
    <w:rsid w:val="00687B40"/>
    <w:rsid w:val="00687E9F"/>
    <w:rsid w:val="00690025"/>
    <w:rsid w:val="006901FE"/>
    <w:rsid w:val="006902DE"/>
    <w:rsid w:val="00690608"/>
    <w:rsid w:val="00690B07"/>
    <w:rsid w:val="0069108E"/>
    <w:rsid w:val="006914AC"/>
    <w:rsid w:val="006914BA"/>
    <w:rsid w:val="00691686"/>
    <w:rsid w:val="00691875"/>
    <w:rsid w:val="00691939"/>
    <w:rsid w:val="00691B58"/>
    <w:rsid w:val="0069227C"/>
    <w:rsid w:val="00693478"/>
    <w:rsid w:val="00693596"/>
    <w:rsid w:val="006937A1"/>
    <w:rsid w:val="006942B3"/>
    <w:rsid w:val="006945CE"/>
    <w:rsid w:val="00694D9A"/>
    <w:rsid w:val="00694ECA"/>
    <w:rsid w:val="00695090"/>
    <w:rsid w:val="006952C8"/>
    <w:rsid w:val="00695455"/>
    <w:rsid w:val="00695625"/>
    <w:rsid w:val="006956CB"/>
    <w:rsid w:val="00695A88"/>
    <w:rsid w:val="00695E40"/>
    <w:rsid w:val="00695F0A"/>
    <w:rsid w:val="00695F1E"/>
    <w:rsid w:val="006963B0"/>
    <w:rsid w:val="00696D5B"/>
    <w:rsid w:val="00697103"/>
    <w:rsid w:val="006972FB"/>
    <w:rsid w:val="00697353"/>
    <w:rsid w:val="006973C4"/>
    <w:rsid w:val="0069760C"/>
    <w:rsid w:val="00697976"/>
    <w:rsid w:val="006A0014"/>
    <w:rsid w:val="006A03FB"/>
    <w:rsid w:val="006A0431"/>
    <w:rsid w:val="006A06FE"/>
    <w:rsid w:val="006A084A"/>
    <w:rsid w:val="006A0B98"/>
    <w:rsid w:val="006A0BEE"/>
    <w:rsid w:val="006A100F"/>
    <w:rsid w:val="006A107F"/>
    <w:rsid w:val="006A137A"/>
    <w:rsid w:val="006A13D5"/>
    <w:rsid w:val="006A1530"/>
    <w:rsid w:val="006A1E2E"/>
    <w:rsid w:val="006A23FA"/>
    <w:rsid w:val="006A317F"/>
    <w:rsid w:val="006A3200"/>
    <w:rsid w:val="006A37FE"/>
    <w:rsid w:val="006A3D8B"/>
    <w:rsid w:val="006A4596"/>
    <w:rsid w:val="006A45D4"/>
    <w:rsid w:val="006A4A44"/>
    <w:rsid w:val="006A4B29"/>
    <w:rsid w:val="006A5090"/>
    <w:rsid w:val="006A5584"/>
    <w:rsid w:val="006A55B7"/>
    <w:rsid w:val="006A58D8"/>
    <w:rsid w:val="006A5C3E"/>
    <w:rsid w:val="006A5CEB"/>
    <w:rsid w:val="006A5F87"/>
    <w:rsid w:val="006A62B2"/>
    <w:rsid w:val="006A63C3"/>
    <w:rsid w:val="006A63F9"/>
    <w:rsid w:val="006A6625"/>
    <w:rsid w:val="006A67A4"/>
    <w:rsid w:val="006A687E"/>
    <w:rsid w:val="006A6F47"/>
    <w:rsid w:val="006A7049"/>
    <w:rsid w:val="006A7091"/>
    <w:rsid w:val="006A709C"/>
    <w:rsid w:val="006A747B"/>
    <w:rsid w:val="006A7617"/>
    <w:rsid w:val="006A764C"/>
    <w:rsid w:val="006A782E"/>
    <w:rsid w:val="006A78CA"/>
    <w:rsid w:val="006A7DF2"/>
    <w:rsid w:val="006B01A6"/>
    <w:rsid w:val="006B03F5"/>
    <w:rsid w:val="006B03FA"/>
    <w:rsid w:val="006B07DA"/>
    <w:rsid w:val="006B08AB"/>
    <w:rsid w:val="006B08EA"/>
    <w:rsid w:val="006B1041"/>
    <w:rsid w:val="006B139E"/>
    <w:rsid w:val="006B13AB"/>
    <w:rsid w:val="006B19BC"/>
    <w:rsid w:val="006B1D28"/>
    <w:rsid w:val="006B1F74"/>
    <w:rsid w:val="006B1FB2"/>
    <w:rsid w:val="006B25A5"/>
    <w:rsid w:val="006B2DDF"/>
    <w:rsid w:val="006B2F77"/>
    <w:rsid w:val="006B3322"/>
    <w:rsid w:val="006B34BE"/>
    <w:rsid w:val="006B383D"/>
    <w:rsid w:val="006B3F94"/>
    <w:rsid w:val="006B407B"/>
    <w:rsid w:val="006B4192"/>
    <w:rsid w:val="006B41E4"/>
    <w:rsid w:val="006B44F0"/>
    <w:rsid w:val="006B4780"/>
    <w:rsid w:val="006B47C9"/>
    <w:rsid w:val="006B486A"/>
    <w:rsid w:val="006B4B46"/>
    <w:rsid w:val="006B4BB5"/>
    <w:rsid w:val="006B4C88"/>
    <w:rsid w:val="006B4DEF"/>
    <w:rsid w:val="006B4E92"/>
    <w:rsid w:val="006B5DD8"/>
    <w:rsid w:val="006B6487"/>
    <w:rsid w:val="006B6693"/>
    <w:rsid w:val="006B6A7E"/>
    <w:rsid w:val="006B6B74"/>
    <w:rsid w:val="006B6CFF"/>
    <w:rsid w:val="006B70F3"/>
    <w:rsid w:val="006B720D"/>
    <w:rsid w:val="006B7628"/>
    <w:rsid w:val="006B79D4"/>
    <w:rsid w:val="006C0194"/>
    <w:rsid w:val="006C07E5"/>
    <w:rsid w:val="006C088B"/>
    <w:rsid w:val="006C090E"/>
    <w:rsid w:val="006C09E5"/>
    <w:rsid w:val="006C0C91"/>
    <w:rsid w:val="006C0E01"/>
    <w:rsid w:val="006C0E27"/>
    <w:rsid w:val="006C0EE9"/>
    <w:rsid w:val="006C1089"/>
    <w:rsid w:val="006C137F"/>
    <w:rsid w:val="006C139F"/>
    <w:rsid w:val="006C142A"/>
    <w:rsid w:val="006C188B"/>
    <w:rsid w:val="006C19D9"/>
    <w:rsid w:val="006C1A53"/>
    <w:rsid w:val="006C1E27"/>
    <w:rsid w:val="006C1EAD"/>
    <w:rsid w:val="006C22EB"/>
    <w:rsid w:val="006C249A"/>
    <w:rsid w:val="006C258C"/>
    <w:rsid w:val="006C27A3"/>
    <w:rsid w:val="006C2AB4"/>
    <w:rsid w:val="006C2CE8"/>
    <w:rsid w:val="006C31C5"/>
    <w:rsid w:val="006C3702"/>
    <w:rsid w:val="006C3869"/>
    <w:rsid w:val="006C387D"/>
    <w:rsid w:val="006C399D"/>
    <w:rsid w:val="006C3A7A"/>
    <w:rsid w:val="006C3B77"/>
    <w:rsid w:val="006C3E8E"/>
    <w:rsid w:val="006C4407"/>
    <w:rsid w:val="006C478C"/>
    <w:rsid w:val="006C4ACF"/>
    <w:rsid w:val="006C5168"/>
    <w:rsid w:val="006C52C6"/>
    <w:rsid w:val="006C5BC6"/>
    <w:rsid w:val="006C5DCE"/>
    <w:rsid w:val="006C5E70"/>
    <w:rsid w:val="006C5FF0"/>
    <w:rsid w:val="006C69A1"/>
    <w:rsid w:val="006C69C0"/>
    <w:rsid w:val="006C6A24"/>
    <w:rsid w:val="006C6AC8"/>
    <w:rsid w:val="006C6B25"/>
    <w:rsid w:val="006C712A"/>
    <w:rsid w:val="006C759B"/>
    <w:rsid w:val="006C77F9"/>
    <w:rsid w:val="006C7827"/>
    <w:rsid w:val="006C7FB9"/>
    <w:rsid w:val="006C7FEB"/>
    <w:rsid w:val="006D0037"/>
    <w:rsid w:val="006D010B"/>
    <w:rsid w:val="006D084E"/>
    <w:rsid w:val="006D0A78"/>
    <w:rsid w:val="006D0E2E"/>
    <w:rsid w:val="006D19BE"/>
    <w:rsid w:val="006D19E9"/>
    <w:rsid w:val="006D1C5D"/>
    <w:rsid w:val="006D203A"/>
    <w:rsid w:val="006D24CB"/>
    <w:rsid w:val="006D2859"/>
    <w:rsid w:val="006D2938"/>
    <w:rsid w:val="006D2D17"/>
    <w:rsid w:val="006D3097"/>
    <w:rsid w:val="006D3101"/>
    <w:rsid w:val="006D310C"/>
    <w:rsid w:val="006D34DB"/>
    <w:rsid w:val="006D354B"/>
    <w:rsid w:val="006D3841"/>
    <w:rsid w:val="006D406E"/>
    <w:rsid w:val="006D42F1"/>
    <w:rsid w:val="006D45F7"/>
    <w:rsid w:val="006D4660"/>
    <w:rsid w:val="006D4949"/>
    <w:rsid w:val="006D4A74"/>
    <w:rsid w:val="006D4F6A"/>
    <w:rsid w:val="006D53B0"/>
    <w:rsid w:val="006D549E"/>
    <w:rsid w:val="006D54D0"/>
    <w:rsid w:val="006D575A"/>
    <w:rsid w:val="006D595B"/>
    <w:rsid w:val="006D69AD"/>
    <w:rsid w:val="006D69F0"/>
    <w:rsid w:val="006D6D04"/>
    <w:rsid w:val="006D6DB4"/>
    <w:rsid w:val="006D730D"/>
    <w:rsid w:val="006D76E5"/>
    <w:rsid w:val="006D77FB"/>
    <w:rsid w:val="006E00FF"/>
    <w:rsid w:val="006E0716"/>
    <w:rsid w:val="006E0760"/>
    <w:rsid w:val="006E07D3"/>
    <w:rsid w:val="006E0AB7"/>
    <w:rsid w:val="006E0BA7"/>
    <w:rsid w:val="006E0CF8"/>
    <w:rsid w:val="006E113C"/>
    <w:rsid w:val="006E11B1"/>
    <w:rsid w:val="006E1506"/>
    <w:rsid w:val="006E16C0"/>
    <w:rsid w:val="006E16E1"/>
    <w:rsid w:val="006E1794"/>
    <w:rsid w:val="006E1A6F"/>
    <w:rsid w:val="006E20DE"/>
    <w:rsid w:val="006E2D1A"/>
    <w:rsid w:val="006E2DCA"/>
    <w:rsid w:val="006E3289"/>
    <w:rsid w:val="006E348F"/>
    <w:rsid w:val="006E3518"/>
    <w:rsid w:val="006E3871"/>
    <w:rsid w:val="006E3C70"/>
    <w:rsid w:val="006E4FC0"/>
    <w:rsid w:val="006E503C"/>
    <w:rsid w:val="006E5051"/>
    <w:rsid w:val="006E51F6"/>
    <w:rsid w:val="006E562A"/>
    <w:rsid w:val="006E5C78"/>
    <w:rsid w:val="006E5D81"/>
    <w:rsid w:val="006E6466"/>
    <w:rsid w:val="006E6732"/>
    <w:rsid w:val="006E7418"/>
    <w:rsid w:val="006E7424"/>
    <w:rsid w:val="006E7621"/>
    <w:rsid w:val="006E7888"/>
    <w:rsid w:val="006E7AAF"/>
    <w:rsid w:val="006E7D77"/>
    <w:rsid w:val="006F044D"/>
    <w:rsid w:val="006F065A"/>
    <w:rsid w:val="006F088B"/>
    <w:rsid w:val="006F0965"/>
    <w:rsid w:val="006F0B21"/>
    <w:rsid w:val="006F1685"/>
    <w:rsid w:val="006F1ADD"/>
    <w:rsid w:val="006F1FC2"/>
    <w:rsid w:val="006F2387"/>
    <w:rsid w:val="006F2A0D"/>
    <w:rsid w:val="006F2A11"/>
    <w:rsid w:val="006F2B9C"/>
    <w:rsid w:val="006F2DF0"/>
    <w:rsid w:val="006F2FB8"/>
    <w:rsid w:val="006F2FE1"/>
    <w:rsid w:val="006F408D"/>
    <w:rsid w:val="006F4182"/>
    <w:rsid w:val="006F4351"/>
    <w:rsid w:val="006F454A"/>
    <w:rsid w:val="006F4B7D"/>
    <w:rsid w:val="006F4C4C"/>
    <w:rsid w:val="006F50B1"/>
    <w:rsid w:val="006F50DC"/>
    <w:rsid w:val="006F556F"/>
    <w:rsid w:val="006F587E"/>
    <w:rsid w:val="006F610E"/>
    <w:rsid w:val="006F7447"/>
    <w:rsid w:val="006F7851"/>
    <w:rsid w:val="006F7AA4"/>
    <w:rsid w:val="00700026"/>
    <w:rsid w:val="007000BA"/>
    <w:rsid w:val="00700537"/>
    <w:rsid w:val="00700F01"/>
    <w:rsid w:val="0070107F"/>
    <w:rsid w:val="00701295"/>
    <w:rsid w:val="00701308"/>
    <w:rsid w:val="007013D7"/>
    <w:rsid w:val="00701452"/>
    <w:rsid w:val="007014A4"/>
    <w:rsid w:val="007018B4"/>
    <w:rsid w:val="007018D8"/>
    <w:rsid w:val="007019D2"/>
    <w:rsid w:val="00701A4A"/>
    <w:rsid w:val="007020A5"/>
    <w:rsid w:val="00702272"/>
    <w:rsid w:val="0070255E"/>
    <w:rsid w:val="00702AC3"/>
    <w:rsid w:val="00702B65"/>
    <w:rsid w:val="007030C5"/>
    <w:rsid w:val="0070320C"/>
    <w:rsid w:val="007032A4"/>
    <w:rsid w:val="00703831"/>
    <w:rsid w:val="0070384D"/>
    <w:rsid w:val="007039D1"/>
    <w:rsid w:val="00703A44"/>
    <w:rsid w:val="00703A55"/>
    <w:rsid w:val="00703E27"/>
    <w:rsid w:val="00704157"/>
    <w:rsid w:val="007041DD"/>
    <w:rsid w:val="00704402"/>
    <w:rsid w:val="00704CC0"/>
    <w:rsid w:val="0070524B"/>
    <w:rsid w:val="007059B1"/>
    <w:rsid w:val="0070631D"/>
    <w:rsid w:val="007064E4"/>
    <w:rsid w:val="007065A4"/>
    <w:rsid w:val="00706836"/>
    <w:rsid w:val="00706B3D"/>
    <w:rsid w:val="00706B3F"/>
    <w:rsid w:val="00706B4C"/>
    <w:rsid w:val="007074F9"/>
    <w:rsid w:val="00707749"/>
    <w:rsid w:val="0070784F"/>
    <w:rsid w:val="007079DB"/>
    <w:rsid w:val="00707B41"/>
    <w:rsid w:val="00707BB0"/>
    <w:rsid w:val="00707C2C"/>
    <w:rsid w:val="00707DE5"/>
    <w:rsid w:val="007101F5"/>
    <w:rsid w:val="00710718"/>
    <w:rsid w:val="007107CE"/>
    <w:rsid w:val="007107E8"/>
    <w:rsid w:val="007109C6"/>
    <w:rsid w:val="00710EEE"/>
    <w:rsid w:val="007111A4"/>
    <w:rsid w:val="00711383"/>
    <w:rsid w:val="00711393"/>
    <w:rsid w:val="00711430"/>
    <w:rsid w:val="007117F0"/>
    <w:rsid w:val="007117F6"/>
    <w:rsid w:val="0071191F"/>
    <w:rsid w:val="00711A92"/>
    <w:rsid w:val="00712297"/>
    <w:rsid w:val="00712375"/>
    <w:rsid w:val="007123CC"/>
    <w:rsid w:val="007124C5"/>
    <w:rsid w:val="0071255D"/>
    <w:rsid w:val="007125A3"/>
    <w:rsid w:val="0071289C"/>
    <w:rsid w:val="007132E7"/>
    <w:rsid w:val="00713945"/>
    <w:rsid w:val="00713C22"/>
    <w:rsid w:val="00714278"/>
    <w:rsid w:val="00714757"/>
    <w:rsid w:val="00714D3E"/>
    <w:rsid w:val="00715263"/>
    <w:rsid w:val="00715429"/>
    <w:rsid w:val="0071575A"/>
    <w:rsid w:val="007159D7"/>
    <w:rsid w:val="00715AF7"/>
    <w:rsid w:val="00715E0E"/>
    <w:rsid w:val="00715EA6"/>
    <w:rsid w:val="00715F78"/>
    <w:rsid w:val="0071662A"/>
    <w:rsid w:val="00716BC9"/>
    <w:rsid w:val="00716DC1"/>
    <w:rsid w:val="00716F9A"/>
    <w:rsid w:val="0071704C"/>
    <w:rsid w:val="007171DC"/>
    <w:rsid w:val="00717643"/>
    <w:rsid w:val="00717C3C"/>
    <w:rsid w:val="00717C59"/>
    <w:rsid w:val="00717CA3"/>
    <w:rsid w:val="00717CD0"/>
    <w:rsid w:val="00720400"/>
    <w:rsid w:val="00720B79"/>
    <w:rsid w:val="00720FA8"/>
    <w:rsid w:val="00721098"/>
    <w:rsid w:val="0072139D"/>
    <w:rsid w:val="007214A4"/>
    <w:rsid w:val="007216DF"/>
    <w:rsid w:val="0072195B"/>
    <w:rsid w:val="00721E4F"/>
    <w:rsid w:val="00722849"/>
    <w:rsid w:val="007229E5"/>
    <w:rsid w:val="00722B82"/>
    <w:rsid w:val="00722BDE"/>
    <w:rsid w:val="00722F80"/>
    <w:rsid w:val="007231A9"/>
    <w:rsid w:val="00723210"/>
    <w:rsid w:val="00723A76"/>
    <w:rsid w:val="00723C1F"/>
    <w:rsid w:val="00723C9C"/>
    <w:rsid w:val="00723E49"/>
    <w:rsid w:val="00723F17"/>
    <w:rsid w:val="007240DD"/>
    <w:rsid w:val="0072412B"/>
    <w:rsid w:val="007241D7"/>
    <w:rsid w:val="007241DB"/>
    <w:rsid w:val="00724280"/>
    <w:rsid w:val="007248CD"/>
    <w:rsid w:val="00724F70"/>
    <w:rsid w:val="0072540A"/>
    <w:rsid w:val="007259B6"/>
    <w:rsid w:val="00725B6C"/>
    <w:rsid w:val="00725D55"/>
    <w:rsid w:val="0072636C"/>
    <w:rsid w:val="00726A1C"/>
    <w:rsid w:val="00726B79"/>
    <w:rsid w:val="00726C30"/>
    <w:rsid w:val="00726C7A"/>
    <w:rsid w:val="00727173"/>
    <w:rsid w:val="00727565"/>
    <w:rsid w:val="007301C8"/>
    <w:rsid w:val="007304BC"/>
    <w:rsid w:val="00730517"/>
    <w:rsid w:val="007306F9"/>
    <w:rsid w:val="0073070E"/>
    <w:rsid w:val="00730B16"/>
    <w:rsid w:val="00730C27"/>
    <w:rsid w:val="00731057"/>
    <w:rsid w:val="0073115D"/>
    <w:rsid w:val="0073161E"/>
    <w:rsid w:val="0073169E"/>
    <w:rsid w:val="007316AA"/>
    <w:rsid w:val="00731825"/>
    <w:rsid w:val="00731A56"/>
    <w:rsid w:val="00731D28"/>
    <w:rsid w:val="007322C7"/>
    <w:rsid w:val="00732318"/>
    <w:rsid w:val="00732A3A"/>
    <w:rsid w:val="0073328A"/>
    <w:rsid w:val="0073328C"/>
    <w:rsid w:val="007332A6"/>
    <w:rsid w:val="007332D6"/>
    <w:rsid w:val="00733751"/>
    <w:rsid w:val="0073379E"/>
    <w:rsid w:val="00733B28"/>
    <w:rsid w:val="00733D10"/>
    <w:rsid w:val="007342B4"/>
    <w:rsid w:val="00734665"/>
    <w:rsid w:val="00734839"/>
    <w:rsid w:val="00734901"/>
    <w:rsid w:val="00734A34"/>
    <w:rsid w:val="00734B05"/>
    <w:rsid w:val="00734BBE"/>
    <w:rsid w:val="00734CB7"/>
    <w:rsid w:val="00734CFF"/>
    <w:rsid w:val="00734D2C"/>
    <w:rsid w:val="0073503D"/>
    <w:rsid w:val="007351B8"/>
    <w:rsid w:val="007351D1"/>
    <w:rsid w:val="00735996"/>
    <w:rsid w:val="00735B51"/>
    <w:rsid w:val="00735BC6"/>
    <w:rsid w:val="00736023"/>
    <w:rsid w:val="007360E7"/>
    <w:rsid w:val="00736307"/>
    <w:rsid w:val="00736744"/>
    <w:rsid w:val="00736A1D"/>
    <w:rsid w:val="00736B31"/>
    <w:rsid w:val="00737213"/>
    <w:rsid w:val="0073786F"/>
    <w:rsid w:val="00737A3E"/>
    <w:rsid w:val="00737B16"/>
    <w:rsid w:val="00737D53"/>
    <w:rsid w:val="00737E2B"/>
    <w:rsid w:val="0074041F"/>
    <w:rsid w:val="007404B2"/>
    <w:rsid w:val="0074064D"/>
    <w:rsid w:val="007406C6"/>
    <w:rsid w:val="00740C47"/>
    <w:rsid w:val="00741124"/>
    <w:rsid w:val="00741B92"/>
    <w:rsid w:val="00741F07"/>
    <w:rsid w:val="0074258A"/>
    <w:rsid w:val="00742666"/>
    <w:rsid w:val="007427E9"/>
    <w:rsid w:val="007428B4"/>
    <w:rsid w:val="00742B98"/>
    <w:rsid w:val="0074319A"/>
    <w:rsid w:val="0074393A"/>
    <w:rsid w:val="007439E2"/>
    <w:rsid w:val="0074405D"/>
    <w:rsid w:val="007441D7"/>
    <w:rsid w:val="0074432E"/>
    <w:rsid w:val="0074470C"/>
    <w:rsid w:val="00744744"/>
    <w:rsid w:val="0074484A"/>
    <w:rsid w:val="00744AEF"/>
    <w:rsid w:val="00744DE2"/>
    <w:rsid w:val="00744DF3"/>
    <w:rsid w:val="00744E06"/>
    <w:rsid w:val="00744F76"/>
    <w:rsid w:val="00744FEF"/>
    <w:rsid w:val="0074574B"/>
    <w:rsid w:val="00745F29"/>
    <w:rsid w:val="00745FDF"/>
    <w:rsid w:val="00746AEA"/>
    <w:rsid w:val="00746D3E"/>
    <w:rsid w:val="0074741F"/>
    <w:rsid w:val="0074764F"/>
    <w:rsid w:val="00747707"/>
    <w:rsid w:val="007478E4"/>
    <w:rsid w:val="00747B67"/>
    <w:rsid w:val="00747C8A"/>
    <w:rsid w:val="00750143"/>
    <w:rsid w:val="0075015F"/>
    <w:rsid w:val="0075019C"/>
    <w:rsid w:val="007502D1"/>
    <w:rsid w:val="00750916"/>
    <w:rsid w:val="00750B54"/>
    <w:rsid w:val="00750BC1"/>
    <w:rsid w:val="00750C5F"/>
    <w:rsid w:val="00750CAE"/>
    <w:rsid w:val="00750FF1"/>
    <w:rsid w:val="00752009"/>
    <w:rsid w:val="00752776"/>
    <w:rsid w:val="007529AB"/>
    <w:rsid w:val="00752A5E"/>
    <w:rsid w:val="00752F89"/>
    <w:rsid w:val="00752F99"/>
    <w:rsid w:val="00752FA9"/>
    <w:rsid w:val="00752FED"/>
    <w:rsid w:val="00753389"/>
    <w:rsid w:val="007533E4"/>
    <w:rsid w:val="007538B4"/>
    <w:rsid w:val="00753CC9"/>
    <w:rsid w:val="00753CFB"/>
    <w:rsid w:val="007541E6"/>
    <w:rsid w:val="00754251"/>
    <w:rsid w:val="007542E8"/>
    <w:rsid w:val="00754312"/>
    <w:rsid w:val="007543EC"/>
    <w:rsid w:val="007544F8"/>
    <w:rsid w:val="0075464F"/>
    <w:rsid w:val="00754974"/>
    <w:rsid w:val="00754AF0"/>
    <w:rsid w:val="00754CEF"/>
    <w:rsid w:val="00754FFD"/>
    <w:rsid w:val="007550A4"/>
    <w:rsid w:val="00755982"/>
    <w:rsid w:val="00755A22"/>
    <w:rsid w:val="00755A93"/>
    <w:rsid w:val="00755F30"/>
    <w:rsid w:val="00756157"/>
    <w:rsid w:val="007561FE"/>
    <w:rsid w:val="0075686F"/>
    <w:rsid w:val="00756A42"/>
    <w:rsid w:val="00756B0D"/>
    <w:rsid w:val="00756DB3"/>
    <w:rsid w:val="00756EE2"/>
    <w:rsid w:val="007572D4"/>
    <w:rsid w:val="007576FB"/>
    <w:rsid w:val="007579DF"/>
    <w:rsid w:val="00757C4C"/>
    <w:rsid w:val="00757EEA"/>
    <w:rsid w:val="0076038E"/>
    <w:rsid w:val="0076054B"/>
    <w:rsid w:val="00760825"/>
    <w:rsid w:val="00760E1B"/>
    <w:rsid w:val="00760EDD"/>
    <w:rsid w:val="00761141"/>
    <w:rsid w:val="00761209"/>
    <w:rsid w:val="00761283"/>
    <w:rsid w:val="0076179A"/>
    <w:rsid w:val="00762259"/>
    <w:rsid w:val="00762570"/>
    <w:rsid w:val="007626AC"/>
    <w:rsid w:val="00762746"/>
    <w:rsid w:val="007629BC"/>
    <w:rsid w:val="00762CFC"/>
    <w:rsid w:val="00763737"/>
    <w:rsid w:val="007639F8"/>
    <w:rsid w:val="00763D3E"/>
    <w:rsid w:val="00763DB0"/>
    <w:rsid w:val="00763E3D"/>
    <w:rsid w:val="00763F5E"/>
    <w:rsid w:val="00764337"/>
    <w:rsid w:val="0076474C"/>
    <w:rsid w:val="007649C8"/>
    <w:rsid w:val="00764C4B"/>
    <w:rsid w:val="00764D53"/>
    <w:rsid w:val="00764E1E"/>
    <w:rsid w:val="00764F77"/>
    <w:rsid w:val="007651D3"/>
    <w:rsid w:val="0076590D"/>
    <w:rsid w:val="00765CE7"/>
    <w:rsid w:val="0076616C"/>
    <w:rsid w:val="00766529"/>
    <w:rsid w:val="0076661E"/>
    <w:rsid w:val="00766BEF"/>
    <w:rsid w:val="00766DCD"/>
    <w:rsid w:val="00767519"/>
    <w:rsid w:val="00767B2B"/>
    <w:rsid w:val="0077011A"/>
    <w:rsid w:val="00770492"/>
    <w:rsid w:val="00770556"/>
    <w:rsid w:val="0077096A"/>
    <w:rsid w:val="00770DFA"/>
    <w:rsid w:val="00771173"/>
    <w:rsid w:val="007711CC"/>
    <w:rsid w:val="007712D4"/>
    <w:rsid w:val="00771790"/>
    <w:rsid w:val="007717D2"/>
    <w:rsid w:val="00771E41"/>
    <w:rsid w:val="007725D5"/>
    <w:rsid w:val="007725F8"/>
    <w:rsid w:val="00772D61"/>
    <w:rsid w:val="00772E2E"/>
    <w:rsid w:val="0077301E"/>
    <w:rsid w:val="007730BC"/>
    <w:rsid w:val="007733B9"/>
    <w:rsid w:val="0077356E"/>
    <w:rsid w:val="007736A9"/>
    <w:rsid w:val="00773975"/>
    <w:rsid w:val="007739FC"/>
    <w:rsid w:val="00773BAF"/>
    <w:rsid w:val="00773D10"/>
    <w:rsid w:val="00773E5A"/>
    <w:rsid w:val="007746EE"/>
    <w:rsid w:val="007749C4"/>
    <w:rsid w:val="00774E0B"/>
    <w:rsid w:val="00775651"/>
    <w:rsid w:val="007756BB"/>
    <w:rsid w:val="00775777"/>
    <w:rsid w:val="00775779"/>
    <w:rsid w:val="00775B37"/>
    <w:rsid w:val="00775E61"/>
    <w:rsid w:val="00776513"/>
    <w:rsid w:val="007765A6"/>
    <w:rsid w:val="00776639"/>
    <w:rsid w:val="00776655"/>
    <w:rsid w:val="0077719C"/>
    <w:rsid w:val="007772FA"/>
    <w:rsid w:val="007773AB"/>
    <w:rsid w:val="00777547"/>
    <w:rsid w:val="007775E3"/>
    <w:rsid w:val="00777617"/>
    <w:rsid w:val="00777713"/>
    <w:rsid w:val="00777789"/>
    <w:rsid w:val="00777AA5"/>
    <w:rsid w:val="00777BC0"/>
    <w:rsid w:val="00777C4E"/>
    <w:rsid w:val="007803D5"/>
    <w:rsid w:val="007803D6"/>
    <w:rsid w:val="0078052F"/>
    <w:rsid w:val="00780BA0"/>
    <w:rsid w:val="00780BE6"/>
    <w:rsid w:val="00780C05"/>
    <w:rsid w:val="0078136A"/>
    <w:rsid w:val="00781458"/>
    <w:rsid w:val="007817A8"/>
    <w:rsid w:val="0078194B"/>
    <w:rsid w:val="00781BF4"/>
    <w:rsid w:val="00781FBB"/>
    <w:rsid w:val="0078248F"/>
    <w:rsid w:val="0078250F"/>
    <w:rsid w:val="007828BD"/>
    <w:rsid w:val="00782C0C"/>
    <w:rsid w:val="00783206"/>
    <w:rsid w:val="007834AE"/>
    <w:rsid w:val="00783591"/>
    <w:rsid w:val="00783AC1"/>
    <w:rsid w:val="00783C20"/>
    <w:rsid w:val="007840AC"/>
    <w:rsid w:val="007843EA"/>
    <w:rsid w:val="00784546"/>
    <w:rsid w:val="0078458B"/>
    <w:rsid w:val="00784A00"/>
    <w:rsid w:val="00784D33"/>
    <w:rsid w:val="007857D4"/>
    <w:rsid w:val="00785837"/>
    <w:rsid w:val="00785F82"/>
    <w:rsid w:val="00786A13"/>
    <w:rsid w:val="00786CEE"/>
    <w:rsid w:val="00786DD7"/>
    <w:rsid w:val="00786E9A"/>
    <w:rsid w:val="00787493"/>
    <w:rsid w:val="007878CC"/>
    <w:rsid w:val="007879A0"/>
    <w:rsid w:val="007879E1"/>
    <w:rsid w:val="00787DAF"/>
    <w:rsid w:val="0079025D"/>
    <w:rsid w:val="007906ED"/>
    <w:rsid w:val="00790C25"/>
    <w:rsid w:val="00790D9A"/>
    <w:rsid w:val="007911A4"/>
    <w:rsid w:val="007916F8"/>
    <w:rsid w:val="00791AD0"/>
    <w:rsid w:val="007920DF"/>
    <w:rsid w:val="00792721"/>
    <w:rsid w:val="007927A7"/>
    <w:rsid w:val="0079292F"/>
    <w:rsid w:val="00792958"/>
    <w:rsid w:val="00792A0F"/>
    <w:rsid w:val="00792B33"/>
    <w:rsid w:val="007935A8"/>
    <w:rsid w:val="0079373F"/>
    <w:rsid w:val="00793BC6"/>
    <w:rsid w:val="00793F28"/>
    <w:rsid w:val="00793F98"/>
    <w:rsid w:val="00794358"/>
    <w:rsid w:val="0079453F"/>
    <w:rsid w:val="00794972"/>
    <w:rsid w:val="007949A0"/>
    <w:rsid w:val="00794AC4"/>
    <w:rsid w:val="00794FFD"/>
    <w:rsid w:val="0079534A"/>
    <w:rsid w:val="00795767"/>
    <w:rsid w:val="00795777"/>
    <w:rsid w:val="00795D29"/>
    <w:rsid w:val="007961F9"/>
    <w:rsid w:val="0079631A"/>
    <w:rsid w:val="007964AE"/>
    <w:rsid w:val="00796AD2"/>
    <w:rsid w:val="00796DBB"/>
    <w:rsid w:val="0079723A"/>
    <w:rsid w:val="007974F2"/>
    <w:rsid w:val="007977E6"/>
    <w:rsid w:val="007979BE"/>
    <w:rsid w:val="00797A53"/>
    <w:rsid w:val="007A002E"/>
    <w:rsid w:val="007A06A6"/>
    <w:rsid w:val="007A0A3A"/>
    <w:rsid w:val="007A0FAB"/>
    <w:rsid w:val="007A138A"/>
    <w:rsid w:val="007A15C9"/>
    <w:rsid w:val="007A15F2"/>
    <w:rsid w:val="007A1709"/>
    <w:rsid w:val="007A19B8"/>
    <w:rsid w:val="007A1C3F"/>
    <w:rsid w:val="007A2106"/>
    <w:rsid w:val="007A21BF"/>
    <w:rsid w:val="007A25CA"/>
    <w:rsid w:val="007A2604"/>
    <w:rsid w:val="007A2782"/>
    <w:rsid w:val="007A288D"/>
    <w:rsid w:val="007A29D4"/>
    <w:rsid w:val="007A2BBA"/>
    <w:rsid w:val="007A2E3E"/>
    <w:rsid w:val="007A32D8"/>
    <w:rsid w:val="007A3364"/>
    <w:rsid w:val="007A384E"/>
    <w:rsid w:val="007A3A98"/>
    <w:rsid w:val="007A3B2F"/>
    <w:rsid w:val="007A3CEE"/>
    <w:rsid w:val="007A433C"/>
    <w:rsid w:val="007A4383"/>
    <w:rsid w:val="007A4F08"/>
    <w:rsid w:val="007A5330"/>
    <w:rsid w:val="007A5511"/>
    <w:rsid w:val="007A5515"/>
    <w:rsid w:val="007A5DE9"/>
    <w:rsid w:val="007A5E3D"/>
    <w:rsid w:val="007A67B5"/>
    <w:rsid w:val="007A6FEC"/>
    <w:rsid w:val="007A7030"/>
    <w:rsid w:val="007A7628"/>
    <w:rsid w:val="007A7912"/>
    <w:rsid w:val="007A7A7B"/>
    <w:rsid w:val="007A7BA8"/>
    <w:rsid w:val="007B0790"/>
    <w:rsid w:val="007B0B69"/>
    <w:rsid w:val="007B10BD"/>
    <w:rsid w:val="007B10C6"/>
    <w:rsid w:val="007B137D"/>
    <w:rsid w:val="007B1DA9"/>
    <w:rsid w:val="007B1E5A"/>
    <w:rsid w:val="007B1F3B"/>
    <w:rsid w:val="007B2412"/>
    <w:rsid w:val="007B2540"/>
    <w:rsid w:val="007B2577"/>
    <w:rsid w:val="007B2621"/>
    <w:rsid w:val="007B347C"/>
    <w:rsid w:val="007B3911"/>
    <w:rsid w:val="007B3993"/>
    <w:rsid w:val="007B3D48"/>
    <w:rsid w:val="007B3E41"/>
    <w:rsid w:val="007B3EC9"/>
    <w:rsid w:val="007B432C"/>
    <w:rsid w:val="007B479B"/>
    <w:rsid w:val="007B4AA7"/>
    <w:rsid w:val="007B4B9E"/>
    <w:rsid w:val="007B4BAD"/>
    <w:rsid w:val="007B50BD"/>
    <w:rsid w:val="007B50E5"/>
    <w:rsid w:val="007B563B"/>
    <w:rsid w:val="007B5764"/>
    <w:rsid w:val="007B57D6"/>
    <w:rsid w:val="007B5E20"/>
    <w:rsid w:val="007B6489"/>
    <w:rsid w:val="007B6566"/>
    <w:rsid w:val="007B6A95"/>
    <w:rsid w:val="007B6DB9"/>
    <w:rsid w:val="007B6E56"/>
    <w:rsid w:val="007B6F91"/>
    <w:rsid w:val="007B71D0"/>
    <w:rsid w:val="007B7591"/>
    <w:rsid w:val="007B7655"/>
    <w:rsid w:val="007B78F9"/>
    <w:rsid w:val="007B7AE6"/>
    <w:rsid w:val="007B7C09"/>
    <w:rsid w:val="007B7E79"/>
    <w:rsid w:val="007C0235"/>
    <w:rsid w:val="007C02F2"/>
    <w:rsid w:val="007C0663"/>
    <w:rsid w:val="007C0821"/>
    <w:rsid w:val="007C08DB"/>
    <w:rsid w:val="007C0B7A"/>
    <w:rsid w:val="007C2174"/>
    <w:rsid w:val="007C23D9"/>
    <w:rsid w:val="007C2629"/>
    <w:rsid w:val="007C27C9"/>
    <w:rsid w:val="007C2BA7"/>
    <w:rsid w:val="007C2CA3"/>
    <w:rsid w:val="007C2F56"/>
    <w:rsid w:val="007C2FE3"/>
    <w:rsid w:val="007C32BE"/>
    <w:rsid w:val="007C34E2"/>
    <w:rsid w:val="007C3815"/>
    <w:rsid w:val="007C393E"/>
    <w:rsid w:val="007C397F"/>
    <w:rsid w:val="007C3AEA"/>
    <w:rsid w:val="007C3D4E"/>
    <w:rsid w:val="007C3F62"/>
    <w:rsid w:val="007C4314"/>
    <w:rsid w:val="007C44FE"/>
    <w:rsid w:val="007C4511"/>
    <w:rsid w:val="007C4788"/>
    <w:rsid w:val="007C4874"/>
    <w:rsid w:val="007C4AF5"/>
    <w:rsid w:val="007C4D13"/>
    <w:rsid w:val="007C4EE3"/>
    <w:rsid w:val="007C5097"/>
    <w:rsid w:val="007C5483"/>
    <w:rsid w:val="007C553A"/>
    <w:rsid w:val="007C5869"/>
    <w:rsid w:val="007C59EE"/>
    <w:rsid w:val="007C5E07"/>
    <w:rsid w:val="007C5E31"/>
    <w:rsid w:val="007C63AB"/>
    <w:rsid w:val="007C66D8"/>
    <w:rsid w:val="007C6BC7"/>
    <w:rsid w:val="007C6D8D"/>
    <w:rsid w:val="007C7164"/>
    <w:rsid w:val="007C7763"/>
    <w:rsid w:val="007C7CED"/>
    <w:rsid w:val="007D01F1"/>
    <w:rsid w:val="007D093F"/>
    <w:rsid w:val="007D0BF0"/>
    <w:rsid w:val="007D0D4F"/>
    <w:rsid w:val="007D0F89"/>
    <w:rsid w:val="007D13FA"/>
    <w:rsid w:val="007D1476"/>
    <w:rsid w:val="007D1600"/>
    <w:rsid w:val="007D1601"/>
    <w:rsid w:val="007D1B95"/>
    <w:rsid w:val="007D1CAF"/>
    <w:rsid w:val="007D27B0"/>
    <w:rsid w:val="007D2F1E"/>
    <w:rsid w:val="007D33FC"/>
    <w:rsid w:val="007D34D2"/>
    <w:rsid w:val="007D3CCE"/>
    <w:rsid w:val="007D414E"/>
    <w:rsid w:val="007D4658"/>
    <w:rsid w:val="007D4FEA"/>
    <w:rsid w:val="007D5566"/>
    <w:rsid w:val="007D5A68"/>
    <w:rsid w:val="007D5EAB"/>
    <w:rsid w:val="007D6018"/>
    <w:rsid w:val="007D62BF"/>
    <w:rsid w:val="007D663C"/>
    <w:rsid w:val="007D66A0"/>
    <w:rsid w:val="007D67C2"/>
    <w:rsid w:val="007D742A"/>
    <w:rsid w:val="007D7546"/>
    <w:rsid w:val="007D76E1"/>
    <w:rsid w:val="007D7CEA"/>
    <w:rsid w:val="007E086B"/>
    <w:rsid w:val="007E0A01"/>
    <w:rsid w:val="007E0FF2"/>
    <w:rsid w:val="007E1191"/>
    <w:rsid w:val="007E1225"/>
    <w:rsid w:val="007E1573"/>
    <w:rsid w:val="007E172A"/>
    <w:rsid w:val="007E194B"/>
    <w:rsid w:val="007E1E0F"/>
    <w:rsid w:val="007E220C"/>
    <w:rsid w:val="007E3208"/>
    <w:rsid w:val="007E327A"/>
    <w:rsid w:val="007E3696"/>
    <w:rsid w:val="007E386F"/>
    <w:rsid w:val="007E3A2C"/>
    <w:rsid w:val="007E418F"/>
    <w:rsid w:val="007E429B"/>
    <w:rsid w:val="007E457F"/>
    <w:rsid w:val="007E47F9"/>
    <w:rsid w:val="007E4FD6"/>
    <w:rsid w:val="007E50B4"/>
    <w:rsid w:val="007E56E1"/>
    <w:rsid w:val="007E5781"/>
    <w:rsid w:val="007E5E4E"/>
    <w:rsid w:val="007E6390"/>
    <w:rsid w:val="007E65ED"/>
    <w:rsid w:val="007E6686"/>
    <w:rsid w:val="007E6761"/>
    <w:rsid w:val="007E6C74"/>
    <w:rsid w:val="007E6F6C"/>
    <w:rsid w:val="007E7475"/>
    <w:rsid w:val="007E7573"/>
    <w:rsid w:val="007E7866"/>
    <w:rsid w:val="007E789C"/>
    <w:rsid w:val="007F01C6"/>
    <w:rsid w:val="007F05EA"/>
    <w:rsid w:val="007F138C"/>
    <w:rsid w:val="007F1834"/>
    <w:rsid w:val="007F1B35"/>
    <w:rsid w:val="007F1D2A"/>
    <w:rsid w:val="007F1D88"/>
    <w:rsid w:val="007F1E98"/>
    <w:rsid w:val="007F204E"/>
    <w:rsid w:val="007F212B"/>
    <w:rsid w:val="007F2280"/>
    <w:rsid w:val="007F2588"/>
    <w:rsid w:val="007F27C9"/>
    <w:rsid w:val="007F2E9D"/>
    <w:rsid w:val="007F306C"/>
    <w:rsid w:val="007F3911"/>
    <w:rsid w:val="007F40B2"/>
    <w:rsid w:val="007F42A6"/>
    <w:rsid w:val="007F4E24"/>
    <w:rsid w:val="007F5395"/>
    <w:rsid w:val="007F54B0"/>
    <w:rsid w:val="007F5607"/>
    <w:rsid w:val="007F59CD"/>
    <w:rsid w:val="007F5D70"/>
    <w:rsid w:val="007F60A0"/>
    <w:rsid w:val="007F60DD"/>
    <w:rsid w:val="007F6156"/>
    <w:rsid w:val="007F630D"/>
    <w:rsid w:val="007F69AC"/>
    <w:rsid w:val="007F69BD"/>
    <w:rsid w:val="007F6F7B"/>
    <w:rsid w:val="007F7123"/>
    <w:rsid w:val="007F7349"/>
    <w:rsid w:val="007F76E6"/>
    <w:rsid w:val="007F7823"/>
    <w:rsid w:val="007F7B5C"/>
    <w:rsid w:val="007F7C9A"/>
    <w:rsid w:val="0080015A"/>
    <w:rsid w:val="00800585"/>
    <w:rsid w:val="008009CD"/>
    <w:rsid w:val="00800B3D"/>
    <w:rsid w:val="00801095"/>
    <w:rsid w:val="00801137"/>
    <w:rsid w:val="00801255"/>
    <w:rsid w:val="008017CA"/>
    <w:rsid w:val="00801880"/>
    <w:rsid w:val="00801B5A"/>
    <w:rsid w:val="00801F11"/>
    <w:rsid w:val="008020E2"/>
    <w:rsid w:val="0080251E"/>
    <w:rsid w:val="0080281A"/>
    <w:rsid w:val="008028BE"/>
    <w:rsid w:val="00802995"/>
    <w:rsid w:val="00802DA1"/>
    <w:rsid w:val="00802FB9"/>
    <w:rsid w:val="00803710"/>
    <w:rsid w:val="008037A2"/>
    <w:rsid w:val="008037BB"/>
    <w:rsid w:val="00803928"/>
    <w:rsid w:val="00803A48"/>
    <w:rsid w:val="00803B46"/>
    <w:rsid w:val="00804054"/>
    <w:rsid w:val="0080409B"/>
    <w:rsid w:val="0080414F"/>
    <w:rsid w:val="00804227"/>
    <w:rsid w:val="0080435C"/>
    <w:rsid w:val="00804494"/>
    <w:rsid w:val="008047B3"/>
    <w:rsid w:val="00804A87"/>
    <w:rsid w:val="00804AF7"/>
    <w:rsid w:val="00804CC4"/>
    <w:rsid w:val="00804D40"/>
    <w:rsid w:val="008050D9"/>
    <w:rsid w:val="00805216"/>
    <w:rsid w:val="0080533A"/>
    <w:rsid w:val="008057C4"/>
    <w:rsid w:val="00805D5E"/>
    <w:rsid w:val="00806155"/>
    <w:rsid w:val="008062B3"/>
    <w:rsid w:val="008062FF"/>
    <w:rsid w:val="008067F0"/>
    <w:rsid w:val="0080686D"/>
    <w:rsid w:val="00806C22"/>
    <w:rsid w:val="00806FA2"/>
    <w:rsid w:val="0080780A"/>
    <w:rsid w:val="00810024"/>
    <w:rsid w:val="008108D9"/>
    <w:rsid w:val="008108FA"/>
    <w:rsid w:val="00810A54"/>
    <w:rsid w:val="00810ADC"/>
    <w:rsid w:val="00810B44"/>
    <w:rsid w:val="00810E65"/>
    <w:rsid w:val="008113A9"/>
    <w:rsid w:val="0081141C"/>
    <w:rsid w:val="00811557"/>
    <w:rsid w:val="00811634"/>
    <w:rsid w:val="00811C1A"/>
    <w:rsid w:val="00812FB8"/>
    <w:rsid w:val="00813141"/>
    <w:rsid w:val="008133BE"/>
    <w:rsid w:val="008137D1"/>
    <w:rsid w:val="00813C76"/>
    <w:rsid w:val="00813E8A"/>
    <w:rsid w:val="00813E8B"/>
    <w:rsid w:val="00813F87"/>
    <w:rsid w:val="008144A8"/>
    <w:rsid w:val="00814988"/>
    <w:rsid w:val="00814B1F"/>
    <w:rsid w:val="00814CFC"/>
    <w:rsid w:val="008152D0"/>
    <w:rsid w:val="0081544C"/>
    <w:rsid w:val="00815596"/>
    <w:rsid w:val="00815724"/>
    <w:rsid w:val="00815BD4"/>
    <w:rsid w:val="00815C99"/>
    <w:rsid w:val="00815FA5"/>
    <w:rsid w:val="0081600F"/>
    <w:rsid w:val="00816385"/>
    <w:rsid w:val="00816407"/>
    <w:rsid w:val="00816452"/>
    <w:rsid w:val="008164AB"/>
    <w:rsid w:val="00816A82"/>
    <w:rsid w:val="00816AFB"/>
    <w:rsid w:val="00816CE1"/>
    <w:rsid w:val="00816E50"/>
    <w:rsid w:val="008172AD"/>
    <w:rsid w:val="008173B2"/>
    <w:rsid w:val="00817543"/>
    <w:rsid w:val="0081759A"/>
    <w:rsid w:val="008175D6"/>
    <w:rsid w:val="00817920"/>
    <w:rsid w:val="00817956"/>
    <w:rsid w:val="00817AAC"/>
    <w:rsid w:val="00817AEF"/>
    <w:rsid w:val="00817D89"/>
    <w:rsid w:val="0082006A"/>
    <w:rsid w:val="0082009A"/>
    <w:rsid w:val="00820194"/>
    <w:rsid w:val="00820683"/>
    <w:rsid w:val="00820703"/>
    <w:rsid w:val="0082076F"/>
    <w:rsid w:val="00820A25"/>
    <w:rsid w:val="00820BF2"/>
    <w:rsid w:val="00820D64"/>
    <w:rsid w:val="008210EA"/>
    <w:rsid w:val="008215A5"/>
    <w:rsid w:val="008217D5"/>
    <w:rsid w:val="0082248B"/>
    <w:rsid w:val="00822615"/>
    <w:rsid w:val="00822644"/>
    <w:rsid w:val="00822A42"/>
    <w:rsid w:val="00822CCC"/>
    <w:rsid w:val="00822E65"/>
    <w:rsid w:val="00822ECA"/>
    <w:rsid w:val="00823200"/>
    <w:rsid w:val="0082327F"/>
    <w:rsid w:val="0082339C"/>
    <w:rsid w:val="008234D2"/>
    <w:rsid w:val="0082381A"/>
    <w:rsid w:val="008243CB"/>
    <w:rsid w:val="00824423"/>
    <w:rsid w:val="00824554"/>
    <w:rsid w:val="00824851"/>
    <w:rsid w:val="00824959"/>
    <w:rsid w:val="00824A6A"/>
    <w:rsid w:val="00824C4E"/>
    <w:rsid w:val="00824FC4"/>
    <w:rsid w:val="008250A3"/>
    <w:rsid w:val="00825163"/>
    <w:rsid w:val="008252E8"/>
    <w:rsid w:val="0082538A"/>
    <w:rsid w:val="0082546E"/>
    <w:rsid w:val="0082551F"/>
    <w:rsid w:val="00825969"/>
    <w:rsid w:val="008259F4"/>
    <w:rsid w:val="00825AC1"/>
    <w:rsid w:val="00825BFC"/>
    <w:rsid w:val="00825D9B"/>
    <w:rsid w:val="008262EE"/>
    <w:rsid w:val="008263E6"/>
    <w:rsid w:val="00826670"/>
    <w:rsid w:val="00826DBF"/>
    <w:rsid w:val="00826F52"/>
    <w:rsid w:val="008271F0"/>
    <w:rsid w:val="0082746D"/>
    <w:rsid w:val="00827488"/>
    <w:rsid w:val="00827548"/>
    <w:rsid w:val="00827764"/>
    <w:rsid w:val="008278D0"/>
    <w:rsid w:val="00827E08"/>
    <w:rsid w:val="008301AA"/>
    <w:rsid w:val="00830377"/>
    <w:rsid w:val="008304EE"/>
    <w:rsid w:val="00830871"/>
    <w:rsid w:val="00830964"/>
    <w:rsid w:val="00830FDF"/>
    <w:rsid w:val="00831720"/>
    <w:rsid w:val="008318D0"/>
    <w:rsid w:val="008319F7"/>
    <w:rsid w:val="008321A2"/>
    <w:rsid w:val="008322D4"/>
    <w:rsid w:val="00832BDE"/>
    <w:rsid w:val="00832CB8"/>
    <w:rsid w:val="0083333F"/>
    <w:rsid w:val="0083335B"/>
    <w:rsid w:val="008333E2"/>
    <w:rsid w:val="0083349A"/>
    <w:rsid w:val="00833758"/>
    <w:rsid w:val="00833FEF"/>
    <w:rsid w:val="00834559"/>
    <w:rsid w:val="0083466F"/>
    <w:rsid w:val="00834FAB"/>
    <w:rsid w:val="008354A4"/>
    <w:rsid w:val="008354DB"/>
    <w:rsid w:val="008360EF"/>
    <w:rsid w:val="0083690F"/>
    <w:rsid w:val="00836A41"/>
    <w:rsid w:val="00836CDF"/>
    <w:rsid w:val="00836E3C"/>
    <w:rsid w:val="00836FEB"/>
    <w:rsid w:val="00837157"/>
    <w:rsid w:val="008378A6"/>
    <w:rsid w:val="008379E8"/>
    <w:rsid w:val="00837BE3"/>
    <w:rsid w:val="00837FE4"/>
    <w:rsid w:val="00840132"/>
    <w:rsid w:val="008403A4"/>
    <w:rsid w:val="008404F8"/>
    <w:rsid w:val="008406C7"/>
    <w:rsid w:val="008409A7"/>
    <w:rsid w:val="00840D64"/>
    <w:rsid w:val="00840ECB"/>
    <w:rsid w:val="00840EEE"/>
    <w:rsid w:val="00840F76"/>
    <w:rsid w:val="00840FC0"/>
    <w:rsid w:val="00841495"/>
    <w:rsid w:val="008418E9"/>
    <w:rsid w:val="00841D91"/>
    <w:rsid w:val="00842ECB"/>
    <w:rsid w:val="00842FAE"/>
    <w:rsid w:val="008431C7"/>
    <w:rsid w:val="00843541"/>
    <w:rsid w:val="0084374E"/>
    <w:rsid w:val="008437A6"/>
    <w:rsid w:val="008438B6"/>
    <w:rsid w:val="008438C7"/>
    <w:rsid w:val="00843B34"/>
    <w:rsid w:val="0084430F"/>
    <w:rsid w:val="00844773"/>
    <w:rsid w:val="00844EB0"/>
    <w:rsid w:val="00844F59"/>
    <w:rsid w:val="0084508B"/>
    <w:rsid w:val="008451B7"/>
    <w:rsid w:val="00845574"/>
    <w:rsid w:val="008458F7"/>
    <w:rsid w:val="00845EE3"/>
    <w:rsid w:val="00846055"/>
    <w:rsid w:val="0084667C"/>
    <w:rsid w:val="00846AF0"/>
    <w:rsid w:val="00846BAF"/>
    <w:rsid w:val="00846FDA"/>
    <w:rsid w:val="008470C3"/>
    <w:rsid w:val="00847143"/>
    <w:rsid w:val="00847152"/>
    <w:rsid w:val="008471AB"/>
    <w:rsid w:val="00847FBA"/>
    <w:rsid w:val="008500C2"/>
    <w:rsid w:val="00850262"/>
    <w:rsid w:val="008509A1"/>
    <w:rsid w:val="008514D3"/>
    <w:rsid w:val="00851638"/>
    <w:rsid w:val="00851936"/>
    <w:rsid w:val="00851EAE"/>
    <w:rsid w:val="00851FFE"/>
    <w:rsid w:val="008521C0"/>
    <w:rsid w:val="00852245"/>
    <w:rsid w:val="008526C8"/>
    <w:rsid w:val="008529E0"/>
    <w:rsid w:val="00852F41"/>
    <w:rsid w:val="00853678"/>
    <w:rsid w:val="00853BD7"/>
    <w:rsid w:val="00853D33"/>
    <w:rsid w:val="00853FA3"/>
    <w:rsid w:val="00854444"/>
    <w:rsid w:val="00854D06"/>
    <w:rsid w:val="00854D83"/>
    <w:rsid w:val="00854ED3"/>
    <w:rsid w:val="00855062"/>
    <w:rsid w:val="008554C4"/>
    <w:rsid w:val="008558F1"/>
    <w:rsid w:val="00855939"/>
    <w:rsid w:val="00855FC0"/>
    <w:rsid w:val="008562B2"/>
    <w:rsid w:val="00856B27"/>
    <w:rsid w:val="00856E02"/>
    <w:rsid w:val="008570DE"/>
    <w:rsid w:val="00857846"/>
    <w:rsid w:val="008579B5"/>
    <w:rsid w:val="00857B68"/>
    <w:rsid w:val="008600E9"/>
    <w:rsid w:val="00860368"/>
    <w:rsid w:val="008604D9"/>
    <w:rsid w:val="0086068B"/>
    <w:rsid w:val="008608B1"/>
    <w:rsid w:val="00860DB2"/>
    <w:rsid w:val="00860F0C"/>
    <w:rsid w:val="008617B6"/>
    <w:rsid w:val="00861933"/>
    <w:rsid w:val="00861AA7"/>
    <w:rsid w:val="0086203C"/>
    <w:rsid w:val="00862348"/>
    <w:rsid w:val="0086262E"/>
    <w:rsid w:val="008627AB"/>
    <w:rsid w:val="00862BF4"/>
    <w:rsid w:val="00862D5C"/>
    <w:rsid w:val="008632E7"/>
    <w:rsid w:val="008633A8"/>
    <w:rsid w:val="00863B32"/>
    <w:rsid w:val="00863F96"/>
    <w:rsid w:val="00864B79"/>
    <w:rsid w:val="00864F38"/>
    <w:rsid w:val="008650EB"/>
    <w:rsid w:val="008657F3"/>
    <w:rsid w:val="0086584A"/>
    <w:rsid w:val="00865C87"/>
    <w:rsid w:val="00865CD2"/>
    <w:rsid w:val="00865DB0"/>
    <w:rsid w:val="00865FDC"/>
    <w:rsid w:val="00865FFB"/>
    <w:rsid w:val="008660DA"/>
    <w:rsid w:val="008660F7"/>
    <w:rsid w:val="00866362"/>
    <w:rsid w:val="008665A1"/>
    <w:rsid w:val="00866C41"/>
    <w:rsid w:val="00867C69"/>
    <w:rsid w:val="00867C71"/>
    <w:rsid w:val="00870238"/>
    <w:rsid w:val="008704D0"/>
    <w:rsid w:val="00870573"/>
    <w:rsid w:val="00870877"/>
    <w:rsid w:val="00870DE4"/>
    <w:rsid w:val="00870F05"/>
    <w:rsid w:val="008711FE"/>
    <w:rsid w:val="00871399"/>
    <w:rsid w:val="008715D2"/>
    <w:rsid w:val="00871C78"/>
    <w:rsid w:val="0087212F"/>
    <w:rsid w:val="00872254"/>
    <w:rsid w:val="00872374"/>
    <w:rsid w:val="008723BC"/>
    <w:rsid w:val="00872576"/>
    <w:rsid w:val="0087264F"/>
    <w:rsid w:val="00872E8A"/>
    <w:rsid w:val="0087336E"/>
    <w:rsid w:val="00873840"/>
    <w:rsid w:val="008738DA"/>
    <w:rsid w:val="00873DB6"/>
    <w:rsid w:val="00873DC7"/>
    <w:rsid w:val="00874089"/>
    <w:rsid w:val="00874568"/>
    <w:rsid w:val="00874774"/>
    <w:rsid w:val="0087494D"/>
    <w:rsid w:val="0087514C"/>
    <w:rsid w:val="008751B4"/>
    <w:rsid w:val="00875464"/>
    <w:rsid w:val="008755CB"/>
    <w:rsid w:val="00875898"/>
    <w:rsid w:val="0087592C"/>
    <w:rsid w:val="00875EF3"/>
    <w:rsid w:val="008760FF"/>
    <w:rsid w:val="008763BE"/>
    <w:rsid w:val="0087663D"/>
    <w:rsid w:val="008766F0"/>
    <w:rsid w:val="00876925"/>
    <w:rsid w:val="00876FDA"/>
    <w:rsid w:val="00877C24"/>
    <w:rsid w:val="00877E10"/>
    <w:rsid w:val="00880550"/>
    <w:rsid w:val="00880CDE"/>
    <w:rsid w:val="00880D27"/>
    <w:rsid w:val="0088143F"/>
    <w:rsid w:val="00881647"/>
    <w:rsid w:val="00881AF2"/>
    <w:rsid w:val="00881CF5"/>
    <w:rsid w:val="00881DD1"/>
    <w:rsid w:val="00881F2A"/>
    <w:rsid w:val="00882080"/>
    <w:rsid w:val="008821CD"/>
    <w:rsid w:val="0088274B"/>
    <w:rsid w:val="00882823"/>
    <w:rsid w:val="00882CCE"/>
    <w:rsid w:val="0088323B"/>
    <w:rsid w:val="008832CC"/>
    <w:rsid w:val="008837F6"/>
    <w:rsid w:val="00883E9B"/>
    <w:rsid w:val="008841CE"/>
    <w:rsid w:val="008847D5"/>
    <w:rsid w:val="00884B10"/>
    <w:rsid w:val="00884DDD"/>
    <w:rsid w:val="00884EA2"/>
    <w:rsid w:val="00884EDE"/>
    <w:rsid w:val="00884F5A"/>
    <w:rsid w:val="008852B8"/>
    <w:rsid w:val="008852FA"/>
    <w:rsid w:val="0088584C"/>
    <w:rsid w:val="00885A23"/>
    <w:rsid w:val="00885C2D"/>
    <w:rsid w:val="00885C61"/>
    <w:rsid w:val="008864CA"/>
    <w:rsid w:val="00886602"/>
    <w:rsid w:val="00886636"/>
    <w:rsid w:val="008868B6"/>
    <w:rsid w:val="008868DE"/>
    <w:rsid w:val="00886D8E"/>
    <w:rsid w:val="008870A5"/>
    <w:rsid w:val="008874C6"/>
    <w:rsid w:val="00887562"/>
    <w:rsid w:val="00887583"/>
    <w:rsid w:val="0088758F"/>
    <w:rsid w:val="0088782B"/>
    <w:rsid w:val="0088788C"/>
    <w:rsid w:val="008879C1"/>
    <w:rsid w:val="00887B7E"/>
    <w:rsid w:val="00887D67"/>
    <w:rsid w:val="00890641"/>
    <w:rsid w:val="008907C6"/>
    <w:rsid w:val="00890909"/>
    <w:rsid w:val="00890988"/>
    <w:rsid w:val="00890C36"/>
    <w:rsid w:val="00891C9C"/>
    <w:rsid w:val="00892733"/>
    <w:rsid w:val="00892908"/>
    <w:rsid w:val="00892A22"/>
    <w:rsid w:val="00892B3E"/>
    <w:rsid w:val="00893481"/>
    <w:rsid w:val="00893699"/>
    <w:rsid w:val="00893864"/>
    <w:rsid w:val="008940D9"/>
    <w:rsid w:val="008947CD"/>
    <w:rsid w:val="008949F6"/>
    <w:rsid w:val="00894A50"/>
    <w:rsid w:val="00894C8A"/>
    <w:rsid w:val="00894E9D"/>
    <w:rsid w:val="00894ED1"/>
    <w:rsid w:val="00894FB0"/>
    <w:rsid w:val="00895A2D"/>
    <w:rsid w:val="00895D5B"/>
    <w:rsid w:val="00896407"/>
    <w:rsid w:val="0089643F"/>
    <w:rsid w:val="00896723"/>
    <w:rsid w:val="008968A3"/>
    <w:rsid w:val="00896EF6"/>
    <w:rsid w:val="008973B4"/>
    <w:rsid w:val="00897700"/>
    <w:rsid w:val="0089797A"/>
    <w:rsid w:val="00897C42"/>
    <w:rsid w:val="00897ED6"/>
    <w:rsid w:val="00897F59"/>
    <w:rsid w:val="008A04CC"/>
    <w:rsid w:val="008A09F6"/>
    <w:rsid w:val="008A0B05"/>
    <w:rsid w:val="008A0E75"/>
    <w:rsid w:val="008A0F68"/>
    <w:rsid w:val="008A100E"/>
    <w:rsid w:val="008A14BB"/>
    <w:rsid w:val="008A17B8"/>
    <w:rsid w:val="008A1FCC"/>
    <w:rsid w:val="008A2284"/>
    <w:rsid w:val="008A22AF"/>
    <w:rsid w:val="008A2705"/>
    <w:rsid w:val="008A2819"/>
    <w:rsid w:val="008A2A88"/>
    <w:rsid w:val="008A2F62"/>
    <w:rsid w:val="008A31EF"/>
    <w:rsid w:val="008A3837"/>
    <w:rsid w:val="008A39CB"/>
    <w:rsid w:val="008A3F6E"/>
    <w:rsid w:val="008A45C4"/>
    <w:rsid w:val="008A480C"/>
    <w:rsid w:val="008A4B0C"/>
    <w:rsid w:val="008A502C"/>
    <w:rsid w:val="008A5195"/>
    <w:rsid w:val="008A55A7"/>
    <w:rsid w:val="008A58AA"/>
    <w:rsid w:val="008A6147"/>
    <w:rsid w:val="008A64B7"/>
    <w:rsid w:val="008A6767"/>
    <w:rsid w:val="008A680C"/>
    <w:rsid w:val="008A6C99"/>
    <w:rsid w:val="008A6D85"/>
    <w:rsid w:val="008A6ECE"/>
    <w:rsid w:val="008A6F8A"/>
    <w:rsid w:val="008A72F1"/>
    <w:rsid w:val="008A748F"/>
    <w:rsid w:val="008A74AC"/>
    <w:rsid w:val="008B0517"/>
    <w:rsid w:val="008B0E18"/>
    <w:rsid w:val="008B1D58"/>
    <w:rsid w:val="008B1E85"/>
    <w:rsid w:val="008B2032"/>
    <w:rsid w:val="008B217A"/>
    <w:rsid w:val="008B21E3"/>
    <w:rsid w:val="008B25A6"/>
    <w:rsid w:val="008B26D6"/>
    <w:rsid w:val="008B29E7"/>
    <w:rsid w:val="008B2BBE"/>
    <w:rsid w:val="008B2D74"/>
    <w:rsid w:val="008B3467"/>
    <w:rsid w:val="008B3616"/>
    <w:rsid w:val="008B3636"/>
    <w:rsid w:val="008B36D9"/>
    <w:rsid w:val="008B3C01"/>
    <w:rsid w:val="008B41C4"/>
    <w:rsid w:val="008B42E0"/>
    <w:rsid w:val="008B4666"/>
    <w:rsid w:val="008B496B"/>
    <w:rsid w:val="008B4A5B"/>
    <w:rsid w:val="008B4ADE"/>
    <w:rsid w:val="008B4CAC"/>
    <w:rsid w:val="008B5032"/>
    <w:rsid w:val="008B5988"/>
    <w:rsid w:val="008B5D99"/>
    <w:rsid w:val="008B600D"/>
    <w:rsid w:val="008B6076"/>
    <w:rsid w:val="008B6344"/>
    <w:rsid w:val="008B6891"/>
    <w:rsid w:val="008B6E74"/>
    <w:rsid w:val="008B70DD"/>
    <w:rsid w:val="008B72FE"/>
    <w:rsid w:val="008B7347"/>
    <w:rsid w:val="008B7760"/>
    <w:rsid w:val="008B7AC8"/>
    <w:rsid w:val="008B7B59"/>
    <w:rsid w:val="008B7D87"/>
    <w:rsid w:val="008C018D"/>
    <w:rsid w:val="008C0856"/>
    <w:rsid w:val="008C0C88"/>
    <w:rsid w:val="008C0D75"/>
    <w:rsid w:val="008C1336"/>
    <w:rsid w:val="008C13D2"/>
    <w:rsid w:val="008C1804"/>
    <w:rsid w:val="008C1848"/>
    <w:rsid w:val="008C1B11"/>
    <w:rsid w:val="008C1D39"/>
    <w:rsid w:val="008C2145"/>
    <w:rsid w:val="008C2DFD"/>
    <w:rsid w:val="008C3442"/>
    <w:rsid w:val="008C36BD"/>
    <w:rsid w:val="008C3C4A"/>
    <w:rsid w:val="008C402E"/>
    <w:rsid w:val="008C4343"/>
    <w:rsid w:val="008C47B6"/>
    <w:rsid w:val="008C4842"/>
    <w:rsid w:val="008C48E4"/>
    <w:rsid w:val="008C4CC4"/>
    <w:rsid w:val="008C50C1"/>
    <w:rsid w:val="008C5385"/>
    <w:rsid w:val="008C5A60"/>
    <w:rsid w:val="008C5C75"/>
    <w:rsid w:val="008C5E75"/>
    <w:rsid w:val="008C602B"/>
    <w:rsid w:val="008C65C6"/>
    <w:rsid w:val="008C69E4"/>
    <w:rsid w:val="008C6EDA"/>
    <w:rsid w:val="008C7259"/>
    <w:rsid w:val="008C73EF"/>
    <w:rsid w:val="008C79AE"/>
    <w:rsid w:val="008C7CDF"/>
    <w:rsid w:val="008C7DCD"/>
    <w:rsid w:val="008C7EB3"/>
    <w:rsid w:val="008C7F8E"/>
    <w:rsid w:val="008C7F8F"/>
    <w:rsid w:val="008C7FCC"/>
    <w:rsid w:val="008D0679"/>
    <w:rsid w:val="008D0755"/>
    <w:rsid w:val="008D0786"/>
    <w:rsid w:val="008D0910"/>
    <w:rsid w:val="008D0ABC"/>
    <w:rsid w:val="008D0AF9"/>
    <w:rsid w:val="008D0DEE"/>
    <w:rsid w:val="008D1013"/>
    <w:rsid w:val="008D1113"/>
    <w:rsid w:val="008D1289"/>
    <w:rsid w:val="008D150E"/>
    <w:rsid w:val="008D1592"/>
    <w:rsid w:val="008D15C0"/>
    <w:rsid w:val="008D161E"/>
    <w:rsid w:val="008D1F45"/>
    <w:rsid w:val="008D1FFA"/>
    <w:rsid w:val="008D2144"/>
    <w:rsid w:val="008D2184"/>
    <w:rsid w:val="008D2200"/>
    <w:rsid w:val="008D2645"/>
    <w:rsid w:val="008D2988"/>
    <w:rsid w:val="008D2C1E"/>
    <w:rsid w:val="008D33E1"/>
    <w:rsid w:val="008D3739"/>
    <w:rsid w:val="008D3D9E"/>
    <w:rsid w:val="008D4105"/>
    <w:rsid w:val="008D41B4"/>
    <w:rsid w:val="008D41C0"/>
    <w:rsid w:val="008D45F2"/>
    <w:rsid w:val="008D4760"/>
    <w:rsid w:val="008D4814"/>
    <w:rsid w:val="008D4BE0"/>
    <w:rsid w:val="008D506A"/>
    <w:rsid w:val="008D52E9"/>
    <w:rsid w:val="008D59B9"/>
    <w:rsid w:val="008D5B93"/>
    <w:rsid w:val="008D61CF"/>
    <w:rsid w:val="008D683C"/>
    <w:rsid w:val="008D6AB0"/>
    <w:rsid w:val="008D6C6A"/>
    <w:rsid w:val="008D7118"/>
    <w:rsid w:val="008D7262"/>
    <w:rsid w:val="008D728D"/>
    <w:rsid w:val="008D7292"/>
    <w:rsid w:val="008D7730"/>
    <w:rsid w:val="008D798A"/>
    <w:rsid w:val="008D79C8"/>
    <w:rsid w:val="008D7B51"/>
    <w:rsid w:val="008D7EFD"/>
    <w:rsid w:val="008D7F7D"/>
    <w:rsid w:val="008E0075"/>
    <w:rsid w:val="008E04A2"/>
    <w:rsid w:val="008E0542"/>
    <w:rsid w:val="008E0A00"/>
    <w:rsid w:val="008E0D88"/>
    <w:rsid w:val="008E1B9F"/>
    <w:rsid w:val="008E1E4D"/>
    <w:rsid w:val="008E2114"/>
    <w:rsid w:val="008E2208"/>
    <w:rsid w:val="008E23C1"/>
    <w:rsid w:val="008E2932"/>
    <w:rsid w:val="008E2BB9"/>
    <w:rsid w:val="008E2C87"/>
    <w:rsid w:val="008E2F1F"/>
    <w:rsid w:val="008E33A1"/>
    <w:rsid w:val="008E33AB"/>
    <w:rsid w:val="008E35D3"/>
    <w:rsid w:val="008E371B"/>
    <w:rsid w:val="008E37B4"/>
    <w:rsid w:val="008E386B"/>
    <w:rsid w:val="008E3A7C"/>
    <w:rsid w:val="008E3AA7"/>
    <w:rsid w:val="008E3D83"/>
    <w:rsid w:val="008E43F1"/>
    <w:rsid w:val="008E449C"/>
    <w:rsid w:val="008E44B9"/>
    <w:rsid w:val="008E44EF"/>
    <w:rsid w:val="008E455A"/>
    <w:rsid w:val="008E5106"/>
    <w:rsid w:val="008E5159"/>
    <w:rsid w:val="008E57AF"/>
    <w:rsid w:val="008E5D69"/>
    <w:rsid w:val="008E5FBC"/>
    <w:rsid w:val="008E637C"/>
    <w:rsid w:val="008E64B0"/>
    <w:rsid w:val="008E6792"/>
    <w:rsid w:val="008E6904"/>
    <w:rsid w:val="008E6AF1"/>
    <w:rsid w:val="008E6B5C"/>
    <w:rsid w:val="008E6C1C"/>
    <w:rsid w:val="008E6D93"/>
    <w:rsid w:val="008E701F"/>
    <w:rsid w:val="008E75F4"/>
    <w:rsid w:val="008E78DC"/>
    <w:rsid w:val="008E7BA8"/>
    <w:rsid w:val="008E7C1C"/>
    <w:rsid w:val="008E7D25"/>
    <w:rsid w:val="008F0083"/>
    <w:rsid w:val="008F0194"/>
    <w:rsid w:val="008F03AC"/>
    <w:rsid w:val="008F0738"/>
    <w:rsid w:val="008F0B05"/>
    <w:rsid w:val="008F0D81"/>
    <w:rsid w:val="008F146B"/>
    <w:rsid w:val="008F17EF"/>
    <w:rsid w:val="008F194B"/>
    <w:rsid w:val="008F234E"/>
    <w:rsid w:val="008F23CD"/>
    <w:rsid w:val="008F2A25"/>
    <w:rsid w:val="008F2C18"/>
    <w:rsid w:val="008F376E"/>
    <w:rsid w:val="008F3B36"/>
    <w:rsid w:val="008F3B7F"/>
    <w:rsid w:val="008F460B"/>
    <w:rsid w:val="008F460F"/>
    <w:rsid w:val="008F47C0"/>
    <w:rsid w:val="008F4A4F"/>
    <w:rsid w:val="008F4CDD"/>
    <w:rsid w:val="008F4DA3"/>
    <w:rsid w:val="008F4DE7"/>
    <w:rsid w:val="008F5371"/>
    <w:rsid w:val="008F53D3"/>
    <w:rsid w:val="008F586B"/>
    <w:rsid w:val="008F5896"/>
    <w:rsid w:val="008F58C2"/>
    <w:rsid w:val="008F5CF2"/>
    <w:rsid w:val="008F5E8E"/>
    <w:rsid w:val="008F5F42"/>
    <w:rsid w:val="008F6147"/>
    <w:rsid w:val="008F61CD"/>
    <w:rsid w:val="008F6323"/>
    <w:rsid w:val="008F6730"/>
    <w:rsid w:val="008F68BB"/>
    <w:rsid w:val="008F69FD"/>
    <w:rsid w:val="008F6A5C"/>
    <w:rsid w:val="008F6BFD"/>
    <w:rsid w:val="008F6FB1"/>
    <w:rsid w:val="008F72B2"/>
    <w:rsid w:val="008F7323"/>
    <w:rsid w:val="008F764E"/>
    <w:rsid w:val="008F7DF4"/>
    <w:rsid w:val="0090021F"/>
    <w:rsid w:val="009002BC"/>
    <w:rsid w:val="00900EE9"/>
    <w:rsid w:val="009013E3"/>
    <w:rsid w:val="009026FB"/>
    <w:rsid w:val="009029D0"/>
    <w:rsid w:val="00902DD6"/>
    <w:rsid w:val="00902F1A"/>
    <w:rsid w:val="00903005"/>
    <w:rsid w:val="00903271"/>
    <w:rsid w:val="00903720"/>
    <w:rsid w:val="0090385F"/>
    <w:rsid w:val="00903A48"/>
    <w:rsid w:val="00903D05"/>
    <w:rsid w:val="00904059"/>
    <w:rsid w:val="0090414E"/>
    <w:rsid w:val="00904395"/>
    <w:rsid w:val="009043C0"/>
    <w:rsid w:val="0090468E"/>
    <w:rsid w:val="00904A0B"/>
    <w:rsid w:val="0090544D"/>
    <w:rsid w:val="00905529"/>
    <w:rsid w:val="009058B1"/>
    <w:rsid w:val="0090594E"/>
    <w:rsid w:val="00905C27"/>
    <w:rsid w:val="00905F16"/>
    <w:rsid w:val="00906050"/>
    <w:rsid w:val="00906300"/>
    <w:rsid w:val="009063DD"/>
    <w:rsid w:val="00906745"/>
    <w:rsid w:val="0090687E"/>
    <w:rsid w:val="00906D19"/>
    <w:rsid w:val="00906D8A"/>
    <w:rsid w:val="00906F30"/>
    <w:rsid w:val="00907376"/>
    <w:rsid w:val="009074B4"/>
    <w:rsid w:val="009074E8"/>
    <w:rsid w:val="009077EF"/>
    <w:rsid w:val="00907D98"/>
    <w:rsid w:val="00910263"/>
    <w:rsid w:val="00910451"/>
    <w:rsid w:val="0091049C"/>
    <w:rsid w:val="009108F6"/>
    <w:rsid w:val="00910DD3"/>
    <w:rsid w:val="0091111C"/>
    <w:rsid w:val="009111B3"/>
    <w:rsid w:val="009117E0"/>
    <w:rsid w:val="00911835"/>
    <w:rsid w:val="0091185C"/>
    <w:rsid w:val="00911B42"/>
    <w:rsid w:val="00911CE9"/>
    <w:rsid w:val="009127BD"/>
    <w:rsid w:val="00912929"/>
    <w:rsid w:val="00912B4C"/>
    <w:rsid w:val="00912BAF"/>
    <w:rsid w:val="00912CD1"/>
    <w:rsid w:val="00912FCD"/>
    <w:rsid w:val="0091309E"/>
    <w:rsid w:val="0091347A"/>
    <w:rsid w:val="00913497"/>
    <w:rsid w:val="00913781"/>
    <w:rsid w:val="00913BA4"/>
    <w:rsid w:val="0091448D"/>
    <w:rsid w:val="0091477B"/>
    <w:rsid w:val="009149CE"/>
    <w:rsid w:val="00915258"/>
    <w:rsid w:val="009154B3"/>
    <w:rsid w:val="00915ECD"/>
    <w:rsid w:val="0091619A"/>
    <w:rsid w:val="009162DC"/>
    <w:rsid w:val="00916AF9"/>
    <w:rsid w:val="00916BFC"/>
    <w:rsid w:val="00916DB2"/>
    <w:rsid w:val="0091730D"/>
    <w:rsid w:val="00917702"/>
    <w:rsid w:val="00917C2B"/>
    <w:rsid w:val="00917EF0"/>
    <w:rsid w:val="0092013A"/>
    <w:rsid w:val="00920159"/>
    <w:rsid w:val="00920362"/>
    <w:rsid w:val="009206FA"/>
    <w:rsid w:val="00920DED"/>
    <w:rsid w:val="009210B0"/>
    <w:rsid w:val="009210E4"/>
    <w:rsid w:val="00921168"/>
    <w:rsid w:val="009211F2"/>
    <w:rsid w:val="009218EC"/>
    <w:rsid w:val="00921C4D"/>
    <w:rsid w:val="00921C9A"/>
    <w:rsid w:val="00921CF7"/>
    <w:rsid w:val="00921D1B"/>
    <w:rsid w:val="00921FA3"/>
    <w:rsid w:val="00922291"/>
    <w:rsid w:val="00922497"/>
    <w:rsid w:val="00922D97"/>
    <w:rsid w:val="00922F9D"/>
    <w:rsid w:val="009233AD"/>
    <w:rsid w:val="00923461"/>
    <w:rsid w:val="0092392D"/>
    <w:rsid w:val="00923E67"/>
    <w:rsid w:val="0092424D"/>
    <w:rsid w:val="009248B5"/>
    <w:rsid w:val="00924C1B"/>
    <w:rsid w:val="00924D25"/>
    <w:rsid w:val="009250A3"/>
    <w:rsid w:val="009251B6"/>
    <w:rsid w:val="009256CB"/>
    <w:rsid w:val="00925722"/>
    <w:rsid w:val="0092572C"/>
    <w:rsid w:val="009258A2"/>
    <w:rsid w:val="00925A02"/>
    <w:rsid w:val="00925A55"/>
    <w:rsid w:val="00925ECB"/>
    <w:rsid w:val="0092623E"/>
    <w:rsid w:val="00926473"/>
    <w:rsid w:val="00926551"/>
    <w:rsid w:val="00926921"/>
    <w:rsid w:val="00926CC7"/>
    <w:rsid w:val="00926FE7"/>
    <w:rsid w:val="00926FE8"/>
    <w:rsid w:val="00927085"/>
    <w:rsid w:val="00927694"/>
    <w:rsid w:val="00927695"/>
    <w:rsid w:val="009278ED"/>
    <w:rsid w:val="00927999"/>
    <w:rsid w:val="009279C7"/>
    <w:rsid w:val="00927BC9"/>
    <w:rsid w:val="0093032F"/>
    <w:rsid w:val="0093049A"/>
    <w:rsid w:val="009308ED"/>
    <w:rsid w:val="00930A16"/>
    <w:rsid w:val="00930ADB"/>
    <w:rsid w:val="00930B5D"/>
    <w:rsid w:val="00930B73"/>
    <w:rsid w:val="00930D31"/>
    <w:rsid w:val="0093102E"/>
    <w:rsid w:val="00931144"/>
    <w:rsid w:val="009312E9"/>
    <w:rsid w:val="00931B30"/>
    <w:rsid w:val="00931B93"/>
    <w:rsid w:val="00931D3D"/>
    <w:rsid w:val="00931F5A"/>
    <w:rsid w:val="00932169"/>
    <w:rsid w:val="0093284C"/>
    <w:rsid w:val="00932B9A"/>
    <w:rsid w:val="00932D8A"/>
    <w:rsid w:val="00932E62"/>
    <w:rsid w:val="0093338B"/>
    <w:rsid w:val="0093345C"/>
    <w:rsid w:val="00933A02"/>
    <w:rsid w:val="009346FC"/>
    <w:rsid w:val="00934763"/>
    <w:rsid w:val="00934986"/>
    <w:rsid w:val="00934DCF"/>
    <w:rsid w:val="00934EBA"/>
    <w:rsid w:val="00935495"/>
    <w:rsid w:val="00935557"/>
    <w:rsid w:val="00935A78"/>
    <w:rsid w:val="0093626D"/>
    <w:rsid w:val="0093632E"/>
    <w:rsid w:val="00936452"/>
    <w:rsid w:val="00936892"/>
    <w:rsid w:val="00936A52"/>
    <w:rsid w:val="00936E61"/>
    <w:rsid w:val="0093763E"/>
    <w:rsid w:val="00937BC9"/>
    <w:rsid w:val="00937C54"/>
    <w:rsid w:val="00937EB0"/>
    <w:rsid w:val="00937FFE"/>
    <w:rsid w:val="009401C0"/>
    <w:rsid w:val="009404F9"/>
    <w:rsid w:val="00940DEC"/>
    <w:rsid w:val="00940F98"/>
    <w:rsid w:val="009410A6"/>
    <w:rsid w:val="00941161"/>
    <w:rsid w:val="009414F1"/>
    <w:rsid w:val="009417BA"/>
    <w:rsid w:val="00941CAD"/>
    <w:rsid w:val="009421AB"/>
    <w:rsid w:val="00942256"/>
    <w:rsid w:val="00942452"/>
    <w:rsid w:val="00942725"/>
    <w:rsid w:val="009429B3"/>
    <w:rsid w:val="00942A0F"/>
    <w:rsid w:val="00942FC1"/>
    <w:rsid w:val="00943018"/>
    <w:rsid w:val="00943567"/>
    <w:rsid w:val="00943BA0"/>
    <w:rsid w:val="00944145"/>
    <w:rsid w:val="009441BE"/>
    <w:rsid w:val="009441F8"/>
    <w:rsid w:val="009445BD"/>
    <w:rsid w:val="009447E3"/>
    <w:rsid w:val="00944885"/>
    <w:rsid w:val="009448A2"/>
    <w:rsid w:val="00944CE9"/>
    <w:rsid w:val="00944D2A"/>
    <w:rsid w:val="00944D41"/>
    <w:rsid w:val="00944E31"/>
    <w:rsid w:val="00944E80"/>
    <w:rsid w:val="009456D3"/>
    <w:rsid w:val="00946103"/>
    <w:rsid w:val="00946999"/>
    <w:rsid w:val="00946A59"/>
    <w:rsid w:val="0094784E"/>
    <w:rsid w:val="00947A1B"/>
    <w:rsid w:val="00947A52"/>
    <w:rsid w:val="00947A88"/>
    <w:rsid w:val="00947FA0"/>
    <w:rsid w:val="00950564"/>
    <w:rsid w:val="0095092D"/>
    <w:rsid w:val="00950AD9"/>
    <w:rsid w:val="00951A00"/>
    <w:rsid w:val="00952157"/>
    <w:rsid w:val="00952523"/>
    <w:rsid w:val="009528D9"/>
    <w:rsid w:val="00952900"/>
    <w:rsid w:val="00952DAC"/>
    <w:rsid w:val="00952E12"/>
    <w:rsid w:val="009536B8"/>
    <w:rsid w:val="0095371A"/>
    <w:rsid w:val="0095385C"/>
    <w:rsid w:val="0095386B"/>
    <w:rsid w:val="00953A89"/>
    <w:rsid w:val="00953DB3"/>
    <w:rsid w:val="00954428"/>
    <w:rsid w:val="009544A4"/>
    <w:rsid w:val="00954566"/>
    <w:rsid w:val="00954A87"/>
    <w:rsid w:val="00954B78"/>
    <w:rsid w:val="00955180"/>
    <w:rsid w:val="00955615"/>
    <w:rsid w:val="00955B3A"/>
    <w:rsid w:val="00955E4A"/>
    <w:rsid w:val="00956554"/>
    <w:rsid w:val="00956687"/>
    <w:rsid w:val="009567A3"/>
    <w:rsid w:val="00956C5D"/>
    <w:rsid w:val="00956D2C"/>
    <w:rsid w:val="00957241"/>
    <w:rsid w:val="00957A8E"/>
    <w:rsid w:val="00957BD8"/>
    <w:rsid w:val="009601B9"/>
    <w:rsid w:val="00960268"/>
    <w:rsid w:val="0096046E"/>
    <w:rsid w:val="009606C8"/>
    <w:rsid w:val="00960AEE"/>
    <w:rsid w:val="00961188"/>
    <w:rsid w:val="0096135A"/>
    <w:rsid w:val="009617AF"/>
    <w:rsid w:val="009618E6"/>
    <w:rsid w:val="009619AF"/>
    <w:rsid w:val="00961FCC"/>
    <w:rsid w:val="009627BB"/>
    <w:rsid w:val="009627E6"/>
    <w:rsid w:val="00962B51"/>
    <w:rsid w:val="00962CF1"/>
    <w:rsid w:val="0096345C"/>
    <w:rsid w:val="009637C0"/>
    <w:rsid w:val="009638A6"/>
    <w:rsid w:val="00963BA6"/>
    <w:rsid w:val="00963BF8"/>
    <w:rsid w:val="00963DBC"/>
    <w:rsid w:val="00963F2E"/>
    <w:rsid w:val="0096418E"/>
    <w:rsid w:val="00964758"/>
    <w:rsid w:val="00964B23"/>
    <w:rsid w:val="00964B5F"/>
    <w:rsid w:val="00964E1A"/>
    <w:rsid w:val="00965556"/>
    <w:rsid w:val="00965634"/>
    <w:rsid w:val="00965CBB"/>
    <w:rsid w:val="00965D20"/>
    <w:rsid w:val="00965D6B"/>
    <w:rsid w:val="0096649A"/>
    <w:rsid w:val="009664F0"/>
    <w:rsid w:val="00966B63"/>
    <w:rsid w:val="00966C8C"/>
    <w:rsid w:val="00967405"/>
    <w:rsid w:val="0096772C"/>
    <w:rsid w:val="009677AD"/>
    <w:rsid w:val="00967CE2"/>
    <w:rsid w:val="00970365"/>
    <w:rsid w:val="00970638"/>
    <w:rsid w:val="009706AD"/>
    <w:rsid w:val="00970910"/>
    <w:rsid w:val="00970B42"/>
    <w:rsid w:val="00970F15"/>
    <w:rsid w:val="00971061"/>
    <w:rsid w:val="00971521"/>
    <w:rsid w:val="0097169F"/>
    <w:rsid w:val="009717F2"/>
    <w:rsid w:val="0097191F"/>
    <w:rsid w:val="009719CC"/>
    <w:rsid w:val="00971A1C"/>
    <w:rsid w:val="00971F49"/>
    <w:rsid w:val="009724B2"/>
    <w:rsid w:val="00972508"/>
    <w:rsid w:val="0097287D"/>
    <w:rsid w:val="00972919"/>
    <w:rsid w:val="00972A74"/>
    <w:rsid w:val="0097311E"/>
    <w:rsid w:val="0097385F"/>
    <w:rsid w:val="00973B91"/>
    <w:rsid w:val="00973FFF"/>
    <w:rsid w:val="0097410B"/>
    <w:rsid w:val="009743F6"/>
    <w:rsid w:val="0097464B"/>
    <w:rsid w:val="00974937"/>
    <w:rsid w:val="00974B8D"/>
    <w:rsid w:val="00974C9D"/>
    <w:rsid w:val="00974E1A"/>
    <w:rsid w:val="00974E25"/>
    <w:rsid w:val="009750FF"/>
    <w:rsid w:val="00975351"/>
    <w:rsid w:val="00975407"/>
    <w:rsid w:val="009756DD"/>
    <w:rsid w:val="00975737"/>
    <w:rsid w:val="009759D2"/>
    <w:rsid w:val="00975B76"/>
    <w:rsid w:val="00975D02"/>
    <w:rsid w:val="009760F7"/>
    <w:rsid w:val="00976C01"/>
    <w:rsid w:val="00976D5A"/>
    <w:rsid w:val="00976D9F"/>
    <w:rsid w:val="00976DAD"/>
    <w:rsid w:val="00976FE1"/>
    <w:rsid w:val="0097717D"/>
    <w:rsid w:val="00977332"/>
    <w:rsid w:val="00977497"/>
    <w:rsid w:val="009775DE"/>
    <w:rsid w:val="00977A39"/>
    <w:rsid w:val="00980515"/>
    <w:rsid w:val="00980629"/>
    <w:rsid w:val="00980A16"/>
    <w:rsid w:val="00980D9C"/>
    <w:rsid w:val="00980DC8"/>
    <w:rsid w:val="00980DE0"/>
    <w:rsid w:val="00980F8A"/>
    <w:rsid w:val="009810C2"/>
    <w:rsid w:val="00981666"/>
    <w:rsid w:val="00981763"/>
    <w:rsid w:val="00981F71"/>
    <w:rsid w:val="00982C1A"/>
    <w:rsid w:val="00982CB2"/>
    <w:rsid w:val="009830EC"/>
    <w:rsid w:val="0098344A"/>
    <w:rsid w:val="00983525"/>
    <w:rsid w:val="00983C9D"/>
    <w:rsid w:val="00984010"/>
    <w:rsid w:val="009845A4"/>
    <w:rsid w:val="009845F0"/>
    <w:rsid w:val="009847F5"/>
    <w:rsid w:val="00984BC4"/>
    <w:rsid w:val="00984FF6"/>
    <w:rsid w:val="00985357"/>
    <w:rsid w:val="0098535B"/>
    <w:rsid w:val="009854CB"/>
    <w:rsid w:val="00986881"/>
    <w:rsid w:val="00987115"/>
    <w:rsid w:val="009871A4"/>
    <w:rsid w:val="009872C1"/>
    <w:rsid w:val="00987813"/>
    <w:rsid w:val="009879BC"/>
    <w:rsid w:val="00987BFA"/>
    <w:rsid w:val="00987DA9"/>
    <w:rsid w:val="0099029C"/>
    <w:rsid w:val="0099060E"/>
    <w:rsid w:val="0099065B"/>
    <w:rsid w:val="009907C0"/>
    <w:rsid w:val="00990B14"/>
    <w:rsid w:val="009912E5"/>
    <w:rsid w:val="009913DA"/>
    <w:rsid w:val="0099195D"/>
    <w:rsid w:val="009919ED"/>
    <w:rsid w:val="00991C0E"/>
    <w:rsid w:val="00992069"/>
    <w:rsid w:val="009920FE"/>
    <w:rsid w:val="00992A6D"/>
    <w:rsid w:val="00992DF7"/>
    <w:rsid w:val="009934C9"/>
    <w:rsid w:val="0099368A"/>
    <w:rsid w:val="0099370C"/>
    <w:rsid w:val="00993727"/>
    <w:rsid w:val="00993B63"/>
    <w:rsid w:val="00993D3F"/>
    <w:rsid w:val="00993DB9"/>
    <w:rsid w:val="00993E03"/>
    <w:rsid w:val="00994281"/>
    <w:rsid w:val="009943B2"/>
    <w:rsid w:val="009945B1"/>
    <w:rsid w:val="00994E17"/>
    <w:rsid w:val="009951A9"/>
    <w:rsid w:val="00995307"/>
    <w:rsid w:val="00995638"/>
    <w:rsid w:val="0099591B"/>
    <w:rsid w:val="00995C6F"/>
    <w:rsid w:val="00995E7D"/>
    <w:rsid w:val="0099612F"/>
    <w:rsid w:val="009966D3"/>
    <w:rsid w:val="00996D17"/>
    <w:rsid w:val="00996EAE"/>
    <w:rsid w:val="009970EF"/>
    <w:rsid w:val="009971B6"/>
    <w:rsid w:val="00997369"/>
    <w:rsid w:val="00997465"/>
    <w:rsid w:val="00997697"/>
    <w:rsid w:val="00997DBD"/>
    <w:rsid w:val="00997F19"/>
    <w:rsid w:val="00997FB0"/>
    <w:rsid w:val="009A0276"/>
    <w:rsid w:val="009A0468"/>
    <w:rsid w:val="009A0522"/>
    <w:rsid w:val="009A06FB"/>
    <w:rsid w:val="009A08B7"/>
    <w:rsid w:val="009A0E43"/>
    <w:rsid w:val="009A10FE"/>
    <w:rsid w:val="009A15F3"/>
    <w:rsid w:val="009A178C"/>
    <w:rsid w:val="009A1C66"/>
    <w:rsid w:val="009A1C77"/>
    <w:rsid w:val="009A1F1B"/>
    <w:rsid w:val="009A1FC2"/>
    <w:rsid w:val="009A249F"/>
    <w:rsid w:val="009A2552"/>
    <w:rsid w:val="009A26F3"/>
    <w:rsid w:val="009A2794"/>
    <w:rsid w:val="009A27FF"/>
    <w:rsid w:val="009A28D0"/>
    <w:rsid w:val="009A2D8F"/>
    <w:rsid w:val="009A32CD"/>
    <w:rsid w:val="009A32F9"/>
    <w:rsid w:val="009A355D"/>
    <w:rsid w:val="009A393A"/>
    <w:rsid w:val="009A3D2E"/>
    <w:rsid w:val="009A3E3D"/>
    <w:rsid w:val="009A4074"/>
    <w:rsid w:val="009A4141"/>
    <w:rsid w:val="009A4B05"/>
    <w:rsid w:val="009A4D8D"/>
    <w:rsid w:val="009A4ED2"/>
    <w:rsid w:val="009A53F3"/>
    <w:rsid w:val="009A54FC"/>
    <w:rsid w:val="009A56D5"/>
    <w:rsid w:val="009A57E4"/>
    <w:rsid w:val="009A5814"/>
    <w:rsid w:val="009A5BD8"/>
    <w:rsid w:val="009A5C66"/>
    <w:rsid w:val="009A6276"/>
    <w:rsid w:val="009A64B6"/>
    <w:rsid w:val="009A64FD"/>
    <w:rsid w:val="009A6AB2"/>
    <w:rsid w:val="009A6DDF"/>
    <w:rsid w:val="009A6EDF"/>
    <w:rsid w:val="009A7025"/>
    <w:rsid w:val="009A74EB"/>
    <w:rsid w:val="009A7638"/>
    <w:rsid w:val="009A7902"/>
    <w:rsid w:val="009A7C4D"/>
    <w:rsid w:val="009A7DCF"/>
    <w:rsid w:val="009A7FF9"/>
    <w:rsid w:val="009B01B3"/>
    <w:rsid w:val="009B07E3"/>
    <w:rsid w:val="009B0BD5"/>
    <w:rsid w:val="009B0CB4"/>
    <w:rsid w:val="009B0D7E"/>
    <w:rsid w:val="009B1160"/>
    <w:rsid w:val="009B116D"/>
    <w:rsid w:val="009B15FA"/>
    <w:rsid w:val="009B16C4"/>
    <w:rsid w:val="009B172C"/>
    <w:rsid w:val="009B1907"/>
    <w:rsid w:val="009B1CF6"/>
    <w:rsid w:val="009B2000"/>
    <w:rsid w:val="009B229D"/>
    <w:rsid w:val="009B2492"/>
    <w:rsid w:val="009B268B"/>
    <w:rsid w:val="009B2756"/>
    <w:rsid w:val="009B360F"/>
    <w:rsid w:val="009B3ACC"/>
    <w:rsid w:val="009B3ADA"/>
    <w:rsid w:val="009B3FC6"/>
    <w:rsid w:val="009B44E4"/>
    <w:rsid w:val="009B49FB"/>
    <w:rsid w:val="009B4B99"/>
    <w:rsid w:val="009B4D5E"/>
    <w:rsid w:val="009B4EDC"/>
    <w:rsid w:val="009B4F2B"/>
    <w:rsid w:val="009B5021"/>
    <w:rsid w:val="009B5187"/>
    <w:rsid w:val="009B5253"/>
    <w:rsid w:val="009B5554"/>
    <w:rsid w:val="009B5661"/>
    <w:rsid w:val="009B5899"/>
    <w:rsid w:val="009B5AD2"/>
    <w:rsid w:val="009B5D98"/>
    <w:rsid w:val="009B5DAE"/>
    <w:rsid w:val="009B5FEF"/>
    <w:rsid w:val="009B63B0"/>
    <w:rsid w:val="009B6458"/>
    <w:rsid w:val="009B6497"/>
    <w:rsid w:val="009B6849"/>
    <w:rsid w:val="009B6C75"/>
    <w:rsid w:val="009B7030"/>
    <w:rsid w:val="009B737C"/>
    <w:rsid w:val="009B75E6"/>
    <w:rsid w:val="009B7A40"/>
    <w:rsid w:val="009B7C7B"/>
    <w:rsid w:val="009C0800"/>
    <w:rsid w:val="009C085F"/>
    <w:rsid w:val="009C0C00"/>
    <w:rsid w:val="009C0FF8"/>
    <w:rsid w:val="009C1313"/>
    <w:rsid w:val="009C1342"/>
    <w:rsid w:val="009C141C"/>
    <w:rsid w:val="009C15C9"/>
    <w:rsid w:val="009C1643"/>
    <w:rsid w:val="009C1645"/>
    <w:rsid w:val="009C1A19"/>
    <w:rsid w:val="009C1EF1"/>
    <w:rsid w:val="009C243E"/>
    <w:rsid w:val="009C2D4D"/>
    <w:rsid w:val="009C2DFB"/>
    <w:rsid w:val="009C2FE1"/>
    <w:rsid w:val="009C33E1"/>
    <w:rsid w:val="009C3514"/>
    <w:rsid w:val="009C37C7"/>
    <w:rsid w:val="009C3AFD"/>
    <w:rsid w:val="009C3F89"/>
    <w:rsid w:val="009C469E"/>
    <w:rsid w:val="009C49BE"/>
    <w:rsid w:val="009C4B4A"/>
    <w:rsid w:val="009C4C80"/>
    <w:rsid w:val="009C4D37"/>
    <w:rsid w:val="009C5022"/>
    <w:rsid w:val="009C57A9"/>
    <w:rsid w:val="009C593A"/>
    <w:rsid w:val="009C5ACC"/>
    <w:rsid w:val="009C5C4A"/>
    <w:rsid w:val="009C608E"/>
    <w:rsid w:val="009C6AB3"/>
    <w:rsid w:val="009C6B5E"/>
    <w:rsid w:val="009C6C66"/>
    <w:rsid w:val="009C6F4A"/>
    <w:rsid w:val="009C6F96"/>
    <w:rsid w:val="009C7E4C"/>
    <w:rsid w:val="009C7FE5"/>
    <w:rsid w:val="009D0094"/>
    <w:rsid w:val="009D0403"/>
    <w:rsid w:val="009D041A"/>
    <w:rsid w:val="009D0454"/>
    <w:rsid w:val="009D0555"/>
    <w:rsid w:val="009D0710"/>
    <w:rsid w:val="009D073D"/>
    <w:rsid w:val="009D0C75"/>
    <w:rsid w:val="009D0D66"/>
    <w:rsid w:val="009D12BD"/>
    <w:rsid w:val="009D1319"/>
    <w:rsid w:val="009D1752"/>
    <w:rsid w:val="009D18B4"/>
    <w:rsid w:val="009D2961"/>
    <w:rsid w:val="009D2A88"/>
    <w:rsid w:val="009D2B7D"/>
    <w:rsid w:val="009D2F96"/>
    <w:rsid w:val="009D326F"/>
    <w:rsid w:val="009D3353"/>
    <w:rsid w:val="009D3635"/>
    <w:rsid w:val="009D3911"/>
    <w:rsid w:val="009D3A12"/>
    <w:rsid w:val="009D3D0A"/>
    <w:rsid w:val="009D43EC"/>
    <w:rsid w:val="009D458F"/>
    <w:rsid w:val="009D4DFB"/>
    <w:rsid w:val="009D5078"/>
    <w:rsid w:val="009D50B3"/>
    <w:rsid w:val="009D5E84"/>
    <w:rsid w:val="009D623F"/>
    <w:rsid w:val="009D670F"/>
    <w:rsid w:val="009D67B6"/>
    <w:rsid w:val="009D71D4"/>
    <w:rsid w:val="009D76D5"/>
    <w:rsid w:val="009D7DC6"/>
    <w:rsid w:val="009E0031"/>
    <w:rsid w:val="009E050E"/>
    <w:rsid w:val="009E0610"/>
    <w:rsid w:val="009E067B"/>
    <w:rsid w:val="009E0EAA"/>
    <w:rsid w:val="009E136E"/>
    <w:rsid w:val="009E14DF"/>
    <w:rsid w:val="009E16D1"/>
    <w:rsid w:val="009E17E3"/>
    <w:rsid w:val="009E1CD2"/>
    <w:rsid w:val="009E1E57"/>
    <w:rsid w:val="009E236B"/>
    <w:rsid w:val="009E2596"/>
    <w:rsid w:val="009E28DB"/>
    <w:rsid w:val="009E2C3C"/>
    <w:rsid w:val="009E3341"/>
    <w:rsid w:val="009E3615"/>
    <w:rsid w:val="009E3D69"/>
    <w:rsid w:val="009E438E"/>
    <w:rsid w:val="009E465C"/>
    <w:rsid w:val="009E46DA"/>
    <w:rsid w:val="009E47FD"/>
    <w:rsid w:val="009E496D"/>
    <w:rsid w:val="009E4F3A"/>
    <w:rsid w:val="009E53A2"/>
    <w:rsid w:val="009E5484"/>
    <w:rsid w:val="009E553C"/>
    <w:rsid w:val="009E583B"/>
    <w:rsid w:val="009E5AC9"/>
    <w:rsid w:val="009E5B77"/>
    <w:rsid w:val="009E6073"/>
    <w:rsid w:val="009E7D24"/>
    <w:rsid w:val="009F001F"/>
    <w:rsid w:val="009F0339"/>
    <w:rsid w:val="009F066E"/>
    <w:rsid w:val="009F0978"/>
    <w:rsid w:val="009F09F2"/>
    <w:rsid w:val="009F0AB4"/>
    <w:rsid w:val="009F0D15"/>
    <w:rsid w:val="009F1263"/>
    <w:rsid w:val="009F131D"/>
    <w:rsid w:val="009F195F"/>
    <w:rsid w:val="009F1970"/>
    <w:rsid w:val="009F1D2C"/>
    <w:rsid w:val="009F1D79"/>
    <w:rsid w:val="009F1F09"/>
    <w:rsid w:val="009F2826"/>
    <w:rsid w:val="009F299A"/>
    <w:rsid w:val="009F2AA9"/>
    <w:rsid w:val="009F2B3F"/>
    <w:rsid w:val="009F2D07"/>
    <w:rsid w:val="009F34E0"/>
    <w:rsid w:val="009F35D0"/>
    <w:rsid w:val="009F3F13"/>
    <w:rsid w:val="009F49B1"/>
    <w:rsid w:val="009F4C05"/>
    <w:rsid w:val="009F4D00"/>
    <w:rsid w:val="009F4F58"/>
    <w:rsid w:val="009F4F62"/>
    <w:rsid w:val="009F52D0"/>
    <w:rsid w:val="009F59F7"/>
    <w:rsid w:val="009F5BEC"/>
    <w:rsid w:val="009F5D34"/>
    <w:rsid w:val="009F5E1B"/>
    <w:rsid w:val="009F6402"/>
    <w:rsid w:val="009F6442"/>
    <w:rsid w:val="009F6550"/>
    <w:rsid w:val="009F65FC"/>
    <w:rsid w:val="009F6B62"/>
    <w:rsid w:val="009F6B99"/>
    <w:rsid w:val="009F6C2D"/>
    <w:rsid w:val="009F7182"/>
    <w:rsid w:val="009F78EA"/>
    <w:rsid w:val="009F7DB3"/>
    <w:rsid w:val="00A00048"/>
    <w:rsid w:val="00A000CF"/>
    <w:rsid w:val="00A003BE"/>
    <w:rsid w:val="00A006C6"/>
    <w:rsid w:val="00A00B53"/>
    <w:rsid w:val="00A011B5"/>
    <w:rsid w:val="00A011BC"/>
    <w:rsid w:val="00A011EB"/>
    <w:rsid w:val="00A01439"/>
    <w:rsid w:val="00A01AC4"/>
    <w:rsid w:val="00A02121"/>
    <w:rsid w:val="00A02447"/>
    <w:rsid w:val="00A02482"/>
    <w:rsid w:val="00A02602"/>
    <w:rsid w:val="00A02760"/>
    <w:rsid w:val="00A02AA7"/>
    <w:rsid w:val="00A03154"/>
    <w:rsid w:val="00A03241"/>
    <w:rsid w:val="00A03A54"/>
    <w:rsid w:val="00A03CC5"/>
    <w:rsid w:val="00A0441B"/>
    <w:rsid w:val="00A04698"/>
    <w:rsid w:val="00A04909"/>
    <w:rsid w:val="00A049AB"/>
    <w:rsid w:val="00A04B10"/>
    <w:rsid w:val="00A04D25"/>
    <w:rsid w:val="00A04D39"/>
    <w:rsid w:val="00A04FD2"/>
    <w:rsid w:val="00A050EE"/>
    <w:rsid w:val="00A0511D"/>
    <w:rsid w:val="00A051BE"/>
    <w:rsid w:val="00A05486"/>
    <w:rsid w:val="00A054A2"/>
    <w:rsid w:val="00A05607"/>
    <w:rsid w:val="00A0564E"/>
    <w:rsid w:val="00A057B3"/>
    <w:rsid w:val="00A058AA"/>
    <w:rsid w:val="00A05C13"/>
    <w:rsid w:val="00A06002"/>
    <w:rsid w:val="00A060F4"/>
    <w:rsid w:val="00A062BE"/>
    <w:rsid w:val="00A063D2"/>
    <w:rsid w:val="00A06801"/>
    <w:rsid w:val="00A069F8"/>
    <w:rsid w:val="00A07281"/>
    <w:rsid w:val="00A079CC"/>
    <w:rsid w:val="00A07C82"/>
    <w:rsid w:val="00A10286"/>
    <w:rsid w:val="00A1078B"/>
    <w:rsid w:val="00A10801"/>
    <w:rsid w:val="00A10B9D"/>
    <w:rsid w:val="00A10E1C"/>
    <w:rsid w:val="00A10F43"/>
    <w:rsid w:val="00A11037"/>
    <w:rsid w:val="00A11546"/>
    <w:rsid w:val="00A11A5C"/>
    <w:rsid w:val="00A11AB7"/>
    <w:rsid w:val="00A11DBD"/>
    <w:rsid w:val="00A121D4"/>
    <w:rsid w:val="00A123B2"/>
    <w:rsid w:val="00A12A16"/>
    <w:rsid w:val="00A12BF1"/>
    <w:rsid w:val="00A12DC0"/>
    <w:rsid w:val="00A12E79"/>
    <w:rsid w:val="00A13112"/>
    <w:rsid w:val="00A13552"/>
    <w:rsid w:val="00A13947"/>
    <w:rsid w:val="00A13994"/>
    <w:rsid w:val="00A13B40"/>
    <w:rsid w:val="00A13C44"/>
    <w:rsid w:val="00A13D61"/>
    <w:rsid w:val="00A13D79"/>
    <w:rsid w:val="00A13D96"/>
    <w:rsid w:val="00A13E39"/>
    <w:rsid w:val="00A14015"/>
    <w:rsid w:val="00A14268"/>
    <w:rsid w:val="00A1447F"/>
    <w:rsid w:val="00A14861"/>
    <w:rsid w:val="00A14A48"/>
    <w:rsid w:val="00A14D39"/>
    <w:rsid w:val="00A15275"/>
    <w:rsid w:val="00A1528A"/>
    <w:rsid w:val="00A15A01"/>
    <w:rsid w:val="00A15CBA"/>
    <w:rsid w:val="00A15DB7"/>
    <w:rsid w:val="00A15E51"/>
    <w:rsid w:val="00A16393"/>
    <w:rsid w:val="00A169B7"/>
    <w:rsid w:val="00A16AD4"/>
    <w:rsid w:val="00A16EFE"/>
    <w:rsid w:val="00A175FE"/>
    <w:rsid w:val="00A1760A"/>
    <w:rsid w:val="00A17818"/>
    <w:rsid w:val="00A17CAE"/>
    <w:rsid w:val="00A17E76"/>
    <w:rsid w:val="00A17E87"/>
    <w:rsid w:val="00A17F10"/>
    <w:rsid w:val="00A206CF"/>
    <w:rsid w:val="00A20DDA"/>
    <w:rsid w:val="00A21114"/>
    <w:rsid w:val="00A211F5"/>
    <w:rsid w:val="00A218E0"/>
    <w:rsid w:val="00A21B91"/>
    <w:rsid w:val="00A22007"/>
    <w:rsid w:val="00A2205A"/>
    <w:rsid w:val="00A2211F"/>
    <w:rsid w:val="00A22363"/>
    <w:rsid w:val="00A22570"/>
    <w:rsid w:val="00A22FD6"/>
    <w:rsid w:val="00A2328A"/>
    <w:rsid w:val="00A23C7B"/>
    <w:rsid w:val="00A2409A"/>
    <w:rsid w:val="00A244D8"/>
    <w:rsid w:val="00A2453C"/>
    <w:rsid w:val="00A24AC5"/>
    <w:rsid w:val="00A24CA1"/>
    <w:rsid w:val="00A2551A"/>
    <w:rsid w:val="00A255BA"/>
    <w:rsid w:val="00A2571A"/>
    <w:rsid w:val="00A25B04"/>
    <w:rsid w:val="00A26486"/>
    <w:rsid w:val="00A268C5"/>
    <w:rsid w:val="00A26941"/>
    <w:rsid w:val="00A26A04"/>
    <w:rsid w:val="00A26FE9"/>
    <w:rsid w:val="00A277B2"/>
    <w:rsid w:val="00A277B5"/>
    <w:rsid w:val="00A277C7"/>
    <w:rsid w:val="00A27A41"/>
    <w:rsid w:val="00A27F25"/>
    <w:rsid w:val="00A30218"/>
    <w:rsid w:val="00A30467"/>
    <w:rsid w:val="00A304E6"/>
    <w:rsid w:val="00A30746"/>
    <w:rsid w:val="00A30919"/>
    <w:rsid w:val="00A30B49"/>
    <w:rsid w:val="00A30F2C"/>
    <w:rsid w:val="00A30F5B"/>
    <w:rsid w:val="00A314C4"/>
    <w:rsid w:val="00A31509"/>
    <w:rsid w:val="00A315C3"/>
    <w:rsid w:val="00A31882"/>
    <w:rsid w:val="00A318D8"/>
    <w:rsid w:val="00A31B77"/>
    <w:rsid w:val="00A31D89"/>
    <w:rsid w:val="00A31DA8"/>
    <w:rsid w:val="00A31F59"/>
    <w:rsid w:val="00A31FE8"/>
    <w:rsid w:val="00A32284"/>
    <w:rsid w:val="00A326BB"/>
    <w:rsid w:val="00A329A8"/>
    <w:rsid w:val="00A33000"/>
    <w:rsid w:val="00A33099"/>
    <w:rsid w:val="00A332FC"/>
    <w:rsid w:val="00A33376"/>
    <w:rsid w:val="00A335B4"/>
    <w:rsid w:val="00A336C1"/>
    <w:rsid w:val="00A33A91"/>
    <w:rsid w:val="00A33FD0"/>
    <w:rsid w:val="00A34A67"/>
    <w:rsid w:val="00A34A9B"/>
    <w:rsid w:val="00A3569C"/>
    <w:rsid w:val="00A360BB"/>
    <w:rsid w:val="00A3614A"/>
    <w:rsid w:val="00A362F7"/>
    <w:rsid w:val="00A36625"/>
    <w:rsid w:val="00A373B5"/>
    <w:rsid w:val="00A375CC"/>
    <w:rsid w:val="00A3772D"/>
    <w:rsid w:val="00A37B9D"/>
    <w:rsid w:val="00A37C02"/>
    <w:rsid w:val="00A37D6B"/>
    <w:rsid w:val="00A37DA8"/>
    <w:rsid w:val="00A4078D"/>
    <w:rsid w:val="00A40EEF"/>
    <w:rsid w:val="00A4147F"/>
    <w:rsid w:val="00A41633"/>
    <w:rsid w:val="00A41BD9"/>
    <w:rsid w:val="00A41CCA"/>
    <w:rsid w:val="00A41DA0"/>
    <w:rsid w:val="00A42363"/>
    <w:rsid w:val="00A4241F"/>
    <w:rsid w:val="00A427EB"/>
    <w:rsid w:val="00A4283D"/>
    <w:rsid w:val="00A42C74"/>
    <w:rsid w:val="00A42E12"/>
    <w:rsid w:val="00A42E42"/>
    <w:rsid w:val="00A42F5E"/>
    <w:rsid w:val="00A43233"/>
    <w:rsid w:val="00A43248"/>
    <w:rsid w:val="00A43AC8"/>
    <w:rsid w:val="00A43BA2"/>
    <w:rsid w:val="00A43CAB"/>
    <w:rsid w:val="00A44202"/>
    <w:rsid w:val="00A44A0D"/>
    <w:rsid w:val="00A44B82"/>
    <w:rsid w:val="00A4547D"/>
    <w:rsid w:val="00A45514"/>
    <w:rsid w:val="00A45609"/>
    <w:rsid w:val="00A4589A"/>
    <w:rsid w:val="00A459B4"/>
    <w:rsid w:val="00A460AB"/>
    <w:rsid w:val="00A462BA"/>
    <w:rsid w:val="00A462E6"/>
    <w:rsid w:val="00A468D2"/>
    <w:rsid w:val="00A46DBE"/>
    <w:rsid w:val="00A47045"/>
    <w:rsid w:val="00A47050"/>
    <w:rsid w:val="00A4731E"/>
    <w:rsid w:val="00A47389"/>
    <w:rsid w:val="00A47736"/>
    <w:rsid w:val="00A4776E"/>
    <w:rsid w:val="00A47BC0"/>
    <w:rsid w:val="00A504FA"/>
    <w:rsid w:val="00A5098B"/>
    <w:rsid w:val="00A51229"/>
    <w:rsid w:val="00A51366"/>
    <w:rsid w:val="00A51610"/>
    <w:rsid w:val="00A51853"/>
    <w:rsid w:val="00A51A8F"/>
    <w:rsid w:val="00A51B42"/>
    <w:rsid w:val="00A51BED"/>
    <w:rsid w:val="00A51C91"/>
    <w:rsid w:val="00A522A7"/>
    <w:rsid w:val="00A52334"/>
    <w:rsid w:val="00A52341"/>
    <w:rsid w:val="00A52DB9"/>
    <w:rsid w:val="00A52DC5"/>
    <w:rsid w:val="00A5345B"/>
    <w:rsid w:val="00A539DF"/>
    <w:rsid w:val="00A53ADF"/>
    <w:rsid w:val="00A53CEF"/>
    <w:rsid w:val="00A53D8C"/>
    <w:rsid w:val="00A53EAD"/>
    <w:rsid w:val="00A54F76"/>
    <w:rsid w:val="00A550FB"/>
    <w:rsid w:val="00A556A4"/>
    <w:rsid w:val="00A55746"/>
    <w:rsid w:val="00A55C61"/>
    <w:rsid w:val="00A55CD9"/>
    <w:rsid w:val="00A55D91"/>
    <w:rsid w:val="00A55E87"/>
    <w:rsid w:val="00A561FA"/>
    <w:rsid w:val="00A563F2"/>
    <w:rsid w:val="00A56851"/>
    <w:rsid w:val="00A569B3"/>
    <w:rsid w:val="00A56B7A"/>
    <w:rsid w:val="00A56BC4"/>
    <w:rsid w:val="00A56E0F"/>
    <w:rsid w:val="00A56E71"/>
    <w:rsid w:val="00A57065"/>
    <w:rsid w:val="00A570A2"/>
    <w:rsid w:val="00A5715A"/>
    <w:rsid w:val="00A57216"/>
    <w:rsid w:val="00A577E6"/>
    <w:rsid w:val="00A57D90"/>
    <w:rsid w:val="00A6034C"/>
    <w:rsid w:val="00A606A1"/>
    <w:rsid w:val="00A60837"/>
    <w:rsid w:val="00A61616"/>
    <w:rsid w:val="00A6172F"/>
    <w:rsid w:val="00A617A1"/>
    <w:rsid w:val="00A61A4A"/>
    <w:rsid w:val="00A61ACE"/>
    <w:rsid w:val="00A61EF9"/>
    <w:rsid w:val="00A6216B"/>
    <w:rsid w:val="00A6222A"/>
    <w:rsid w:val="00A62583"/>
    <w:rsid w:val="00A6297C"/>
    <w:rsid w:val="00A62CD7"/>
    <w:rsid w:val="00A62F7D"/>
    <w:rsid w:val="00A6334C"/>
    <w:rsid w:val="00A6360B"/>
    <w:rsid w:val="00A6378D"/>
    <w:rsid w:val="00A63878"/>
    <w:rsid w:val="00A63CEB"/>
    <w:rsid w:val="00A63EFB"/>
    <w:rsid w:val="00A63FDB"/>
    <w:rsid w:val="00A64429"/>
    <w:rsid w:val="00A64670"/>
    <w:rsid w:val="00A64928"/>
    <w:rsid w:val="00A64D82"/>
    <w:rsid w:val="00A64F32"/>
    <w:rsid w:val="00A650A9"/>
    <w:rsid w:val="00A6536F"/>
    <w:rsid w:val="00A6557D"/>
    <w:rsid w:val="00A65669"/>
    <w:rsid w:val="00A65768"/>
    <w:rsid w:val="00A65992"/>
    <w:rsid w:val="00A65DBF"/>
    <w:rsid w:val="00A65FA1"/>
    <w:rsid w:val="00A66641"/>
    <w:rsid w:val="00A6690C"/>
    <w:rsid w:val="00A66D0F"/>
    <w:rsid w:val="00A671B9"/>
    <w:rsid w:val="00A677BA"/>
    <w:rsid w:val="00A67B14"/>
    <w:rsid w:val="00A67F60"/>
    <w:rsid w:val="00A70474"/>
    <w:rsid w:val="00A70E7D"/>
    <w:rsid w:val="00A712A6"/>
    <w:rsid w:val="00A71BFB"/>
    <w:rsid w:val="00A71D5B"/>
    <w:rsid w:val="00A71E7C"/>
    <w:rsid w:val="00A71EA3"/>
    <w:rsid w:val="00A72057"/>
    <w:rsid w:val="00A7223B"/>
    <w:rsid w:val="00A72F01"/>
    <w:rsid w:val="00A73065"/>
    <w:rsid w:val="00A73457"/>
    <w:rsid w:val="00A734B6"/>
    <w:rsid w:val="00A73857"/>
    <w:rsid w:val="00A739B0"/>
    <w:rsid w:val="00A739F3"/>
    <w:rsid w:val="00A742F5"/>
    <w:rsid w:val="00A74364"/>
    <w:rsid w:val="00A74CE5"/>
    <w:rsid w:val="00A75ADD"/>
    <w:rsid w:val="00A75F41"/>
    <w:rsid w:val="00A76744"/>
    <w:rsid w:val="00A76942"/>
    <w:rsid w:val="00A76A67"/>
    <w:rsid w:val="00A76A80"/>
    <w:rsid w:val="00A76E0A"/>
    <w:rsid w:val="00A77372"/>
    <w:rsid w:val="00A77706"/>
    <w:rsid w:val="00A77C6E"/>
    <w:rsid w:val="00A8000C"/>
    <w:rsid w:val="00A80039"/>
    <w:rsid w:val="00A8005A"/>
    <w:rsid w:val="00A80296"/>
    <w:rsid w:val="00A805D4"/>
    <w:rsid w:val="00A80765"/>
    <w:rsid w:val="00A807EF"/>
    <w:rsid w:val="00A80867"/>
    <w:rsid w:val="00A809AC"/>
    <w:rsid w:val="00A80AE6"/>
    <w:rsid w:val="00A81103"/>
    <w:rsid w:val="00A811C7"/>
    <w:rsid w:val="00A811ED"/>
    <w:rsid w:val="00A817B3"/>
    <w:rsid w:val="00A8187E"/>
    <w:rsid w:val="00A81B10"/>
    <w:rsid w:val="00A81C08"/>
    <w:rsid w:val="00A81E1F"/>
    <w:rsid w:val="00A821DC"/>
    <w:rsid w:val="00A8226E"/>
    <w:rsid w:val="00A828CC"/>
    <w:rsid w:val="00A82F60"/>
    <w:rsid w:val="00A83080"/>
    <w:rsid w:val="00A83841"/>
    <w:rsid w:val="00A83852"/>
    <w:rsid w:val="00A83BA9"/>
    <w:rsid w:val="00A83CCF"/>
    <w:rsid w:val="00A83EA8"/>
    <w:rsid w:val="00A83F16"/>
    <w:rsid w:val="00A84371"/>
    <w:rsid w:val="00A8440D"/>
    <w:rsid w:val="00A84421"/>
    <w:rsid w:val="00A84F1A"/>
    <w:rsid w:val="00A85022"/>
    <w:rsid w:val="00A8509A"/>
    <w:rsid w:val="00A857CD"/>
    <w:rsid w:val="00A8592D"/>
    <w:rsid w:val="00A85D63"/>
    <w:rsid w:val="00A85DCC"/>
    <w:rsid w:val="00A86489"/>
    <w:rsid w:val="00A86768"/>
    <w:rsid w:val="00A869C4"/>
    <w:rsid w:val="00A86A05"/>
    <w:rsid w:val="00A87182"/>
    <w:rsid w:val="00A871EA"/>
    <w:rsid w:val="00A8765C"/>
    <w:rsid w:val="00A87791"/>
    <w:rsid w:val="00A8788B"/>
    <w:rsid w:val="00A87996"/>
    <w:rsid w:val="00A879F5"/>
    <w:rsid w:val="00A87AEE"/>
    <w:rsid w:val="00A87D66"/>
    <w:rsid w:val="00A87FFA"/>
    <w:rsid w:val="00A902C0"/>
    <w:rsid w:val="00A90BFC"/>
    <w:rsid w:val="00A90D1B"/>
    <w:rsid w:val="00A90FFB"/>
    <w:rsid w:val="00A914BF"/>
    <w:rsid w:val="00A9174A"/>
    <w:rsid w:val="00A917D1"/>
    <w:rsid w:val="00A91918"/>
    <w:rsid w:val="00A91924"/>
    <w:rsid w:val="00A91DBB"/>
    <w:rsid w:val="00A91FB6"/>
    <w:rsid w:val="00A92116"/>
    <w:rsid w:val="00A92D72"/>
    <w:rsid w:val="00A93035"/>
    <w:rsid w:val="00A930EE"/>
    <w:rsid w:val="00A932BD"/>
    <w:rsid w:val="00A93414"/>
    <w:rsid w:val="00A93D06"/>
    <w:rsid w:val="00A94341"/>
    <w:rsid w:val="00A947D8"/>
    <w:rsid w:val="00A948FB"/>
    <w:rsid w:val="00A94A8C"/>
    <w:rsid w:val="00A94B80"/>
    <w:rsid w:val="00A94DFE"/>
    <w:rsid w:val="00A95664"/>
    <w:rsid w:val="00A957AF"/>
    <w:rsid w:val="00A95809"/>
    <w:rsid w:val="00A95A91"/>
    <w:rsid w:val="00A95F77"/>
    <w:rsid w:val="00A95F99"/>
    <w:rsid w:val="00A961BD"/>
    <w:rsid w:val="00A964D4"/>
    <w:rsid w:val="00A96667"/>
    <w:rsid w:val="00A96729"/>
    <w:rsid w:val="00A96D46"/>
    <w:rsid w:val="00A97142"/>
    <w:rsid w:val="00A9723B"/>
    <w:rsid w:val="00A97307"/>
    <w:rsid w:val="00A9739E"/>
    <w:rsid w:val="00A9768B"/>
    <w:rsid w:val="00A9773C"/>
    <w:rsid w:val="00A977E2"/>
    <w:rsid w:val="00A97D74"/>
    <w:rsid w:val="00A97F11"/>
    <w:rsid w:val="00AA055A"/>
    <w:rsid w:val="00AA0A02"/>
    <w:rsid w:val="00AA0ADE"/>
    <w:rsid w:val="00AA0CF2"/>
    <w:rsid w:val="00AA0D7A"/>
    <w:rsid w:val="00AA0EC3"/>
    <w:rsid w:val="00AA1015"/>
    <w:rsid w:val="00AA13BA"/>
    <w:rsid w:val="00AA1918"/>
    <w:rsid w:val="00AA1A38"/>
    <w:rsid w:val="00AA1ACE"/>
    <w:rsid w:val="00AA1AE7"/>
    <w:rsid w:val="00AA1BED"/>
    <w:rsid w:val="00AA1DB3"/>
    <w:rsid w:val="00AA1DDA"/>
    <w:rsid w:val="00AA2068"/>
    <w:rsid w:val="00AA20D9"/>
    <w:rsid w:val="00AA268C"/>
    <w:rsid w:val="00AA271B"/>
    <w:rsid w:val="00AA27AA"/>
    <w:rsid w:val="00AA28EA"/>
    <w:rsid w:val="00AA2B59"/>
    <w:rsid w:val="00AA2C27"/>
    <w:rsid w:val="00AA2F82"/>
    <w:rsid w:val="00AA30BF"/>
    <w:rsid w:val="00AA332D"/>
    <w:rsid w:val="00AA3B09"/>
    <w:rsid w:val="00AA3B46"/>
    <w:rsid w:val="00AA40C2"/>
    <w:rsid w:val="00AA48BE"/>
    <w:rsid w:val="00AA4B2C"/>
    <w:rsid w:val="00AA4B76"/>
    <w:rsid w:val="00AA4D59"/>
    <w:rsid w:val="00AA4E7D"/>
    <w:rsid w:val="00AA4EDF"/>
    <w:rsid w:val="00AA4EFC"/>
    <w:rsid w:val="00AA51B3"/>
    <w:rsid w:val="00AA522B"/>
    <w:rsid w:val="00AA5C1D"/>
    <w:rsid w:val="00AA5ECF"/>
    <w:rsid w:val="00AA625D"/>
    <w:rsid w:val="00AA6641"/>
    <w:rsid w:val="00AA69C2"/>
    <w:rsid w:val="00AA6F74"/>
    <w:rsid w:val="00AA7113"/>
    <w:rsid w:val="00AA75BE"/>
    <w:rsid w:val="00AA7B45"/>
    <w:rsid w:val="00AA7DFB"/>
    <w:rsid w:val="00AB014E"/>
    <w:rsid w:val="00AB0299"/>
    <w:rsid w:val="00AB037B"/>
    <w:rsid w:val="00AB043C"/>
    <w:rsid w:val="00AB0470"/>
    <w:rsid w:val="00AB0471"/>
    <w:rsid w:val="00AB072E"/>
    <w:rsid w:val="00AB0CC5"/>
    <w:rsid w:val="00AB0E38"/>
    <w:rsid w:val="00AB1144"/>
    <w:rsid w:val="00AB11D6"/>
    <w:rsid w:val="00AB18FC"/>
    <w:rsid w:val="00AB1DDA"/>
    <w:rsid w:val="00AB20D4"/>
    <w:rsid w:val="00AB2185"/>
    <w:rsid w:val="00AB222D"/>
    <w:rsid w:val="00AB2AB7"/>
    <w:rsid w:val="00AB2B70"/>
    <w:rsid w:val="00AB31F3"/>
    <w:rsid w:val="00AB3403"/>
    <w:rsid w:val="00AB357A"/>
    <w:rsid w:val="00AB37DF"/>
    <w:rsid w:val="00AB381C"/>
    <w:rsid w:val="00AB3A62"/>
    <w:rsid w:val="00AB436C"/>
    <w:rsid w:val="00AB4B8D"/>
    <w:rsid w:val="00AB4D67"/>
    <w:rsid w:val="00AB5369"/>
    <w:rsid w:val="00AB5B7E"/>
    <w:rsid w:val="00AB5F3F"/>
    <w:rsid w:val="00AB60DA"/>
    <w:rsid w:val="00AB630A"/>
    <w:rsid w:val="00AB65D8"/>
    <w:rsid w:val="00AB6823"/>
    <w:rsid w:val="00AB69E4"/>
    <w:rsid w:val="00AB6CF3"/>
    <w:rsid w:val="00AB6E12"/>
    <w:rsid w:val="00AB6ED7"/>
    <w:rsid w:val="00AB7261"/>
    <w:rsid w:val="00AB732D"/>
    <w:rsid w:val="00AB7711"/>
    <w:rsid w:val="00AB7D75"/>
    <w:rsid w:val="00AC01AB"/>
    <w:rsid w:val="00AC0486"/>
    <w:rsid w:val="00AC078A"/>
    <w:rsid w:val="00AC099D"/>
    <w:rsid w:val="00AC0E1F"/>
    <w:rsid w:val="00AC1549"/>
    <w:rsid w:val="00AC1818"/>
    <w:rsid w:val="00AC1AF4"/>
    <w:rsid w:val="00AC1C54"/>
    <w:rsid w:val="00AC256F"/>
    <w:rsid w:val="00AC2BE4"/>
    <w:rsid w:val="00AC2FA1"/>
    <w:rsid w:val="00AC325F"/>
    <w:rsid w:val="00AC36BF"/>
    <w:rsid w:val="00AC36ED"/>
    <w:rsid w:val="00AC3966"/>
    <w:rsid w:val="00AC3BBB"/>
    <w:rsid w:val="00AC3C45"/>
    <w:rsid w:val="00AC3DF1"/>
    <w:rsid w:val="00AC3FBB"/>
    <w:rsid w:val="00AC434E"/>
    <w:rsid w:val="00AC4457"/>
    <w:rsid w:val="00AC4603"/>
    <w:rsid w:val="00AC46BC"/>
    <w:rsid w:val="00AC4A0D"/>
    <w:rsid w:val="00AC4B76"/>
    <w:rsid w:val="00AC4BAC"/>
    <w:rsid w:val="00AC5895"/>
    <w:rsid w:val="00AC5ECB"/>
    <w:rsid w:val="00AC5F9D"/>
    <w:rsid w:val="00AC67DF"/>
    <w:rsid w:val="00AC69AB"/>
    <w:rsid w:val="00AC69B6"/>
    <w:rsid w:val="00AC6AD9"/>
    <w:rsid w:val="00AC6D6B"/>
    <w:rsid w:val="00AC7061"/>
    <w:rsid w:val="00AC712D"/>
    <w:rsid w:val="00AC7404"/>
    <w:rsid w:val="00AC78BC"/>
    <w:rsid w:val="00AC7ACC"/>
    <w:rsid w:val="00AC7C24"/>
    <w:rsid w:val="00AC7DEA"/>
    <w:rsid w:val="00AD0213"/>
    <w:rsid w:val="00AD0725"/>
    <w:rsid w:val="00AD0939"/>
    <w:rsid w:val="00AD0A88"/>
    <w:rsid w:val="00AD0AF3"/>
    <w:rsid w:val="00AD0C65"/>
    <w:rsid w:val="00AD10AC"/>
    <w:rsid w:val="00AD1288"/>
    <w:rsid w:val="00AD1709"/>
    <w:rsid w:val="00AD17B6"/>
    <w:rsid w:val="00AD1B23"/>
    <w:rsid w:val="00AD1BC4"/>
    <w:rsid w:val="00AD1CE8"/>
    <w:rsid w:val="00AD1D6B"/>
    <w:rsid w:val="00AD2AAA"/>
    <w:rsid w:val="00AD334B"/>
    <w:rsid w:val="00AD33A4"/>
    <w:rsid w:val="00AD3598"/>
    <w:rsid w:val="00AD36A4"/>
    <w:rsid w:val="00AD388F"/>
    <w:rsid w:val="00AD3F83"/>
    <w:rsid w:val="00AD43D2"/>
    <w:rsid w:val="00AD4489"/>
    <w:rsid w:val="00AD4565"/>
    <w:rsid w:val="00AD47E6"/>
    <w:rsid w:val="00AD4833"/>
    <w:rsid w:val="00AD4850"/>
    <w:rsid w:val="00AD51F6"/>
    <w:rsid w:val="00AD5237"/>
    <w:rsid w:val="00AD535E"/>
    <w:rsid w:val="00AD5AF4"/>
    <w:rsid w:val="00AD5EC9"/>
    <w:rsid w:val="00AD640F"/>
    <w:rsid w:val="00AD647D"/>
    <w:rsid w:val="00AD6A4A"/>
    <w:rsid w:val="00AD6A93"/>
    <w:rsid w:val="00AD6BF4"/>
    <w:rsid w:val="00AD6D2F"/>
    <w:rsid w:val="00AD6E1A"/>
    <w:rsid w:val="00AD6F30"/>
    <w:rsid w:val="00AD7082"/>
    <w:rsid w:val="00AD70AC"/>
    <w:rsid w:val="00AD7442"/>
    <w:rsid w:val="00AD74A4"/>
    <w:rsid w:val="00AD7548"/>
    <w:rsid w:val="00AD7CC5"/>
    <w:rsid w:val="00AE00C7"/>
    <w:rsid w:val="00AE06B7"/>
    <w:rsid w:val="00AE0736"/>
    <w:rsid w:val="00AE0949"/>
    <w:rsid w:val="00AE0FF0"/>
    <w:rsid w:val="00AE147B"/>
    <w:rsid w:val="00AE18F0"/>
    <w:rsid w:val="00AE1FB0"/>
    <w:rsid w:val="00AE234D"/>
    <w:rsid w:val="00AE2507"/>
    <w:rsid w:val="00AE262A"/>
    <w:rsid w:val="00AE2883"/>
    <w:rsid w:val="00AE291A"/>
    <w:rsid w:val="00AE32A7"/>
    <w:rsid w:val="00AE364A"/>
    <w:rsid w:val="00AE3652"/>
    <w:rsid w:val="00AE36B8"/>
    <w:rsid w:val="00AE3DE3"/>
    <w:rsid w:val="00AE3FB0"/>
    <w:rsid w:val="00AE42E4"/>
    <w:rsid w:val="00AE45C7"/>
    <w:rsid w:val="00AE48B0"/>
    <w:rsid w:val="00AE4910"/>
    <w:rsid w:val="00AE53FF"/>
    <w:rsid w:val="00AE5847"/>
    <w:rsid w:val="00AE5BF7"/>
    <w:rsid w:val="00AE5CBA"/>
    <w:rsid w:val="00AE5D28"/>
    <w:rsid w:val="00AE5D72"/>
    <w:rsid w:val="00AE5F45"/>
    <w:rsid w:val="00AE6F72"/>
    <w:rsid w:val="00AE70AD"/>
    <w:rsid w:val="00AE757A"/>
    <w:rsid w:val="00AE7A42"/>
    <w:rsid w:val="00AE7B56"/>
    <w:rsid w:val="00AE7DEB"/>
    <w:rsid w:val="00AF07D0"/>
    <w:rsid w:val="00AF0D1D"/>
    <w:rsid w:val="00AF0E6C"/>
    <w:rsid w:val="00AF0F01"/>
    <w:rsid w:val="00AF0F02"/>
    <w:rsid w:val="00AF1174"/>
    <w:rsid w:val="00AF12B6"/>
    <w:rsid w:val="00AF1479"/>
    <w:rsid w:val="00AF1732"/>
    <w:rsid w:val="00AF17EF"/>
    <w:rsid w:val="00AF1D81"/>
    <w:rsid w:val="00AF1FAE"/>
    <w:rsid w:val="00AF2065"/>
    <w:rsid w:val="00AF222B"/>
    <w:rsid w:val="00AF22B4"/>
    <w:rsid w:val="00AF2490"/>
    <w:rsid w:val="00AF2986"/>
    <w:rsid w:val="00AF2A7B"/>
    <w:rsid w:val="00AF2E71"/>
    <w:rsid w:val="00AF3794"/>
    <w:rsid w:val="00AF3CEF"/>
    <w:rsid w:val="00AF3E5B"/>
    <w:rsid w:val="00AF4553"/>
    <w:rsid w:val="00AF47FA"/>
    <w:rsid w:val="00AF4A5D"/>
    <w:rsid w:val="00AF4D75"/>
    <w:rsid w:val="00AF4DD7"/>
    <w:rsid w:val="00AF4FCE"/>
    <w:rsid w:val="00AF578C"/>
    <w:rsid w:val="00AF5804"/>
    <w:rsid w:val="00AF5811"/>
    <w:rsid w:val="00AF5A09"/>
    <w:rsid w:val="00AF5C5D"/>
    <w:rsid w:val="00AF5FCA"/>
    <w:rsid w:val="00AF6446"/>
    <w:rsid w:val="00AF6477"/>
    <w:rsid w:val="00AF6585"/>
    <w:rsid w:val="00AF6A46"/>
    <w:rsid w:val="00AF6FAA"/>
    <w:rsid w:val="00AF710B"/>
    <w:rsid w:val="00AF730C"/>
    <w:rsid w:val="00AF75A6"/>
    <w:rsid w:val="00AF77C8"/>
    <w:rsid w:val="00AF781A"/>
    <w:rsid w:val="00AF7930"/>
    <w:rsid w:val="00AF7B61"/>
    <w:rsid w:val="00AF7EFB"/>
    <w:rsid w:val="00AF7FB0"/>
    <w:rsid w:val="00B00157"/>
    <w:rsid w:val="00B0042C"/>
    <w:rsid w:val="00B00808"/>
    <w:rsid w:val="00B00DCC"/>
    <w:rsid w:val="00B00EDE"/>
    <w:rsid w:val="00B01036"/>
    <w:rsid w:val="00B0112B"/>
    <w:rsid w:val="00B012F0"/>
    <w:rsid w:val="00B01428"/>
    <w:rsid w:val="00B017D4"/>
    <w:rsid w:val="00B01CA0"/>
    <w:rsid w:val="00B02186"/>
    <w:rsid w:val="00B022BE"/>
    <w:rsid w:val="00B02662"/>
    <w:rsid w:val="00B0270C"/>
    <w:rsid w:val="00B0298D"/>
    <w:rsid w:val="00B029EF"/>
    <w:rsid w:val="00B02AEE"/>
    <w:rsid w:val="00B02D54"/>
    <w:rsid w:val="00B02E5B"/>
    <w:rsid w:val="00B02F94"/>
    <w:rsid w:val="00B030D4"/>
    <w:rsid w:val="00B030DA"/>
    <w:rsid w:val="00B037FE"/>
    <w:rsid w:val="00B0397F"/>
    <w:rsid w:val="00B040A4"/>
    <w:rsid w:val="00B043E9"/>
    <w:rsid w:val="00B0470F"/>
    <w:rsid w:val="00B0498C"/>
    <w:rsid w:val="00B04A64"/>
    <w:rsid w:val="00B04D90"/>
    <w:rsid w:val="00B04F0A"/>
    <w:rsid w:val="00B05149"/>
    <w:rsid w:val="00B0551E"/>
    <w:rsid w:val="00B05B22"/>
    <w:rsid w:val="00B05B4F"/>
    <w:rsid w:val="00B05CB6"/>
    <w:rsid w:val="00B05EED"/>
    <w:rsid w:val="00B0609B"/>
    <w:rsid w:val="00B0668A"/>
    <w:rsid w:val="00B066AB"/>
    <w:rsid w:val="00B06898"/>
    <w:rsid w:val="00B06926"/>
    <w:rsid w:val="00B06B7A"/>
    <w:rsid w:val="00B06BB0"/>
    <w:rsid w:val="00B07194"/>
    <w:rsid w:val="00B07533"/>
    <w:rsid w:val="00B077A1"/>
    <w:rsid w:val="00B0792B"/>
    <w:rsid w:val="00B0797E"/>
    <w:rsid w:val="00B07C6C"/>
    <w:rsid w:val="00B07C9A"/>
    <w:rsid w:val="00B07DB9"/>
    <w:rsid w:val="00B07E75"/>
    <w:rsid w:val="00B07EFC"/>
    <w:rsid w:val="00B1028D"/>
    <w:rsid w:val="00B109B3"/>
    <w:rsid w:val="00B10AA6"/>
    <w:rsid w:val="00B10CFE"/>
    <w:rsid w:val="00B10D71"/>
    <w:rsid w:val="00B10FB7"/>
    <w:rsid w:val="00B1121A"/>
    <w:rsid w:val="00B1149E"/>
    <w:rsid w:val="00B117CE"/>
    <w:rsid w:val="00B11C1A"/>
    <w:rsid w:val="00B11FDC"/>
    <w:rsid w:val="00B12972"/>
    <w:rsid w:val="00B13339"/>
    <w:rsid w:val="00B1367B"/>
    <w:rsid w:val="00B13744"/>
    <w:rsid w:val="00B139D4"/>
    <w:rsid w:val="00B14523"/>
    <w:rsid w:val="00B1453D"/>
    <w:rsid w:val="00B14CFE"/>
    <w:rsid w:val="00B15011"/>
    <w:rsid w:val="00B150A1"/>
    <w:rsid w:val="00B15870"/>
    <w:rsid w:val="00B15C38"/>
    <w:rsid w:val="00B15F91"/>
    <w:rsid w:val="00B16A80"/>
    <w:rsid w:val="00B16ACA"/>
    <w:rsid w:val="00B16B08"/>
    <w:rsid w:val="00B16C2D"/>
    <w:rsid w:val="00B1753B"/>
    <w:rsid w:val="00B1766E"/>
    <w:rsid w:val="00B17877"/>
    <w:rsid w:val="00B1797A"/>
    <w:rsid w:val="00B17B1C"/>
    <w:rsid w:val="00B20238"/>
    <w:rsid w:val="00B2037D"/>
    <w:rsid w:val="00B2087A"/>
    <w:rsid w:val="00B20ABC"/>
    <w:rsid w:val="00B21097"/>
    <w:rsid w:val="00B21388"/>
    <w:rsid w:val="00B218AC"/>
    <w:rsid w:val="00B21DBE"/>
    <w:rsid w:val="00B21E93"/>
    <w:rsid w:val="00B22BF6"/>
    <w:rsid w:val="00B22D45"/>
    <w:rsid w:val="00B22D47"/>
    <w:rsid w:val="00B23ACD"/>
    <w:rsid w:val="00B23E60"/>
    <w:rsid w:val="00B24128"/>
    <w:rsid w:val="00B24183"/>
    <w:rsid w:val="00B249B5"/>
    <w:rsid w:val="00B24C10"/>
    <w:rsid w:val="00B24DB9"/>
    <w:rsid w:val="00B252B1"/>
    <w:rsid w:val="00B256F1"/>
    <w:rsid w:val="00B25730"/>
    <w:rsid w:val="00B25C4D"/>
    <w:rsid w:val="00B25E98"/>
    <w:rsid w:val="00B261AA"/>
    <w:rsid w:val="00B262F5"/>
    <w:rsid w:val="00B26781"/>
    <w:rsid w:val="00B2695F"/>
    <w:rsid w:val="00B26D27"/>
    <w:rsid w:val="00B26E4C"/>
    <w:rsid w:val="00B26E5C"/>
    <w:rsid w:val="00B26ED4"/>
    <w:rsid w:val="00B270B7"/>
    <w:rsid w:val="00B2745B"/>
    <w:rsid w:val="00B27522"/>
    <w:rsid w:val="00B27B6D"/>
    <w:rsid w:val="00B27CA4"/>
    <w:rsid w:val="00B27EC6"/>
    <w:rsid w:val="00B300D4"/>
    <w:rsid w:val="00B305E1"/>
    <w:rsid w:val="00B30E3B"/>
    <w:rsid w:val="00B312B0"/>
    <w:rsid w:val="00B316CB"/>
    <w:rsid w:val="00B31804"/>
    <w:rsid w:val="00B31BDB"/>
    <w:rsid w:val="00B31D4F"/>
    <w:rsid w:val="00B31EEA"/>
    <w:rsid w:val="00B3228A"/>
    <w:rsid w:val="00B3260C"/>
    <w:rsid w:val="00B32C5C"/>
    <w:rsid w:val="00B32CE5"/>
    <w:rsid w:val="00B32DF5"/>
    <w:rsid w:val="00B333C7"/>
    <w:rsid w:val="00B3356D"/>
    <w:rsid w:val="00B33A7D"/>
    <w:rsid w:val="00B33C50"/>
    <w:rsid w:val="00B33C8C"/>
    <w:rsid w:val="00B33E94"/>
    <w:rsid w:val="00B33EC1"/>
    <w:rsid w:val="00B343F7"/>
    <w:rsid w:val="00B3449D"/>
    <w:rsid w:val="00B34968"/>
    <w:rsid w:val="00B350C8"/>
    <w:rsid w:val="00B35822"/>
    <w:rsid w:val="00B35E81"/>
    <w:rsid w:val="00B360BB"/>
    <w:rsid w:val="00B36275"/>
    <w:rsid w:val="00B3634B"/>
    <w:rsid w:val="00B36AD5"/>
    <w:rsid w:val="00B36C1C"/>
    <w:rsid w:val="00B36D62"/>
    <w:rsid w:val="00B37369"/>
    <w:rsid w:val="00B37804"/>
    <w:rsid w:val="00B37950"/>
    <w:rsid w:val="00B37A4B"/>
    <w:rsid w:val="00B37A7F"/>
    <w:rsid w:val="00B37BA0"/>
    <w:rsid w:val="00B37C6A"/>
    <w:rsid w:val="00B37E35"/>
    <w:rsid w:val="00B37E61"/>
    <w:rsid w:val="00B404D4"/>
    <w:rsid w:val="00B404DD"/>
    <w:rsid w:val="00B406CD"/>
    <w:rsid w:val="00B40739"/>
    <w:rsid w:val="00B407CF"/>
    <w:rsid w:val="00B40CFF"/>
    <w:rsid w:val="00B40F86"/>
    <w:rsid w:val="00B4126F"/>
    <w:rsid w:val="00B41345"/>
    <w:rsid w:val="00B4152C"/>
    <w:rsid w:val="00B41723"/>
    <w:rsid w:val="00B41889"/>
    <w:rsid w:val="00B420F8"/>
    <w:rsid w:val="00B423BF"/>
    <w:rsid w:val="00B42616"/>
    <w:rsid w:val="00B4270B"/>
    <w:rsid w:val="00B43343"/>
    <w:rsid w:val="00B43880"/>
    <w:rsid w:val="00B43C80"/>
    <w:rsid w:val="00B43FDF"/>
    <w:rsid w:val="00B44018"/>
    <w:rsid w:val="00B44AD3"/>
    <w:rsid w:val="00B44E9F"/>
    <w:rsid w:val="00B45263"/>
    <w:rsid w:val="00B45B1A"/>
    <w:rsid w:val="00B45EB4"/>
    <w:rsid w:val="00B45F7F"/>
    <w:rsid w:val="00B46971"/>
    <w:rsid w:val="00B4697C"/>
    <w:rsid w:val="00B46C00"/>
    <w:rsid w:val="00B4784B"/>
    <w:rsid w:val="00B47D73"/>
    <w:rsid w:val="00B47E0F"/>
    <w:rsid w:val="00B50066"/>
    <w:rsid w:val="00B501BF"/>
    <w:rsid w:val="00B509DA"/>
    <w:rsid w:val="00B51088"/>
    <w:rsid w:val="00B512CD"/>
    <w:rsid w:val="00B5164D"/>
    <w:rsid w:val="00B518F0"/>
    <w:rsid w:val="00B51985"/>
    <w:rsid w:val="00B5206F"/>
    <w:rsid w:val="00B52105"/>
    <w:rsid w:val="00B52B36"/>
    <w:rsid w:val="00B53244"/>
    <w:rsid w:val="00B533F8"/>
    <w:rsid w:val="00B53949"/>
    <w:rsid w:val="00B53EA8"/>
    <w:rsid w:val="00B53FDC"/>
    <w:rsid w:val="00B54188"/>
    <w:rsid w:val="00B54694"/>
    <w:rsid w:val="00B547B7"/>
    <w:rsid w:val="00B54D87"/>
    <w:rsid w:val="00B55407"/>
    <w:rsid w:val="00B55469"/>
    <w:rsid w:val="00B554BC"/>
    <w:rsid w:val="00B55BDD"/>
    <w:rsid w:val="00B5608A"/>
    <w:rsid w:val="00B560C5"/>
    <w:rsid w:val="00B56AAC"/>
    <w:rsid w:val="00B56B86"/>
    <w:rsid w:val="00B56BF2"/>
    <w:rsid w:val="00B56D36"/>
    <w:rsid w:val="00B57242"/>
    <w:rsid w:val="00B57387"/>
    <w:rsid w:val="00B57399"/>
    <w:rsid w:val="00B574D2"/>
    <w:rsid w:val="00B576AF"/>
    <w:rsid w:val="00B5790D"/>
    <w:rsid w:val="00B57C4D"/>
    <w:rsid w:val="00B57FD3"/>
    <w:rsid w:val="00B60122"/>
    <w:rsid w:val="00B60252"/>
    <w:rsid w:val="00B6078D"/>
    <w:rsid w:val="00B607CE"/>
    <w:rsid w:val="00B60819"/>
    <w:rsid w:val="00B608B3"/>
    <w:rsid w:val="00B608C2"/>
    <w:rsid w:val="00B60EB9"/>
    <w:rsid w:val="00B60EEA"/>
    <w:rsid w:val="00B612DD"/>
    <w:rsid w:val="00B6136B"/>
    <w:rsid w:val="00B6191E"/>
    <w:rsid w:val="00B61B6B"/>
    <w:rsid w:val="00B61BF6"/>
    <w:rsid w:val="00B61EB8"/>
    <w:rsid w:val="00B6214E"/>
    <w:rsid w:val="00B621B3"/>
    <w:rsid w:val="00B62B32"/>
    <w:rsid w:val="00B63155"/>
    <w:rsid w:val="00B634D0"/>
    <w:rsid w:val="00B63767"/>
    <w:rsid w:val="00B63BD9"/>
    <w:rsid w:val="00B640AB"/>
    <w:rsid w:val="00B64418"/>
    <w:rsid w:val="00B64617"/>
    <w:rsid w:val="00B647CF"/>
    <w:rsid w:val="00B64939"/>
    <w:rsid w:val="00B64D62"/>
    <w:rsid w:val="00B64DDF"/>
    <w:rsid w:val="00B65344"/>
    <w:rsid w:val="00B65901"/>
    <w:rsid w:val="00B65C2A"/>
    <w:rsid w:val="00B65E63"/>
    <w:rsid w:val="00B66392"/>
    <w:rsid w:val="00B6652A"/>
    <w:rsid w:val="00B6698F"/>
    <w:rsid w:val="00B66DC5"/>
    <w:rsid w:val="00B67085"/>
    <w:rsid w:val="00B67B1C"/>
    <w:rsid w:val="00B67CF6"/>
    <w:rsid w:val="00B67EE4"/>
    <w:rsid w:val="00B7039D"/>
    <w:rsid w:val="00B70683"/>
    <w:rsid w:val="00B70CD6"/>
    <w:rsid w:val="00B71043"/>
    <w:rsid w:val="00B712FE"/>
    <w:rsid w:val="00B7150B"/>
    <w:rsid w:val="00B71560"/>
    <w:rsid w:val="00B7158B"/>
    <w:rsid w:val="00B716F3"/>
    <w:rsid w:val="00B71F62"/>
    <w:rsid w:val="00B71FFE"/>
    <w:rsid w:val="00B724D4"/>
    <w:rsid w:val="00B725C8"/>
    <w:rsid w:val="00B7262D"/>
    <w:rsid w:val="00B72785"/>
    <w:rsid w:val="00B728EF"/>
    <w:rsid w:val="00B73017"/>
    <w:rsid w:val="00B73BE0"/>
    <w:rsid w:val="00B73E36"/>
    <w:rsid w:val="00B73EFF"/>
    <w:rsid w:val="00B73FEC"/>
    <w:rsid w:val="00B7423B"/>
    <w:rsid w:val="00B748CA"/>
    <w:rsid w:val="00B74C75"/>
    <w:rsid w:val="00B74D51"/>
    <w:rsid w:val="00B7531F"/>
    <w:rsid w:val="00B756DC"/>
    <w:rsid w:val="00B757F0"/>
    <w:rsid w:val="00B75C19"/>
    <w:rsid w:val="00B760AB"/>
    <w:rsid w:val="00B76725"/>
    <w:rsid w:val="00B76AA8"/>
    <w:rsid w:val="00B76BAB"/>
    <w:rsid w:val="00B76C4F"/>
    <w:rsid w:val="00B76F4D"/>
    <w:rsid w:val="00B770DB"/>
    <w:rsid w:val="00B77523"/>
    <w:rsid w:val="00B779D6"/>
    <w:rsid w:val="00B77C18"/>
    <w:rsid w:val="00B77C1D"/>
    <w:rsid w:val="00B77C3F"/>
    <w:rsid w:val="00B801F3"/>
    <w:rsid w:val="00B8052A"/>
    <w:rsid w:val="00B8071C"/>
    <w:rsid w:val="00B807AE"/>
    <w:rsid w:val="00B80850"/>
    <w:rsid w:val="00B80913"/>
    <w:rsid w:val="00B80999"/>
    <w:rsid w:val="00B809E9"/>
    <w:rsid w:val="00B80FC8"/>
    <w:rsid w:val="00B81065"/>
    <w:rsid w:val="00B8113B"/>
    <w:rsid w:val="00B81168"/>
    <w:rsid w:val="00B812D0"/>
    <w:rsid w:val="00B81673"/>
    <w:rsid w:val="00B81810"/>
    <w:rsid w:val="00B81B6C"/>
    <w:rsid w:val="00B81C9A"/>
    <w:rsid w:val="00B81ED4"/>
    <w:rsid w:val="00B82526"/>
    <w:rsid w:val="00B826A1"/>
    <w:rsid w:val="00B828EB"/>
    <w:rsid w:val="00B83615"/>
    <w:rsid w:val="00B83AD2"/>
    <w:rsid w:val="00B83D1B"/>
    <w:rsid w:val="00B83D50"/>
    <w:rsid w:val="00B83E0B"/>
    <w:rsid w:val="00B843A8"/>
    <w:rsid w:val="00B8444B"/>
    <w:rsid w:val="00B846DD"/>
    <w:rsid w:val="00B8490D"/>
    <w:rsid w:val="00B84932"/>
    <w:rsid w:val="00B84A48"/>
    <w:rsid w:val="00B850D7"/>
    <w:rsid w:val="00B8517C"/>
    <w:rsid w:val="00B85365"/>
    <w:rsid w:val="00B85599"/>
    <w:rsid w:val="00B85AF1"/>
    <w:rsid w:val="00B85BED"/>
    <w:rsid w:val="00B85DC3"/>
    <w:rsid w:val="00B85F59"/>
    <w:rsid w:val="00B86114"/>
    <w:rsid w:val="00B8623D"/>
    <w:rsid w:val="00B8633C"/>
    <w:rsid w:val="00B865AC"/>
    <w:rsid w:val="00B86BAA"/>
    <w:rsid w:val="00B86D3B"/>
    <w:rsid w:val="00B86DF3"/>
    <w:rsid w:val="00B871CF"/>
    <w:rsid w:val="00B87301"/>
    <w:rsid w:val="00B87398"/>
    <w:rsid w:val="00B87431"/>
    <w:rsid w:val="00B87BF7"/>
    <w:rsid w:val="00B87C2E"/>
    <w:rsid w:val="00B87C8B"/>
    <w:rsid w:val="00B87DC4"/>
    <w:rsid w:val="00B905B4"/>
    <w:rsid w:val="00B90883"/>
    <w:rsid w:val="00B90F1C"/>
    <w:rsid w:val="00B912B8"/>
    <w:rsid w:val="00B918B3"/>
    <w:rsid w:val="00B918FB"/>
    <w:rsid w:val="00B91AE7"/>
    <w:rsid w:val="00B92373"/>
    <w:rsid w:val="00B92C31"/>
    <w:rsid w:val="00B9303E"/>
    <w:rsid w:val="00B93653"/>
    <w:rsid w:val="00B93786"/>
    <w:rsid w:val="00B9389A"/>
    <w:rsid w:val="00B938A5"/>
    <w:rsid w:val="00B93EC5"/>
    <w:rsid w:val="00B944EA"/>
    <w:rsid w:val="00B94509"/>
    <w:rsid w:val="00B94720"/>
    <w:rsid w:val="00B9491F"/>
    <w:rsid w:val="00B94BD4"/>
    <w:rsid w:val="00B94E70"/>
    <w:rsid w:val="00B94E74"/>
    <w:rsid w:val="00B95544"/>
    <w:rsid w:val="00B95619"/>
    <w:rsid w:val="00B957CA"/>
    <w:rsid w:val="00B957DD"/>
    <w:rsid w:val="00B95AB9"/>
    <w:rsid w:val="00B95F65"/>
    <w:rsid w:val="00B95F6C"/>
    <w:rsid w:val="00B9630B"/>
    <w:rsid w:val="00B96367"/>
    <w:rsid w:val="00B963FB"/>
    <w:rsid w:val="00B9650C"/>
    <w:rsid w:val="00B96B25"/>
    <w:rsid w:val="00B96EB2"/>
    <w:rsid w:val="00B96F3E"/>
    <w:rsid w:val="00B96F83"/>
    <w:rsid w:val="00B974AB"/>
    <w:rsid w:val="00B9778D"/>
    <w:rsid w:val="00B97FA7"/>
    <w:rsid w:val="00BA03B4"/>
    <w:rsid w:val="00BA0B6E"/>
    <w:rsid w:val="00BA1044"/>
    <w:rsid w:val="00BA13C0"/>
    <w:rsid w:val="00BA1622"/>
    <w:rsid w:val="00BA187C"/>
    <w:rsid w:val="00BA1D47"/>
    <w:rsid w:val="00BA22DE"/>
    <w:rsid w:val="00BA2316"/>
    <w:rsid w:val="00BA2456"/>
    <w:rsid w:val="00BA248F"/>
    <w:rsid w:val="00BA26DB"/>
    <w:rsid w:val="00BA2BEE"/>
    <w:rsid w:val="00BA2D3D"/>
    <w:rsid w:val="00BA2EAD"/>
    <w:rsid w:val="00BA3185"/>
    <w:rsid w:val="00BA46D7"/>
    <w:rsid w:val="00BA47D2"/>
    <w:rsid w:val="00BA483D"/>
    <w:rsid w:val="00BA4883"/>
    <w:rsid w:val="00BA4962"/>
    <w:rsid w:val="00BA4D54"/>
    <w:rsid w:val="00BA4E3E"/>
    <w:rsid w:val="00BA5462"/>
    <w:rsid w:val="00BA54BB"/>
    <w:rsid w:val="00BA5716"/>
    <w:rsid w:val="00BA5876"/>
    <w:rsid w:val="00BA5879"/>
    <w:rsid w:val="00BA5A03"/>
    <w:rsid w:val="00BA5E4E"/>
    <w:rsid w:val="00BA6027"/>
    <w:rsid w:val="00BA6143"/>
    <w:rsid w:val="00BA63D0"/>
    <w:rsid w:val="00BA6856"/>
    <w:rsid w:val="00BA699B"/>
    <w:rsid w:val="00BA6A66"/>
    <w:rsid w:val="00BA6EAF"/>
    <w:rsid w:val="00BA70D1"/>
    <w:rsid w:val="00BA7102"/>
    <w:rsid w:val="00BA7326"/>
    <w:rsid w:val="00BA7A64"/>
    <w:rsid w:val="00BA7A69"/>
    <w:rsid w:val="00BA7E88"/>
    <w:rsid w:val="00BB000D"/>
    <w:rsid w:val="00BB00BA"/>
    <w:rsid w:val="00BB02B8"/>
    <w:rsid w:val="00BB02CA"/>
    <w:rsid w:val="00BB02F1"/>
    <w:rsid w:val="00BB03E5"/>
    <w:rsid w:val="00BB0686"/>
    <w:rsid w:val="00BB0B93"/>
    <w:rsid w:val="00BB0D68"/>
    <w:rsid w:val="00BB0FE5"/>
    <w:rsid w:val="00BB1244"/>
    <w:rsid w:val="00BB1914"/>
    <w:rsid w:val="00BB1A6A"/>
    <w:rsid w:val="00BB1A6D"/>
    <w:rsid w:val="00BB1EEC"/>
    <w:rsid w:val="00BB1F96"/>
    <w:rsid w:val="00BB211E"/>
    <w:rsid w:val="00BB2202"/>
    <w:rsid w:val="00BB27AA"/>
    <w:rsid w:val="00BB2928"/>
    <w:rsid w:val="00BB2DF9"/>
    <w:rsid w:val="00BB2EF5"/>
    <w:rsid w:val="00BB3150"/>
    <w:rsid w:val="00BB388F"/>
    <w:rsid w:val="00BB3ED2"/>
    <w:rsid w:val="00BB40ED"/>
    <w:rsid w:val="00BB41EA"/>
    <w:rsid w:val="00BB4B1C"/>
    <w:rsid w:val="00BB4C02"/>
    <w:rsid w:val="00BB51C3"/>
    <w:rsid w:val="00BB597C"/>
    <w:rsid w:val="00BB5EC5"/>
    <w:rsid w:val="00BB635F"/>
    <w:rsid w:val="00BB6402"/>
    <w:rsid w:val="00BB6773"/>
    <w:rsid w:val="00BB68EF"/>
    <w:rsid w:val="00BB6DF2"/>
    <w:rsid w:val="00BB6FAB"/>
    <w:rsid w:val="00BB7161"/>
    <w:rsid w:val="00BB76C4"/>
    <w:rsid w:val="00BB7912"/>
    <w:rsid w:val="00BB7B13"/>
    <w:rsid w:val="00BC079C"/>
    <w:rsid w:val="00BC08A2"/>
    <w:rsid w:val="00BC09E5"/>
    <w:rsid w:val="00BC0E0D"/>
    <w:rsid w:val="00BC119D"/>
    <w:rsid w:val="00BC11B3"/>
    <w:rsid w:val="00BC1248"/>
    <w:rsid w:val="00BC132E"/>
    <w:rsid w:val="00BC16C1"/>
    <w:rsid w:val="00BC17A6"/>
    <w:rsid w:val="00BC21D9"/>
    <w:rsid w:val="00BC2340"/>
    <w:rsid w:val="00BC250B"/>
    <w:rsid w:val="00BC27CE"/>
    <w:rsid w:val="00BC2929"/>
    <w:rsid w:val="00BC3463"/>
    <w:rsid w:val="00BC34AE"/>
    <w:rsid w:val="00BC34DD"/>
    <w:rsid w:val="00BC3BFE"/>
    <w:rsid w:val="00BC4014"/>
    <w:rsid w:val="00BC4556"/>
    <w:rsid w:val="00BC45D1"/>
    <w:rsid w:val="00BC46C0"/>
    <w:rsid w:val="00BC4967"/>
    <w:rsid w:val="00BC49B0"/>
    <w:rsid w:val="00BC49E0"/>
    <w:rsid w:val="00BC4E67"/>
    <w:rsid w:val="00BC5199"/>
    <w:rsid w:val="00BC531C"/>
    <w:rsid w:val="00BC592D"/>
    <w:rsid w:val="00BC62D5"/>
    <w:rsid w:val="00BC6864"/>
    <w:rsid w:val="00BC69BC"/>
    <w:rsid w:val="00BC6DE5"/>
    <w:rsid w:val="00BC6F9C"/>
    <w:rsid w:val="00BC70BE"/>
    <w:rsid w:val="00BC7523"/>
    <w:rsid w:val="00BC7D3A"/>
    <w:rsid w:val="00BC7D6F"/>
    <w:rsid w:val="00BC7F7E"/>
    <w:rsid w:val="00BD02F5"/>
    <w:rsid w:val="00BD1059"/>
    <w:rsid w:val="00BD1649"/>
    <w:rsid w:val="00BD187D"/>
    <w:rsid w:val="00BD1EEB"/>
    <w:rsid w:val="00BD2187"/>
    <w:rsid w:val="00BD21FF"/>
    <w:rsid w:val="00BD243E"/>
    <w:rsid w:val="00BD2503"/>
    <w:rsid w:val="00BD27A2"/>
    <w:rsid w:val="00BD2891"/>
    <w:rsid w:val="00BD2B7D"/>
    <w:rsid w:val="00BD2DCD"/>
    <w:rsid w:val="00BD33D3"/>
    <w:rsid w:val="00BD3666"/>
    <w:rsid w:val="00BD3741"/>
    <w:rsid w:val="00BD375F"/>
    <w:rsid w:val="00BD3AEC"/>
    <w:rsid w:val="00BD43FC"/>
    <w:rsid w:val="00BD4860"/>
    <w:rsid w:val="00BD48A9"/>
    <w:rsid w:val="00BD4D0D"/>
    <w:rsid w:val="00BD5079"/>
    <w:rsid w:val="00BD588C"/>
    <w:rsid w:val="00BD5DAE"/>
    <w:rsid w:val="00BD5DFF"/>
    <w:rsid w:val="00BD5F10"/>
    <w:rsid w:val="00BD63DF"/>
    <w:rsid w:val="00BD64A6"/>
    <w:rsid w:val="00BD64C5"/>
    <w:rsid w:val="00BD69F8"/>
    <w:rsid w:val="00BD7065"/>
    <w:rsid w:val="00BD7218"/>
    <w:rsid w:val="00BD7D09"/>
    <w:rsid w:val="00BD7DFA"/>
    <w:rsid w:val="00BD7E16"/>
    <w:rsid w:val="00BE01B3"/>
    <w:rsid w:val="00BE02D0"/>
    <w:rsid w:val="00BE05EF"/>
    <w:rsid w:val="00BE0823"/>
    <w:rsid w:val="00BE0BA0"/>
    <w:rsid w:val="00BE0BED"/>
    <w:rsid w:val="00BE0F6E"/>
    <w:rsid w:val="00BE15F6"/>
    <w:rsid w:val="00BE1684"/>
    <w:rsid w:val="00BE1A1A"/>
    <w:rsid w:val="00BE1A68"/>
    <w:rsid w:val="00BE1AA1"/>
    <w:rsid w:val="00BE1B04"/>
    <w:rsid w:val="00BE1BB3"/>
    <w:rsid w:val="00BE1F26"/>
    <w:rsid w:val="00BE20B9"/>
    <w:rsid w:val="00BE2196"/>
    <w:rsid w:val="00BE23CF"/>
    <w:rsid w:val="00BE248A"/>
    <w:rsid w:val="00BE2A6C"/>
    <w:rsid w:val="00BE2D38"/>
    <w:rsid w:val="00BE2F89"/>
    <w:rsid w:val="00BE3156"/>
    <w:rsid w:val="00BE3640"/>
    <w:rsid w:val="00BE371B"/>
    <w:rsid w:val="00BE3C7E"/>
    <w:rsid w:val="00BE3CCB"/>
    <w:rsid w:val="00BE4327"/>
    <w:rsid w:val="00BE4671"/>
    <w:rsid w:val="00BE4BC0"/>
    <w:rsid w:val="00BE4C3D"/>
    <w:rsid w:val="00BE53DC"/>
    <w:rsid w:val="00BE5702"/>
    <w:rsid w:val="00BE593E"/>
    <w:rsid w:val="00BE5DE1"/>
    <w:rsid w:val="00BE5DF3"/>
    <w:rsid w:val="00BE60D9"/>
    <w:rsid w:val="00BE669C"/>
    <w:rsid w:val="00BE7283"/>
    <w:rsid w:val="00BE7978"/>
    <w:rsid w:val="00BE7E98"/>
    <w:rsid w:val="00BF024F"/>
    <w:rsid w:val="00BF07F9"/>
    <w:rsid w:val="00BF0A8D"/>
    <w:rsid w:val="00BF0DF6"/>
    <w:rsid w:val="00BF135D"/>
    <w:rsid w:val="00BF1BEE"/>
    <w:rsid w:val="00BF1CE6"/>
    <w:rsid w:val="00BF1D91"/>
    <w:rsid w:val="00BF244A"/>
    <w:rsid w:val="00BF290C"/>
    <w:rsid w:val="00BF2E64"/>
    <w:rsid w:val="00BF2E70"/>
    <w:rsid w:val="00BF3794"/>
    <w:rsid w:val="00BF37D1"/>
    <w:rsid w:val="00BF3BBE"/>
    <w:rsid w:val="00BF3C94"/>
    <w:rsid w:val="00BF415A"/>
    <w:rsid w:val="00BF4604"/>
    <w:rsid w:val="00BF49E3"/>
    <w:rsid w:val="00BF4BE1"/>
    <w:rsid w:val="00BF4C13"/>
    <w:rsid w:val="00BF4DAF"/>
    <w:rsid w:val="00BF51C1"/>
    <w:rsid w:val="00BF568B"/>
    <w:rsid w:val="00BF5DF4"/>
    <w:rsid w:val="00BF5F27"/>
    <w:rsid w:val="00BF65FC"/>
    <w:rsid w:val="00BF69FB"/>
    <w:rsid w:val="00BF6F6C"/>
    <w:rsid w:val="00BF70C2"/>
    <w:rsid w:val="00BF7CE5"/>
    <w:rsid w:val="00BF7E5A"/>
    <w:rsid w:val="00C0006E"/>
    <w:rsid w:val="00C000D5"/>
    <w:rsid w:val="00C005AE"/>
    <w:rsid w:val="00C00A4F"/>
    <w:rsid w:val="00C00B86"/>
    <w:rsid w:val="00C00D77"/>
    <w:rsid w:val="00C01178"/>
    <w:rsid w:val="00C01197"/>
    <w:rsid w:val="00C01661"/>
    <w:rsid w:val="00C01FDA"/>
    <w:rsid w:val="00C0204C"/>
    <w:rsid w:val="00C02212"/>
    <w:rsid w:val="00C022F6"/>
    <w:rsid w:val="00C02491"/>
    <w:rsid w:val="00C024EF"/>
    <w:rsid w:val="00C025CD"/>
    <w:rsid w:val="00C02EE0"/>
    <w:rsid w:val="00C033A5"/>
    <w:rsid w:val="00C035F1"/>
    <w:rsid w:val="00C037FB"/>
    <w:rsid w:val="00C0398E"/>
    <w:rsid w:val="00C03993"/>
    <w:rsid w:val="00C03CCB"/>
    <w:rsid w:val="00C03D9F"/>
    <w:rsid w:val="00C040AC"/>
    <w:rsid w:val="00C04210"/>
    <w:rsid w:val="00C0425F"/>
    <w:rsid w:val="00C042AE"/>
    <w:rsid w:val="00C0480E"/>
    <w:rsid w:val="00C050BF"/>
    <w:rsid w:val="00C05190"/>
    <w:rsid w:val="00C051A3"/>
    <w:rsid w:val="00C05260"/>
    <w:rsid w:val="00C053E2"/>
    <w:rsid w:val="00C05449"/>
    <w:rsid w:val="00C05514"/>
    <w:rsid w:val="00C05C63"/>
    <w:rsid w:val="00C0605C"/>
    <w:rsid w:val="00C06386"/>
    <w:rsid w:val="00C064DE"/>
    <w:rsid w:val="00C066BC"/>
    <w:rsid w:val="00C06754"/>
    <w:rsid w:val="00C06AE7"/>
    <w:rsid w:val="00C06DBD"/>
    <w:rsid w:val="00C0722A"/>
    <w:rsid w:val="00C07996"/>
    <w:rsid w:val="00C1033A"/>
    <w:rsid w:val="00C1048F"/>
    <w:rsid w:val="00C104EB"/>
    <w:rsid w:val="00C10A5F"/>
    <w:rsid w:val="00C10CBB"/>
    <w:rsid w:val="00C10FBA"/>
    <w:rsid w:val="00C114AE"/>
    <w:rsid w:val="00C11610"/>
    <w:rsid w:val="00C1165A"/>
    <w:rsid w:val="00C1186E"/>
    <w:rsid w:val="00C11889"/>
    <w:rsid w:val="00C118A3"/>
    <w:rsid w:val="00C11B59"/>
    <w:rsid w:val="00C11BE3"/>
    <w:rsid w:val="00C11C76"/>
    <w:rsid w:val="00C1239F"/>
    <w:rsid w:val="00C12856"/>
    <w:rsid w:val="00C12931"/>
    <w:rsid w:val="00C129F1"/>
    <w:rsid w:val="00C1300B"/>
    <w:rsid w:val="00C1303F"/>
    <w:rsid w:val="00C1311A"/>
    <w:rsid w:val="00C13422"/>
    <w:rsid w:val="00C137EB"/>
    <w:rsid w:val="00C13892"/>
    <w:rsid w:val="00C13993"/>
    <w:rsid w:val="00C13A57"/>
    <w:rsid w:val="00C13C6F"/>
    <w:rsid w:val="00C13CBB"/>
    <w:rsid w:val="00C13F6C"/>
    <w:rsid w:val="00C14110"/>
    <w:rsid w:val="00C141BD"/>
    <w:rsid w:val="00C1483D"/>
    <w:rsid w:val="00C148BF"/>
    <w:rsid w:val="00C1492C"/>
    <w:rsid w:val="00C14BDE"/>
    <w:rsid w:val="00C14C7C"/>
    <w:rsid w:val="00C14F6E"/>
    <w:rsid w:val="00C153C4"/>
    <w:rsid w:val="00C15408"/>
    <w:rsid w:val="00C156FE"/>
    <w:rsid w:val="00C1618E"/>
    <w:rsid w:val="00C161F8"/>
    <w:rsid w:val="00C163F2"/>
    <w:rsid w:val="00C164F8"/>
    <w:rsid w:val="00C166EC"/>
    <w:rsid w:val="00C169B2"/>
    <w:rsid w:val="00C169EB"/>
    <w:rsid w:val="00C17584"/>
    <w:rsid w:val="00C176D9"/>
    <w:rsid w:val="00C17AC2"/>
    <w:rsid w:val="00C17B98"/>
    <w:rsid w:val="00C17D8E"/>
    <w:rsid w:val="00C17FCE"/>
    <w:rsid w:val="00C20148"/>
    <w:rsid w:val="00C20164"/>
    <w:rsid w:val="00C205BF"/>
    <w:rsid w:val="00C20AC6"/>
    <w:rsid w:val="00C20DC6"/>
    <w:rsid w:val="00C20DCB"/>
    <w:rsid w:val="00C21540"/>
    <w:rsid w:val="00C216C7"/>
    <w:rsid w:val="00C21751"/>
    <w:rsid w:val="00C218C7"/>
    <w:rsid w:val="00C21ABE"/>
    <w:rsid w:val="00C2225E"/>
    <w:rsid w:val="00C225FF"/>
    <w:rsid w:val="00C22604"/>
    <w:rsid w:val="00C2272F"/>
    <w:rsid w:val="00C2352D"/>
    <w:rsid w:val="00C237FB"/>
    <w:rsid w:val="00C23CCE"/>
    <w:rsid w:val="00C23CF6"/>
    <w:rsid w:val="00C249B0"/>
    <w:rsid w:val="00C24A9D"/>
    <w:rsid w:val="00C25440"/>
    <w:rsid w:val="00C255DB"/>
    <w:rsid w:val="00C256D1"/>
    <w:rsid w:val="00C259B2"/>
    <w:rsid w:val="00C25ACB"/>
    <w:rsid w:val="00C25E10"/>
    <w:rsid w:val="00C25EA1"/>
    <w:rsid w:val="00C261BA"/>
    <w:rsid w:val="00C261BB"/>
    <w:rsid w:val="00C2650A"/>
    <w:rsid w:val="00C26A22"/>
    <w:rsid w:val="00C27DB9"/>
    <w:rsid w:val="00C27DF9"/>
    <w:rsid w:val="00C27F23"/>
    <w:rsid w:val="00C27FD3"/>
    <w:rsid w:val="00C3001B"/>
    <w:rsid w:val="00C3087E"/>
    <w:rsid w:val="00C30D12"/>
    <w:rsid w:val="00C3103B"/>
    <w:rsid w:val="00C31124"/>
    <w:rsid w:val="00C312E5"/>
    <w:rsid w:val="00C314E3"/>
    <w:rsid w:val="00C315A7"/>
    <w:rsid w:val="00C319EB"/>
    <w:rsid w:val="00C31DC7"/>
    <w:rsid w:val="00C32103"/>
    <w:rsid w:val="00C3219F"/>
    <w:rsid w:val="00C3239A"/>
    <w:rsid w:val="00C32775"/>
    <w:rsid w:val="00C327CA"/>
    <w:rsid w:val="00C32882"/>
    <w:rsid w:val="00C32925"/>
    <w:rsid w:val="00C32C8F"/>
    <w:rsid w:val="00C32CDB"/>
    <w:rsid w:val="00C33CAD"/>
    <w:rsid w:val="00C33F95"/>
    <w:rsid w:val="00C3417A"/>
    <w:rsid w:val="00C34633"/>
    <w:rsid w:val="00C34669"/>
    <w:rsid w:val="00C34D03"/>
    <w:rsid w:val="00C34F1C"/>
    <w:rsid w:val="00C353B2"/>
    <w:rsid w:val="00C35904"/>
    <w:rsid w:val="00C3590F"/>
    <w:rsid w:val="00C362A5"/>
    <w:rsid w:val="00C367B1"/>
    <w:rsid w:val="00C36A72"/>
    <w:rsid w:val="00C36B06"/>
    <w:rsid w:val="00C37000"/>
    <w:rsid w:val="00C3709E"/>
    <w:rsid w:val="00C373FD"/>
    <w:rsid w:val="00C3759D"/>
    <w:rsid w:val="00C37858"/>
    <w:rsid w:val="00C37CA2"/>
    <w:rsid w:val="00C37CF4"/>
    <w:rsid w:val="00C40068"/>
    <w:rsid w:val="00C40242"/>
    <w:rsid w:val="00C406A2"/>
    <w:rsid w:val="00C40C2A"/>
    <w:rsid w:val="00C41404"/>
    <w:rsid w:val="00C41434"/>
    <w:rsid w:val="00C41A1D"/>
    <w:rsid w:val="00C41B0E"/>
    <w:rsid w:val="00C41BA0"/>
    <w:rsid w:val="00C42183"/>
    <w:rsid w:val="00C4251C"/>
    <w:rsid w:val="00C42556"/>
    <w:rsid w:val="00C42811"/>
    <w:rsid w:val="00C42BA4"/>
    <w:rsid w:val="00C42DFE"/>
    <w:rsid w:val="00C42FCB"/>
    <w:rsid w:val="00C43337"/>
    <w:rsid w:val="00C43718"/>
    <w:rsid w:val="00C438AA"/>
    <w:rsid w:val="00C4427B"/>
    <w:rsid w:val="00C44700"/>
    <w:rsid w:val="00C44AED"/>
    <w:rsid w:val="00C451B1"/>
    <w:rsid w:val="00C4559E"/>
    <w:rsid w:val="00C45607"/>
    <w:rsid w:val="00C45B5F"/>
    <w:rsid w:val="00C46046"/>
    <w:rsid w:val="00C46165"/>
    <w:rsid w:val="00C46323"/>
    <w:rsid w:val="00C46654"/>
    <w:rsid w:val="00C46789"/>
    <w:rsid w:val="00C46BE2"/>
    <w:rsid w:val="00C46CA8"/>
    <w:rsid w:val="00C46F63"/>
    <w:rsid w:val="00C4714E"/>
    <w:rsid w:val="00C4716B"/>
    <w:rsid w:val="00C472AD"/>
    <w:rsid w:val="00C4769B"/>
    <w:rsid w:val="00C4773B"/>
    <w:rsid w:val="00C4780E"/>
    <w:rsid w:val="00C50055"/>
    <w:rsid w:val="00C5009E"/>
    <w:rsid w:val="00C502B9"/>
    <w:rsid w:val="00C503F5"/>
    <w:rsid w:val="00C50672"/>
    <w:rsid w:val="00C50D42"/>
    <w:rsid w:val="00C512DE"/>
    <w:rsid w:val="00C512E7"/>
    <w:rsid w:val="00C51309"/>
    <w:rsid w:val="00C51C32"/>
    <w:rsid w:val="00C51E65"/>
    <w:rsid w:val="00C51FB9"/>
    <w:rsid w:val="00C52149"/>
    <w:rsid w:val="00C521D8"/>
    <w:rsid w:val="00C52275"/>
    <w:rsid w:val="00C5286F"/>
    <w:rsid w:val="00C52EA2"/>
    <w:rsid w:val="00C52F48"/>
    <w:rsid w:val="00C53082"/>
    <w:rsid w:val="00C5320F"/>
    <w:rsid w:val="00C53672"/>
    <w:rsid w:val="00C5383A"/>
    <w:rsid w:val="00C539E1"/>
    <w:rsid w:val="00C53BD6"/>
    <w:rsid w:val="00C5402D"/>
    <w:rsid w:val="00C540D2"/>
    <w:rsid w:val="00C5432D"/>
    <w:rsid w:val="00C543E8"/>
    <w:rsid w:val="00C5440C"/>
    <w:rsid w:val="00C54565"/>
    <w:rsid w:val="00C54749"/>
    <w:rsid w:val="00C5477C"/>
    <w:rsid w:val="00C54B53"/>
    <w:rsid w:val="00C54C38"/>
    <w:rsid w:val="00C55135"/>
    <w:rsid w:val="00C556F4"/>
    <w:rsid w:val="00C55AA3"/>
    <w:rsid w:val="00C55B0D"/>
    <w:rsid w:val="00C55CBF"/>
    <w:rsid w:val="00C55F7D"/>
    <w:rsid w:val="00C56598"/>
    <w:rsid w:val="00C567B3"/>
    <w:rsid w:val="00C5683D"/>
    <w:rsid w:val="00C56840"/>
    <w:rsid w:val="00C568DA"/>
    <w:rsid w:val="00C56B41"/>
    <w:rsid w:val="00C56B52"/>
    <w:rsid w:val="00C56D44"/>
    <w:rsid w:val="00C571A0"/>
    <w:rsid w:val="00C57C62"/>
    <w:rsid w:val="00C57E0E"/>
    <w:rsid w:val="00C57E70"/>
    <w:rsid w:val="00C60059"/>
    <w:rsid w:val="00C6025F"/>
    <w:rsid w:val="00C602BE"/>
    <w:rsid w:val="00C606E6"/>
    <w:rsid w:val="00C6075C"/>
    <w:rsid w:val="00C60800"/>
    <w:rsid w:val="00C60B7B"/>
    <w:rsid w:val="00C60C5E"/>
    <w:rsid w:val="00C60CE5"/>
    <w:rsid w:val="00C60F1B"/>
    <w:rsid w:val="00C61051"/>
    <w:rsid w:val="00C61496"/>
    <w:rsid w:val="00C61DDC"/>
    <w:rsid w:val="00C61E21"/>
    <w:rsid w:val="00C61E3E"/>
    <w:rsid w:val="00C620C9"/>
    <w:rsid w:val="00C62375"/>
    <w:rsid w:val="00C626E7"/>
    <w:rsid w:val="00C628C5"/>
    <w:rsid w:val="00C62BAB"/>
    <w:rsid w:val="00C62E70"/>
    <w:rsid w:val="00C630CE"/>
    <w:rsid w:val="00C63416"/>
    <w:rsid w:val="00C6369A"/>
    <w:rsid w:val="00C6433F"/>
    <w:rsid w:val="00C6441F"/>
    <w:rsid w:val="00C6457F"/>
    <w:rsid w:val="00C647AF"/>
    <w:rsid w:val="00C65978"/>
    <w:rsid w:val="00C6630D"/>
    <w:rsid w:val="00C6671F"/>
    <w:rsid w:val="00C6673E"/>
    <w:rsid w:val="00C66E83"/>
    <w:rsid w:val="00C671B3"/>
    <w:rsid w:val="00C6729B"/>
    <w:rsid w:val="00C672AA"/>
    <w:rsid w:val="00C6791B"/>
    <w:rsid w:val="00C7003E"/>
    <w:rsid w:val="00C7016F"/>
    <w:rsid w:val="00C70B1F"/>
    <w:rsid w:val="00C70C58"/>
    <w:rsid w:val="00C7109D"/>
    <w:rsid w:val="00C718F1"/>
    <w:rsid w:val="00C71CAE"/>
    <w:rsid w:val="00C71DC0"/>
    <w:rsid w:val="00C71E81"/>
    <w:rsid w:val="00C71EC9"/>
    <w:rsid w:val="00C71ED3"/>
    <w:rsid w:val="00C72231"/>
    <w:rsid w:val="00C7251A"/>
    <w:rsid w:val="00C72A04"/>
    <w:rsid w:val="00C733BA"/>
    <w:rsid w:val="00C73550"/>
    <w:rsid w:val="00C735FC"/>
    <w:rsid w:val="00C736AA"/>
    <w:rsid w:val="00C7388A"/>
    <w:rsid w:val="00C73F37"/>
    <w:rsid w:val="00C73F60"/>
    <w:rsid w:val="00C74341"/>
    <w:rsid w:val="00C743F3"/>
    <w:rsid w:val="00C74540"/>
    <w:rsid w:val="00C74CC4"/>
    <w:rsid w:val="00C74DEC"/>
    <w:rsid w:val="00C75446"/>
    <w:rsid w:val="00C75650"/>
    <w:rsid w:val="00C75A03"/>
    <w:rsid w:val="00C760E7"/>
    <w:rsid w:val="00C761FE"/>
    <w:rsid w:val="00C762D2"/>
    <w:rsid w:val="00C76354"/>
    <w:rsid w:val="00C765F3"/>
    <w:rsid w:val="00C76E53"/>
    <w:rsid w:val="00C774D8"/>
    <w:rsid w:val="00C77AFB"/>
    <w:rsid w:val="00C802EF"/>
    <w:rsid w:val="00C8046E"/>
    <w:rsid w:val="00C8099E"/>
    <w:rsid w:val="00C80C56"/>
    <w:rsid w:val="00C80CA8"/>
    <w:rsid w:val="00C81101"/>
    <w:rsid w:val="00C8114A"/>
    <w:rsid w:val="00C811CB"/>
    <w:rsid w:val="00C81284"/>
    <w:rsid w:val="00C816CD"/>
    <w:rsid w:val="00C8173B"/>
    <w:rsid w:val="00C81777"/>
    <w:rsid w:val="00C8194C"/>
    <w:rsid w:val="00C81A72"/>
    <w:rsid w:val="00C81B8C"/>
    <w:rsid w:val="00C81C7B"/>
    <w:rsid w:val="00C81FD5"/>
    <w:rsid w:val="00C82005"/>
    <w:rsid w:val="00C820A5"/>
    <w:rsid w:val="00C82428"/>
    <w:rsid w:val="00C825B1"/>
    <w:rsid w:val="00C82720"/>
    <w:rsid w:val="00C82AA4"/>
    <w:rsid w:val="00C82AEB"/>
    <w:rsid w:val="00C831CC"/>
    <w:rsid w:val="00C83567"/>
    <w:rsid w:val="00C83B78"/>
    <w:rsid w:val="00C83C35"/>
    <w:rsid w:val="00C8405B"/>
    <w:rsid w:val="00C844D7"/>
    <w:rsid w:val="00C84768"/>
    <w:rsid w:val="00C84FC3"/>
    <w:rsid w:val="00C851C4"/>
    <w:rsid w:val="00C85298"/>
    <w:rsid w:val="00C85CCF"/>
    <w:rsid w:val="00C85F35"/>
    <w:rsid w:val="00C8610A"/>
    <w:rsid w:val="00C8625C"/>
    <w:rsid w:val="00C86434"/>
    <w:rsid w:val="00C86927"/>
    <w:rsid w:val="00C86D27"/>
    <w:rsid w:val="00C86EDE"/>
    <w:rsid w:val="00C86F28"/>
    <w:rsid w:val="00C875FC"/>
    <w:rsid w:val="00C879B1"/>
    <w:rsid w:val="00C87CAF"/>
    <w:rsid w:val="00C87E9F"/>
    <w:rsid w:val="00C9031F"/>
    <w:rsid w:val="00C90A8F"/>
    <w:rsid w:val="00C914EB"/>
    <w:rsid w:val="00C91785"/>
    <w:rsid w:val="00C91B5B"/>
    <w:rsid w:val="00C91C6F"/>
    <w:rsid w:val="00C91C9C"/>
    <w:rsid w:val="00C91DBC"/>
    <w:rsid w:val="00C91DC8"/>
    <w:rsid w:val="00C91FAF"/>
    <w:rsid w:val="00C921BA"/>
    <w:rsid w:val="00C92398"/>
    <w:rsid w:val="00C92DC1"/>
    <w:rsid w:val="00C9316F"/>
    <w:rsid w:val="00C931BC"/>
    <w:rsid w:val="00C93ECB"/>
    <w:rsid w:val="00C94046"/>
    <w:rsid w:val="00C941C1"/>
    <w:rsid w:val="00C94375"/>
    <w:rsid w:val="00C94555"/>
    <w:rsid w:val="00C9523F"/>
    <w:rsid w:val="00C953EF"/>
    <w:rsid w:val="00C95AC1"/>
    <w:rsid w:val="00C95CAF"/>
    <w:rsid w:val="00C95E96"/>
    <w:rsid w:val="00C96AD9"/>
    <w:rsid w:val="00C96E85"/>
    <w:rsid w:val="00C97567"/>
    <w:rsid w:val="00C9782F"/>
    <w:rsid w:val="00C978F2"/>
    <w:rsid w:val="00C979CB"/>
    <w:rsid w:val="00C97B22"/>
    <w:rsid w:val="00C97DB8"/>
    <w:rsid w:val="00CA00C2"/>
    <w:rsid w:val="00CA015A"/>
    <w:rsid w:val="00CA0307"/>
    <w:rsid w:val="00CA0621"/>
    <w:rsid w:val="00CA08F8"/>
    <w:rsid w:val="00CA0D94"/>
    <w:rsid w:val="00CA0DB0"/>
    <w:rsid w:val="00CA10B6"/>
    <w:rsid w:val="00CA1120"/>
    <w:rsid w:val="00CA1270"/>
    <w:rsid w:val="00CA14AC"/>
    <w:rsid w:val="00CA1665"/>
    <w:rsid w:val="00CA18CB"/>
    <w:rsid w:val="00CA19DE"/>
    <w:rsid w:val="00CA1A35"/>
    <w:rsid w:val="00CA2111"/>
    <w:rsid w:val="00CA216E"/>
    <w:rsid w:val="00CA2519"/>
    <w:rsid w:val="00CA27C3"/>
    <w:rsid w:val="00CA2EC5"/>
    <w:rsid w:val="00CA2F8B"/>
    <w:rsid w:val="00CA3192"/>
    <w:rsid w:val="00CA34DA"/>
    <w:rsid w:val="00CA3BF2"/>
    <w:rsid w:val="00CA3E66"/>
    <w:rsid w:val="00CA42D3"/>
    <w:rsid w:val="00CA4628"/>
    <w:rsid w:val="00CA481C"/>
    <w:rsid w:val="00CA4BF5"/>
    <w:rsid w:val="00CA5394"/>
    <w:rsid w:val="00CA5B72"/>
    <w:rsid w:val="00CA5C66"/>
    <w:rsid w:val="00CA5CCC"/>
    <w:rsid w:val="00CA6452"/>
    <w:rsid w:val="00CA64A4"/>
    <w:rsid w:val="00CA6700"/>
    <w:rsid w:val="00CA6B86"/>
    <w:rsid w:val="00CA6D58"/>
    <w:rsid w:val="00CA6E80"/>
    <w:rsid w:val="00CA7263"/>
    <w:rsid w:val="00CA78D7"/>
    <w:rsid w:val="00CA7A80"/>
    <w:rsid w:val="00CA7EC1"/>
    <w:rsid w:val="00CB00CF"/>
    <w:rsid w:val="00CB075F"/>
    <w:rsid w:val="00CB0978"/>
    <w:rsid w:val="00CB0B13"/>
    <w:rsid w:val="00CB0F38"/>
    <w:rsid w:val="00CB0FF3"/>
    <w:rsid w:val="00CB13EE"/>
    <w:rsid w:val="00CB16D0"/>
    <w:rsid w:val="00CB1C4E"/>
    <w:rsid w:val="00CB1D70"/>
    <w:rsid w:val="00CB1F23"/>
    <w:rsid w:val="00CB25AE"/>
    <w:rsid w:val="00CB2BE6"/>
    <w:rsid w:val="00CB34D3"/>
    <w:rsid w:val="00CB382A"/>
    <w:rsid w:val="00CB398B"/>
    <w:rsid w:val="00CB3B31"/>
    <w:rsid w:val="00CB3D94"/>
    <w:rsid w:val="00CB40BF"/>
    <w:rsid w:val="00CB4692"/>
    <w:rsid w:val="00CB49D3"/>
    <w:rsid w:val="00CB4EB5"/>
    <w:rsid w:val="00CB4FC4"/>
    <w:rsid w:val="00CB5076"/>
    <w:rsid w:val="00CB537B"/>
    <w:rsid w:val="00CB56E0"/>
    <w:rsid w:val="00CB5BDC"/>
    <w:rsid w:val="00CB5C49"/>
    <w:rsid w:val="00CB5C4B"/>
    <w:rsid w:val="00CB5C6D"/>
    <w:rsid w:val="00CB5E63"/>
    <w:rsid w:val="00CB6210"/>
    <w:rsid w:val="00CB64EA"/>
    <w:rsid w:val="00CB6802"/>
    <w:rsid w:val="00CB6A10"/>
    <w:rsid w:val="00CB6B2B"/>
    <w:rsid w:val="00CB6E48"/>
    <w:rsid w:val="00CB7400"/>
    <w:rsid w:val="00CB7550"/>
    <w:rsid w:val="00CB76A9"/>
    <w:rsid w:val="00CB7859"/>
    <w:rsid w:val="00CB7AFA"/>
    <w:rsid w:val="00CC02AE"/>
    <w:rsid w:val="00CC036E"/>
    <w:rsid w:val="00CC0B3B"/>
    <w:rsid w:val="00CC0B7F"/>
    <w:rsid w:val="00CC0E10"/>
    <w:rsid w:val="00CC0F10"/>
    <w:rsid w:val="00CC0FE4"/>
    <w:rsid w:val="00CC1131"/>
    <w:rsid w:val="00CC208F"/>
    <w:rsid w:val="00CC224C"/>
    <w:rsid w:val="00CC2701"/>
    <w:rsid w:val="00CC278B"/>
    <w:rsid w:val="00CC2B0B"/>
    <w:rsid w:val="00CC2B9D"/>
    <w:rsid w:val="00CC3307"/>
    <w:rsid w:val="00CC3417"/>
    <w:rsid w:val="00CC3844"/>
    <w:rsid w:val="00CC39CA"/>
    <w:rsid w:val="00CC3C22"/>
    <w:rsid w:val="00CC3DDB"/>
    <w:rsid w:val="00CC40B2"/>
    <w:rsid w:val="00CC4517"/>
    <w:rsid w:val="00CC45C3"/>
    <w:rsid w:val="00CC484D"/>
    <w:rsid w:val="00CC4878"/>
    <w:rsid w:val="00CC4E75"/>
    <w:rsid w:val="00CC52FC"/>
    <w:rsid w:val="00CC5834"/>
    <w:rsid w:val="00CC58CB"/>
    <w:rsid w:val="00CC5929"/>
    <w:rsid w:val="00CC6175"/>
    <w:rsid w:val="00CC6197"/>
    <w:rsid w:val="00CC62A1"/>
    <w:rsid w:val="00CC6451"/>
    <w:rsid w:val="00CC64F2"/>
    <w:rsid w:val="00CC67A3"/>
    <w:rsid w:val="00CC683A"/>
    <w:rsid w:val="00CC6878"/>
    <w:rsid w:val="00CC696D"/>
    <w:rsid w:val="00CC6ACE"/>
    <w:rsid w:val="00CC6D4F"/>
    <w:rsid w:val="00CC73EB"/>
    <w:rsid w:val="00CC7489"/>
    <w:rsid w:val="00CC7C42"/>
    <w:rsid w:val="00CC7D55"/>
    <w:rsid w:val="00CD015D"/>
    <w:rsid w:val="00CD0265"/>
    <w:rsid w:val="00CD064F"/>
    <w:rsid w:val="00CD083B"/>
    <w:rsid w:val="00CD0CCF"/>
    <w:rsid w:val="00CD0ECA"/>
    <w:rsid w:val="00CD12FC"/>
    <w:rsid w:val="00CD1837"/>
    <w:rsid w:val="00CD1AF4"/>
    <w:rsid w:val="00CD1CD7"/>
    <w:rsid w:val="00CD22B6"/>
    <w:rsid w:val="00CD257C"/>
    <w:rsid w:val="00CD2701"/>
    <w:rsid w:val="00CD29B0"/>
    <w:rsid w:val="00CD2EFB"/>
    <w:rsid w:val="00CD3D1E"/>
    <w:rsid w:val="00CD3D5F"/>
    <w:rsid w:val="00CD431A"/>
    <w:rsid w:val="00CD4463"/>
    <w:rsid w:val="00CD4550"/>
    <w:rsid w:val="00CD45CD"/>
    <w:rsid w:val="00CD4A8B"/>
    <w:rsid w:val="00CD4E36"/>
    <w:rsid w:val="00CD4FF2"/>
    <w:rsid w:val="00CD53EE"/>
    <w:rsid w:val="00CD57FF"/>
    <w:rsid w:val="00CD5CBB"/>
    <w:rsid w:val="00CD5D4C"/>
    <w:rsid w:val="00CD5E09"/>
    <w:rsid w:val="00CD66F1"/>
    <w:rsid w:val="00CD6D8F"/>
    <w:rsid w:val="00CD739D"/>
    <w:rsid w:val="00CD7751"/>
    <w:rsid w:val="00CD7A21"/>
    <w:rsid w:val="00CD7B8B"/>
    <w:rsid w:val="00CE0514"/>
    <w:rsid w:val="00CE0B26"/>
    <w:rsid w:val="00CE0CEA"/>
    <w:rsid w:val="00CE105A"/>
    <w:rsid w:val="00CE10EF"/>
    <w:rsid w:val="00CE153F"/>
    <w:rsid w:val="00CE1B0A"/>
    <w:rsid w:val="00CE1C01"/>
    <w:rsid w:val="00CE1FA7"/>
    <w:rsid w:val="00CE20FC"/>
    <w:rsid w:val="00CE262A"/>
    <w:rsid w:val="00CE2653"/>
    <w:rsid w:val="00CE2923"/>
    <w:rsid w:val="00CE2AF8"/>
    <w:rsid w:val="00CE2C67"/>
    <w:rsid w:val="00CE30F0"/>
    <w:rsid w:val="00CE31A5"/>
    <w:rsid w:val="00CE36D1"/>
    <w:rsid w:val="00CE36D6"/>
    <w:rsid w:val="00CE3710"/>
    <w:rsid w:val="00CE39A7"/>
    <w:rsid w:val="00CE3B50"/>
    <w:rsid w:val="00CE3BF0"/>
    <w:rsid w:val="00CE3E53"/>
    <w:rsid w:val="00CE3F5B"/>
    <w:rsid w:val="00CE4010"/>
    <w:rsid w:val="00CE4C83"/>
    <w:rsid w:val="00CE568E"/>
    <w:rsid w:val="00CE574D"/>
    <w:rsid w:val="00CE5C5B"/>
    <w:rsid w:val="00CE6391"/>
    <w:rsid w:val="00CE65F9"/>
    <w:rsid w:val="00CE67D0"/>
    <w:rsid w:val="00CE6A25"/>
    <w:rsid w:val="00CE6B27"/>
    <w:rsid w:val="00CE6FD0"/>
    <w:rsid w:val="00CE7687"/>
    <w:rsid w:val="00CE7B38"/>
    <w:rsid w:val="00CE7E86"/>
    <w:rsid w:val="00CE7E9F"/>
    <w:rsid w:val="00CF0367"/>
    <w:rsid w:val="00CF0764"/>
    <w:rsid w:val="00CF07C5"/>
    <w:rsid w:val="00CF0D9D"/>
    <w:rsid w:val="00CF115C"/>
    <w:rsid w:val="00CF128F"/>
    <w:rsid w:val="00CF131B"/>
    <w:rsid w:val="00CF146C"/>
    <w:rsid w:val="00CF1B4B"/>
    <w:rsid w:val="00CF1DBB"/>
    <w:rsid w:val="00CF2722"/>
    <w:rsid w:val="00CF2A1B"/>
    <w:rsid w:val="00CF2B42"/>
    <w:rsid w:val="00CF2F7B"/>
    <w:rsid w:val="00CF3212"/>
    <w:rsid w:val="00CF35AA"/>
    <w:rsid w:val="00CF39D2"/>
    <w:rsid w:val="00CF3C73"/>
    <w:rsid w:val="00CF3C9D"/>
    <w:rsid w:val="00CF3D15"/>
    <w:rsid w:val="00CF3EFD"/>
    <w:rsid w:val="00CF42F4"/>
    <w:rsid w:val="00CF43AF"/>
    <w:rsid w:val="00CF49CC"/>
    <w:rsid w:val="00CF4A01"/>
    <w:rsid w:val="00CF5606"/>
    <w:rsid w:val="00CF59C9"/>
    <w:rsid w:val="00CF5E0D"/>
    <w:rsid w:val="00CF5F3D"/>
    <w:rsid w:val="00CF6569"/>
    <w:rsid w:val="00CF65E6"/>
    <w:rsid w:val="00CF67B7"/>
    <w:rsid w:val="00CF68DF"/>
    <w:rsid w:val="00CF7276"/>
    <w:rsid w:val="00CF7378"/>
    <w:rsid w:val="00CF791B"/>
    <w:rsid w:val="00CF7C8B"/>
    <w:rsid w:val="00D0056E"/>
    <w:rsid w:val="00D00E9E"/>
    <w:rsid w:val="00D014B4"/>
    <w:rsid w:val="00D017D3"/>
    <w:rsid w:val="00D01AAE"/>
    <w:rsid w:val="00D01AE2"/>
    <w:rsid w:val="00D01B15"/>
    <w:rsid w:val="00D01CB2"/>
    <w:rsid w:val="00D01D08"/>
    <w:rsid w:val="00D01DA9"/>
    <w:rsid w:val="00D02711"/>
    <w:rsid w:val="00D029BD"/>
    <w:rsid w:val="00D02A47"/>
    <w:rsid w:val="00D02ADA"/>
    <w:rsid w:val="00D02CA0"/>
    <w:rsid w:val="00D03193"/>
    <w:rsid w:val="00D03768"/>
    <w:rsid w:val="00D03B0C"/>
    <w:rsid w:val="00D03F20"/>
    <w:rsid w:val="00D041DB"/>
    <w:rsid w:val="00D043F1"/>
    <w:rsid w:val="00D04834"/>
    <w:rsid w:val="00D04A52"/>
    <w:rsid w:val="00D053C5"/>
    <w:rsid w:val="00D057CD"/>
    <w:rsid w:val="00D05874"/>
    <w:rsid w:val="00D058C6"/>
    <w:rsid w:val="00D05911"/>
    <w:rsid w:val="00D05917"/>
    <w:rsid w:val="00D05BF2"/>
    <w:rsid w:val="00D06214"/>
    <w:rsid w:val="00D06B6B"/>
    <w:rsid w:val="00D06D85"/>
    <w:rsid w:val="00D0724B"/>
    <w:rsid w:val="00D07391"/>
    <w:rsid w:val="00D0739B"/>
    <w:rsid w:val="00D07558"/>
    <w:rsid w:val="00D0766B"/>
    <w:rsid w:val="00D079C3"/>
    <w:rsid w:val="00D07BFF"/>
    <w:rsid w:val="00D07E62"/>
    <w:rsid w:val="00D1010E"/>
    <w:rsid w:val="00D1028F"/>
    <w:rsid w:val="00D10614"/>
    <w:rsid w:val="00D1077D"/>
    <w:rsid w:val="00D107E7"/>
    <w:rsid w:val="00D10CC8"/>
    <w:rsid w:val="00D1105D"/>
    <w:rsid w:val="00D11551"/>
    <w:rsid w:val="00D11FE1"/>
    <w:rsid w:val="00D12165"/>
    <w:rsid w:val="00D12793"/>
    <w:rsid w:val="00D12848"/>
    <w:rsid w:val="00D128CA"/>
    <w:rsid w:val="00D12919"/>
    <w:rsid w:val="00D12BF4"/>
    <w:rsid w:val="00D12C6B"/>
    <w:rsid w:val="00D12C7A"/>
    <w:rsid w:val="00D12CCA"/>
    <w:rsid w:val="00D12FE4"/>
    <w:rsid w:val="00D1327E"/>
    <w:rsid w:val="00D1391C"/>
    <w:rsid w:val="00D1395C"/>
    <w:rsid w:val="00D13C6C"/>
    <w:rsid w:val="00D142AB"/>
    <w:rsid w:val="00D14464"/>
    <w:rsid w:val="00D14B1E"/>
    <w:rsid w:val="00D14F50"/>
    <w:rsid w:val="00D15285"/>
    <w:rsid w:val="00D155A5"/>
    <w:rsid w:val="00D155B0"/>
    <w:rsid w:val="00D15B88"/>
    <w:rsid w:val="00D15C9A"/>
    <w:rsid w:val="00D15DEA"/>
    <w:rsid w:val="00D165E9"/>
    <w:rsid w:val="00D16655"/>
    <w:rsid w:val="00D1707A"/>
    <w:rsid w:val="00D170A4"/>
    <w:rsid w:val="00D17607"/>
    <w:rsid w:val="00D178FC"/>
    <w:rsid w:val="00D17A61"/>
    <w:rsid w:val="00D17CF8"/>
    <w:rsid w:val="00D17E05"/>
    <w:rsid w:val="00D17EA1"/>
    <w:rsid w:val="00D20914"/>
    <w:rsid w:val="00D20B72"/>
    <w:rsid w:val="00D20CEC"/>
    <w:rsid w:val="00D213E7"/>
    <w:rsid w:val="00D21514"/>
    <w:rsid w:val="00D21D4E"/>
    <w:rsid w:val="00D220E6"/>
    <w:rsid w:val="00D22778"/>
    <w:rsid w:val="00D22A0C"/>
    <w:rsid w:val="00D22CF9"/>
    <w:rsid w:val="00D22DCC"/>
    <w:rsid w:val="00D22F06"/>
    <w:rsid w:val="00D233B0"/>
    <w:rsid w:val="00D23661"/>
    <w:rsid w:val="00D236F8"/>
    <w:rsid w:val="00D23B75"/>
    <w:rsid w:val="00D23C14"/>
    <w:rsid w:val="00D23E2D"/>
    <w:rsid w:val="00D24592"/>
    <w:rsid w:val="00D24C24"/>
    <w:rsid w:val="00D254BA"/>
    <w:rsid w:val="00D2566A"/>
    <w:rsid w:val="00D257DA"/>
    <w:rsid w:val="00D25A2C"/>
    <w:rsid w:val="00D25A99"/>
    <w:rsid w:val="00D25B77"/>
    <w:rsid w:val="00D25C06"/>
    <w:rsid w:val="00D25C9C"/>
    <w:rsid w:val="00D25DF9"/>
    <w:rsid w:val="00D26003"/>
    <w:rsid w:val="00D26746"/>
    <w:rsid w:val="00D26EBA"/>
    <w:rsid w:val="00D30031"/>
    <w:rsid w:val="00D307FF"/>
    <w:rsid w:val="00D3088A"/>
    <w:rsid w:val="00D30EAE"/>
    <w:rsid w:val="00D30F74"/>
    <w:rsid w:val="00D31011"/>
    <w:rsid w:val="00D312E4"/>
    <w:rsid w:val="00D3162D"/>
    <w:rsid w:val="00D31F3A"/>
    <w:rsid w:val="00D31F75"/>
    <w:rsid w:val="00D31FD2"/>
    <w:rsid w:val="00D324AB"/>
    <w:rsid w:val="00D3262D"/>
    <w:rsid w:val="00D3265B"/>
    <w:rsid w:val="00D327E7"/>
    <w:rsid w:val="00D32A41"/>
    <w:rsid w:val="00D32D0D"/>
    <w:rsid w:val="00D32EDF"/>
    <w:rsid w:val="00D33155"/>
    <w:rsid w:val="00D33365"/>
    <w:rsid w:val="00D3367A"/>
    <w:rsid w:val="00D346D4"/>
    <w:rsid w:val="00D3488E"/>
    <w:rsid w:val="00D34982"/>
    <w:rsid w:val="00D34C2F"/>
    <w:rsid w:val="00D34EA6"/>
    <w:rsid w:val="00D351D5"/>
    <w:rsid w:val="00D35377"/>
    <w:rsid w:val="00D35812"/>
    <w:rsid w:val="00D35AA9"/>
    <w:rsid w:val="00D36471"/>
    <w:rsid w:val="00D36638"/>
    <w:rsid w:val="00D366FB"/>
    <w:rsid w:val="00D36821"/>
    <w:rsid w:val="00D36CCD"/>
    <w:rsid w:val="00D374D3"/>
    <w:rsid w:val="00D37758"/>
    <w:rsid w:val="00D37794"/>
    <w:rsid w:val="00D377D9"/>
    <w:rsid w:val="00D3783E"/>
    <w:rsid w:val="00D37B78"/>
    <w:rsid w:val="00D37BF7"/>
    <w:rsid w:val="00D37CB3"/>
    <w:rsid w:val="00D37FF0"/>
    <w:rsid w:val="00D40170"/>
    <w:rsid w:val="00D4051D"/>
    <w:rsid w:val="00D40573"/>
    <w:rsid w:val="00D405B8"/>
    <w:rsid w:val="00D41089"/>
    <w:rsid w:val="00D411F2"/>
    <w:rsid w:val="00D418CB"/>
    <w:rsid w:val="00D41BAA"/>
    <w:rsid w:val="00D41C48"/>
    <w:rsid w:val="00D4206F"/>
    <w:rsid w:val="00D420F2"/>
    <w:rsid w:val="00D42706"/>
    <w:rsid w:val="00D42A63"/>
    <w:rsid w:val="00D42F4F"/>
    <w:rsid w:val="00D43005"/>
    <w:rsid w:val="00D4377E"/>
    <w:rsid w:val="00D43AB2"/>
    <w:rsid w:val="00D43AC0"/>
    <w:rsid w:val="00D43E00"/>
    <w:rsid w:val="00D4418D"/>
    <w:rsid w:val="00D44476"/>
    <w:rsid w:val="00D444AD"/>
    <w:rsid w:val="00D444C0"/>
    <w:rsid w:val="00D44A0B"/>
    <w:rsid w:val="00D44B31"/>
    <w:rsid w:val="00D452CF"/>
    <w:rsid w:val="00D45513"/>
    <w:rsid w:val="00D45585"/>
    <w:rsid w:val="00D455B8"/>
    <w:rsid w:val="00D455FA"/>
    <w:rsid w:val="00D45D71"/>
    <w:rsid w:val="00D4607A"/>
    <w:rsid w:val="00D4636F"/>
    <w:rsid w:val="00D46737"/>
    <w:rsid w:val="00D4729A"/>
    <w:rsid w:val="00D4741B"/>
    <w:rsid w:val="00D4751C"/>
    <w:rsid w:val="00D475A1"/>
    <w:rsid w:val="00D47912"/>
    <w:rsid w:val="00D47DEF"/>
    <w:rsid w:val="00D50201"/>
    <w:rsid w:val="00D50397"/>
    <w:rsid w:val="00D50A03"/>
    <w:rsid w:val="00D50A39"/>
    <w:rsid w:val="00D512EA"/>
    <w:rsid w:val="00D51376"/>
    <w:rsid w:val="00D51618"/>
    <w:rsid w:val="00D51635"/>
    <w:rsid w:val="00D51D03"/>
    <w:rsid w:val="00D51E79"/>
    <w:rsid w:val="00D51FE7"/>
    <w:rsid w:val="00D522D8"/>
    <w:rsid w:val="00D5256E"/>
    <w:rsid w:val="00D52657"/>
    <w:rsid w:val="00D52D04"/>
    <w:rsid w:val="00D5338A"/>
    <w:rsid w:val="00D53AF2"/>
    <w:rsid w:val="00D53D35"/>
    <w:rsid w:val="00D53EEC"/>
    <w:rsid w:val="00D541AE"/>
    <w:rsid w:val="00D5422A"/>
    <w:rsid w:val="00D54699"/>
    <w:rsid w:val="00D547FC"/>
    <w:rsid w:val="00D54B46"/>
    <w:rsid w:val="00D5511B"/>
    <w:rsid w:val="00D551A1"/>
    <w:rsid w:val="00D55730"/>
    <w:rsid w:val="00D558A0"/>
    <w:rsid w:val="00D55B9C"/>
    <w:rsid w:val="00D55C4C"/>
    <w:rsid w:val="00D55E1E"/>
    <w:rsid w:val="00D5611A"/>
    <w:rsid w:val="00D57B91"/>
    <w:rsid w:val="00D57BC8"/>
    <w:rsid w:val="00D57D42"/>
    <w:rsid w:val="00D60210"/>
    <w:rsid w:val="00D609F8"/>
    <w:rsid w:val="00D60A0E"/>
    <w:rsid w:val="00D615DC"/>
    <w:rsid w:val="00D61755"/>
    <w:rsid w:val="00D61EB2"/>
    <w:rsid w:val="00D61F4C"/>
    <w:rsid w:val="00D62300"/>
    <w:rsid w:val="00D62475"/>
    <w:rsid w:val="00D6261C"/>
    <w:rsid w:val="00D6265B"/>
    <w:rsid w:val="00D62766"/>
    <w:rsid w:val="00D62858"/>
    <w:rsid w:val="00D629B9"/>
    <w:rsid w:val="00D62D22"/>
    <w:rsid w:val="00D62D2C"/>
    <w:rsid w:val="00D62E44"/>
    <w:rsid w:val="00D62F5C"/>
    <w:rsid w:val="00D63018"/>
    <w:rsid w:val="00D631C3"/>
    <w:rsid w:val="00D63570"/>
    <w:rsid w:val="00D6364A"/>
    <w:rsid w:val="00D637C9"/>
    <w:rsid w:val="00D640B1"/>
    <w:rsid w:val="00D6415C"/>
    <w:rsid w:val="00D6440E"/>
    <w:rsid w:val="00D6467E"/>
    <w:rsid w:val="00D6476A"/>
    <w:rsid w:val="00D64A20"/>
    <w:rsid w:val="00D64AC9"/>
    <w:rsid w:val="00D64E4F"/>
    <w:rsid w:val="00D64EA4"/>
    <w:rsid w:val="00D65097"/>
    <w:rsid w:val="00D654D0"/>
    <w:rsid w:val="00D6564F"/>
    <w:rsid w:val="00D656AB"/>
    <w:rsid w:val="00D65852"/>
    <w:rsid w:val="00D659A7"/>
    <w:rsid w:val="00D65CEC"/>
    <w:rsid w:val="00D65D52"/>
    <w:rsid w:val="00D65FD8"/>
    <w:rsid w:val="00D661A2"/>
    <w:rsid w:val="00D66241"/>
    <w:rsid w:val="00D662B1"/>
    <w:rsid w:val="00D6680A"/>
    <w:rsid w:val="00D66959"/>
    <w:rsid w:val="00D6697A"/>
    <w:rsid w:val="00D66C42"/>
    <w:rsid w:val="00D66CC6"/>
    <w:rsid w:val="00D66E03"/>
    <w:rsid w:val="00D67151"/>
    <w:rsid w:val="00D67164"/>
    <w:rsid w:val="00D6749F"/>
    <w:rsid w:val="00D676CD"/>
    <w:rsid w:val="00D67A3B"/>
    <w:rsid w:val="00D67B20"/>
    <w:rsid w:val="00D7013E"/>
    <w:rsid w:val="00D70149"/>
    <w:rsid w:val="00D7084B"/>
    <w:rsid w:val="00D70E65"/>
    <w:rsid w:val="00D71038"/>
    <w:rsid w:val="00D710B6"/>
    <w:rsid w:val="00D71D77"/>
    <w:rsid w:val="00D71DDA"/>
    <w:rsid w:val="00D71FB0"/>
    <w:rsid w:val="00D7200B"/>
    <w:rsid w:val="00D7250D"/>
    <w:rsid w:val="00D72BC1"/>
    <w:rsid w:val="00D72BF6"/>
    <w:rsid w:val="00D72E0F"/>
    <w:rsid w:val="00D72F28"/>
    <w:rsid w:val="00D7327B"/>
    <w:rsid w:val="00D733F1"/>
    <w:rsid w:val="00D735D7"/>
    <w:rsid w:val="00D73827"/>
    <w:rsid w:val="00D73D69"/>
    <w:rsid w:val="00D74299"/>
    <w:rsid w:val="00D7433F"/>
    <w:rsid w:val="00D74429"/>
    <w:rsid w:val="00D7452B"/>
    <w:rsid w:val="00D74638"/>
    <w:rsid w:val="00D74D00"/>
    <w:rsid w:val="00D74D38"/>
    <w:rsid w:val="00D74D80"/>
    <w:rsid w:val="00D750E1"/>
    <w:rsid w:val="00D7591F"/>
    <w:rsid w:val="00D75C01"/>
    <w:rsid w:val="00D75C56"/>
    <w:rsid w:val="00D7621B"/>
    <w:rsid w:val="00D765B4"/>
    <w:rsid w:val="00D765ED"/>
    <w:rsid w:val="00D767FA"/>
    <w:rsid w:val="00D76B78"/>
    <w:rsid w:val="00D76BF2"/>
    <w:rsid w:val="00D771DB"/>
    <w:rsid w:val="00D7723D"/>
    <w:rsid w:val="00D77271"/>
    <w:rsid w:val="00D7746C"/>
    <w:rsid w:val="00D776BD"/>
    <w:rsid w:val="00D776D6"/>
    <w:rsid w:val="00D7784B"/>
    <w:rsid w:val="00D77976"/>
    <w:rsid w:val="00D77A85"/>
    <w:rsid w:val="00D77B7F"/>
    <w:rsid w:val="00D800A7"/>
    <w:rsid w:val="00D80810"/>
    <w:rsid w:val="00D808E6"/>
    <w:rsid w:val="00D80935"/>
    <w:rsid w:val="00D80FE1"/>
    <w:rsid w:val="00D81049"/>
    <w:rsid w:val="00D81ACA"/>
    <w:rsid w:val="00D81F4B"/>
    <w:rsid w:val="00D81FB8"/>
    <w:rsid w:val="00D82496"/>
    <w:rsid w:val="00D826F8"/>
    <w:rsid w:val="00D828EF"/>
    <w:rsid w:val="00D835F6"/>
    <w:rsid w:val="00D83632"/>
    <w:rsid w:val="00D83749"/>
    <w:rsid w:val="00D83AC9"/>
    <w:rsid w:val="00D83C75"/>
    <w:rsid w:val="00D843E0"/>
    <w:rsid w:val="00D84639"/>
    <w:rsid w:val="00D84924"/>
    <w:rsid w:val="00D84942"/>
    <w:rsid w:val="00D849A2"/>
    <w:rsid w:val="00D84CD2"/>
    <w:rsid w:val="00D856B6"/>
    <w:rsid w:val="00D85754"/>
    <w:rsid w:val="00D8579A"/>
    <w:rsid w:val="00D85C02"/>
    <w:rsid w:val="00D85E3C"/>
    <w:rsid w:val="00D85F30"/>
    <w:rsid w:val="00D86233"/>
    <w:rsid w:val="00D86520"/>
    <w:rsid w:val="00D86A3D"/>
    <w:rsid w:val="00D86E24"/>
    <w:rsid w:val="00D87281"/>
    <w:rsid w:val="00D87320"/>
    <w:rsid w:val="00D873FE"/>
    <w:rsid w:val="00D875CA"/>
    <w:rsid w:val="00D87AFB"/>
    <w:rsid w:val="00D87E88"/>
    <w:rsid w:val="00D87EAD"/>
    <w:rsid w:val="00D9052D"/>
    <w:rsid w:val="00D90953"/>
    <w:rsid w:val="00D9106C"/>
    <w:rsid w:val="00D910FA"/>
    <w:rsid w:val="00D9136E"/>
    <w:rsid w:val="00D914D6"/>
    <w:rsid w:val="00D919D2"/>
    <w:rsid w:val="00D919F4"/>
    <w:rsid w:val="00D91D29"/>
    <w:rsid w:val="00D92298"/>
    <w:rsid w:val="00D9250F"/>
    <w:rsid w:val="00D93159"/>
    <w:rsid w:val="00D93605"/>
    <w:rsid w:val="00D93652"/>
    <w:rsid w:val="00D93ACC"/>
    <w:rsid w:val="00D93B18"/>
    <w:rsid w:val="00D93D74"/>
    <w:rsid w:val="00D93F62"/>
    <w:rsid w:val="00D942C0"/>
    <w:rsid w:val="00D94442"/>
    <w:rsid w:val="00D947B3"/>
    <w:rsid w:val="00D94959"/>
    <w:rsid w:val="00D9527B"/>
    <w:rsid w:val="00D95D98"/>
    <w:rsid w:val="00D95DB3"/>
    <w:rsid w:val="00D95EA1"/>
    <w:rsid w:val="00D974B0"/>
    <w:rsid w:val="00D97590"/>
    <w:rsid w:val="00D976A6"/>
    <w:rsid w:val="00D97889"/>
    <w:rsid w:val="00D9792B"/>
    <w:rsid w:val="00DA0126"/>
    <w:rsid w:val="00DA01E0"/>
    <w:rsid w:val="00DA0BB8"/>
    <w:rsid w:val="00DA0D04"/>
    <w:rsid w:val="00DA0E12"/>
    <w:rsid w:val="00DA1180"/>
    <w:rsid w:val="00DA16C8"/>
    <w:rsid w:val="00DA16E5"/>
    <w:rsid w:val="00DA1948"/>
    <w:rsid w:val="00DA1EF6"/>
    <w:rsid w:val="00DA2573"/>
    <w:rsid w:val="00DA2A3A"/>
    <w:rsid w:val="00DA2CC3"/>
    <w:rsid w:val="00DA33E8"/>
    <w:rsid w:val="00DA37EC"/>
    <w:rsid w:val="00DA38FF"/>
    <w:rsid w:val="00DA397B"/>
    <w:rsid w:val="00DA3F8C"/>
    <w:rsid w:val="00DA4299"/>
    <w:rsid w:val="00DA4495"/>
    <w:rsid w:val="00DA44DA"/>
    <w:rsid w:val="00DA4521"/>
    <w:rsid w:val="00DA45FE"/>
    <w:rsid w:val="00DA495D"/>
    <w:rsid w:val="00DA4DA2"/>
    <w:rsid w:val="00DA51D4"/>
    <w:rsid w:val="00DA53A6"/>
    <w:rsid w:val="00DA5C6B"/>
    <w:rsid w:val="00DA5DBA"/>
    <w:rsid w:val="00DA62FE"/>
    <w:rsid w:val="00DA63B8"/>
    <w:rsid w:val="00DA68EF"/>
    <w:rsid w:val="00DA6BD7"/>
    <w:rsid w:val="00DA6C92"/>
    <w:rsid w:val="00DA6E23"/>
    <w:rsid w:val="00DA7013"/>
    <w:rsid w:val="00DA7200"/>
    <w:rsid w:val="00DA7210"/>
    <w:rsid w:val="00DA7521"/>
    <w:rsid w:val="00DA789B"/>
    <w:rsid w:val="00DA789F"/>
    <w:rsid w:val="00DA7A17"/>
    <w:rsid w:val="00DA7A91"/>
    <w:rsid w:val="00DA7D41"/>
    <w:rsid w:val="00DA7ED0"/>
    <w:rsid w:val="00DB0199"/>
    <w:rsid w:val="00DB01DE"/>
    <w:rsid w:val="00DB03EF"/>
    <w:rsid w:val="00DB04EC"/>
    <w:rsid w:val="00DB0867"/>
    <w:rsid w:val="00DB08BB"/>
    <w:rsid w:val="00DB0C19"/>
    <w:rsid w:val="00DB0CB9"/>
    <w:rsid w:val="00DB1264"/>
    <w:rsid w:val="00DB1303"/>
    <w:rsid w:val="00DB17A1"/>
    <w:rsid w:val="00DB18B1"/>
    <w:rsid w:val="00DB1C47"/>
    <w:rsid w:val="00DB21AC"/>
    <w:rsid w:val="00DB2259"/>
    <w:rsid w:val="00DB261A"/>
    <w:rsid w:val="00DB2FA2"/>
    <w:rsid w:val="00DB310E"/>
    <w:rsid w:val="00DB311B"/>
    <w:rsid w:val="00DB31BF"/>
    <w:rsid w:val="00DB3B40"/>
    <w:rsid w:val="00DB46D0"/>
    <w:rsid w:val="00DB4960"/>
    <w:rsid w:val="00DB529E"/>
    <w:rsid w:val="00DB52E5"/>
    <w:rsid w:val="00DB580E"/>
    <w:rsid w:val="00DB5A3E"/>
    <w:rsid w:val="00DB5B1D"/>
    <w:rsid w:val="00DB5C36"/>
    <w:rsid w:val="00DB62C7"/>
    <w:rsid w:val="00DB6515"/>
    <w:rsid w:val="00DB69AA"/>
    <w:rsid w:val="00DB6E65"/>
    <w:rsid w:val="00DB7098"/>
    <w:rsid w:val="00DB72D9"/>
    <w:rsid w:val="00DB736D"/>
    <w:rsid w:val="00DB78F0"/>
    <w:rsid w:val="00DB7C06"/>
    <w:rsid w:val="00DB7C1B"/>
    <w:rsid w:val="00DB7F09"/>
    <w:rsid w:val="00DC00B9"/>
    <w:rsid w:val="00DC00E2"/>
    <w:rsid w:val="00DC035F"/>
    <w:rsid w:val="00DC0586"/>
    <w:rsid w:val="00DC0FE1"/>
    <w:rsid w:val="00DC1716"/>
    <w:rsid w:val="00DC1ABA"/>
    <w:rsid w:val="00DC1B0C"/>
    <w:rsid w:val="00DC1D38"/>
    <w:rsid w:val="00DC1F66"/>
    <w:rsid w:val="00DC24D4"/>
    <w:rsid w:val="00DC2563"/>
    <w:rsid w:val="00DC34B6"/>
    <w:rsid w:val="00DC35F6"/>
    <w:rsid w:val="00DC3B85"/>
    <w:rsid w:val="00DC3C91"/>
    <w:rsid w:val="00DC440E"/>
    <w:rsid w:val="00DC46F4"/>
    <w:rsid w:val="00DC5441"/>
    <w:rsid w:val="00DC588B"/>
    <w:rsid w:val="00DC589E"/>
    <w:rsid w:val="00DC637E"/>
    <w:rsid w:val="00DC67D5"/>
    <w:rsid w:val="00DC6BFC"/>
    <w:rsid w:val="00DC6D09"/>
    <w:rsid w:val="00DC76E3"/>
    <w:rsid w:val="00DC782F"/>
    <w:rsid w:val="00DC7CB1"/>
    <w:rsid w:val="00DD09CC"/>
    <w:rsid w:val="00DD0A9C"/>
    <w:rsid w:val="00DD0DBF"/>
    <w:rsid w:val="00DD147D"/>
    <w:rsid w:val="00DD1765"/>
    <w:rsid w:val="00DD1978"/>
    <w:rsid w:val="00DD1B33"/>
    <w:rsid w:val="00DD200C"/>
    <w:rsid w:val="00DD252C"/>
    <w:rsid w:val="00DD258A"/>
    <w:rsid w:val="00DD25A9"/>
    <w:rsid w:val="00DD277C"/>
    <w:rsid w:val="00DD2BEE"/>
    <w:rsid w:val="00DD2FB1"/>
    <w:rsid w:val="00DD3220"/>
    <w:rsid w:val="00DD32C6"/>
    <w:rsid w:val="00DD3470"/>
    <w:rsid w:val="00DD3984"/>
    <w:rsid w:val="00DD3B73"/>
    <w:rsid w:val="00DD3BE2"/>
    <w:rsid w:val="00DD3BFB"/>
    <w:rsid w:val="00DD41AA"/>
    <w:rsid w:val="00DD4261"/>
    <w:rsid w:val="00DD4B49"/>
    <w:rsid w:val="00DD4B74"/>
    <w:rsid w:val="00DD4B7A"/>
    <w:rsid w:val="00DD4C65"/>
    <w:rsid w:val="00DD4DF5"/>
    <w:rsid w:val="00DD4F09"/>
    <w:rsid w:val="00DD56D4"/>
    <w:rsid w:val="00DD5780"/>
    <w:rsid w:val="00DD5C5D"/>
    <w:rsid w:val="00DD6107"/>
    <w:rsid w:val="00DD6305"/>
    <w:rsid w:val="00DD6413"/>
    <w:rsid w:val="00DD6456"/>
    <w:rsid w:val="00DD6790"/>
    <w:rsid w:val="00DD67BF"/>
    <w:rsid w:val="00DD69A9"/>
    <w:rsid w:val="00DD69C8"/>
    <w:rsid w:val="00DD716A"/>
    <w:rsid w:val="00DD71F8"/>
    <w:rsid w:val="00DD753B"/>
    <w:rsid w:val="00DD769F"/>
    <w:rsid w:val="00DD785D"/>
    <w:rsid w:val="00DD78B7"/>
    <w:rsid w:val="00DD7DF3"/>
    <w:rsid w:val="00DE00C7"/>
    <w:rsid w:val="00DE00E4"/>
    <w:rsid w:val="00DE03DB"/>
    <w:rsid w:val="00DE067B"/>
    <w:rsid w:val="00DE08AE"/>
    <w:rsid w:val="00DE0A6E"/>
    <w:rsid w:val="00DE1691"/>
    <w:rsid w:val="00DE2388"/>
    <w:rsid w:val="00DE2408"/>
    <w:rsid w:val="00DE262E"/>
    <w:rsid w:val="00DE274E"/>
    <w:rsid w:val="00DE275D"/>
    <w:rsid w:val="00DE2D12"/>
    <w:rsid w:val="00DE2EFE"/>
    <w:rsid w:val="00DE3264"/>
    <w:rsid w:val="00DE34BB"/>
    <w:rsid w:val="00DE355A"/>
    <w:rsid w:val="00DE388F"/>
    <w:rsid w:val="00DE3C87"/>
    <w:rsid w:val="00DE3FF3"/>
    <w:rsid w:val="00DE4237"/>
    <w:rsid w:val="00DE4391"/>
    <w:rsid w:val="00DE4747"/>
    <w:rsid w:val="00DE4A8A"/>
    <w:rsid w:val="00DE4B43"/>
    <w:rsid w:val="00DE4B85"/>
    <w:rsid w:val="00DE4B8D"/>
    <w:rsid w:val="00DE4D6F"/>
    <w:rsid w:val="00DE4FC7"/>
    <w:rsid w:val="00DE5304"/>
    <w:rsid w:val="00DE53F5"/>
    <w:rsid w:val="00DE5E21"/>
    <w:rsid w:val="00DE625C"/>
    <w:rsid w:val="00DE63A4"/>
    <w:rsid w:val="00DE67EB"/>
    <w:rsid w:val="00DE6C9A"/>
    <w:rsid w:val="00DE6FFF"/>
    <w:rsid w:val="00DE7650"/>
    <w:rsid w:val="00DE7B56"/>
    <w:rsid w:val="00DE7E47"/>
    <w:rsid w:val="00DE7FBF"/>
    <w:rsid w:val="00DF0364"/>
    <w:rsid w:val="00DF05CE"/>
    <w:rsid w:val="00DF0698"/>
    <w:rsid w:val="00DF09C3"/>
    <w:rsid w:val="00DF0CC5"/>
    <w:rsid w:val="00DF0E0D"/>
    <w:rsid w:val="00DF0E31"/>
    <w:rsid w:val="00DF1168"/>
    <w:rsid w:val="00DF161F"/>
    <w:rsid w:val="00DF1696"/>
    <w:rsid w:val="00DF19B0"/>
    <w:rsid w:val="00DF22C7"/>
    <w:rsid w:val="00DF271B"/>
    <w:rsid w:val="00DF2C64"/>
    <w:rsid w:val="00DF2D2F"/>
    <w:rsid w:val="00DF2EBD"/>
    <w:rsid w:val="00DF32D7"/>
    <w:rsid w:val="00DF38DF"/>
    <w:rsid w:val="00DF44F9"/>
    <w:rsid w:val="00DF4B2A"/>
    <w:rsid w:val="00DF4C30"/>
    <w:rsid w:val="00DF4EFB"/>
    <w:rsid w:val="00DF4F1B"/>
    <w:rsid w:val="00DF5240"/>
    <w:rsid w:val="00DF545F"/>
    <w:rsid w:val="00DF5518"/>
    <w:rsid w:val="00DF55A6"/>
    <w:rsid w:val="00DF573B"/>
    <w:rsid w:val="00DF671F"/>
    <w:rsid w:val="00DF6C81"/>
    <w:rsid w:val="00DF6DB1"/>
    <w:rsid w:val="00DF6F8E"/>
    <w:rsid w:val="00DF7072"/>
    <w:rsid w:val="00DF70BA"/>
    <w:rsid w:val="00DF7311"/>
    <w:rsid w:val="00DF7351"/>
    <w:rsid w:val="00DF7566"/>
    <w:rsid w:val="00DF75F9"/>
    <w:rsid w:val="00DF7763"/>
    <w:rsid w:val="00DF7B7B"/>
    <w:rsid w:val="00DF7CD8"/>
    <w:rsid w:val="00DF7E45"/>
    <w:rsid w:val="00E00458"/>
    <w:rsid w:val="00E008A8"/>
    <w:rsid w:val="00E00C6B"/>
    <w:rsid w:val="00E00D8B"/>
    <w:rsid w:val="00E0104F"/>
    <w:rsid w:val="00E0110E"/>
    <w:rsid w:val="00E0176D"/>
    <w:rsid w:val="00E01897"/>
    <w:rsid w:val="00E018B5"/>
    <w:rsid w:val="00E019AE"/>
    <w:rsid w:val="00E01B9B"/>
    <w:rsid w:val="00E01E94"/>
    <w:rsid w:val="00E024C0"/>
    <w:rsid w:val="00E02594"/>
    <w:rsid w:val="00E02609"/>
    <w:rsid w:val="00E026B8"/>
    <w:rsid w:val="00E029C6"/>
    <w:rsid w:val="00E02BCC"/>
    <w:rsid w:val="00E02D21"/>
    <w:rsid w:val="00E030B1"/>
    <w:rsid w:val="00E03472"/>
    <w:rsid w:val="00E03607"/>
    <w:rsid w:val="00E03959"/>
    <w:rsid w:val="00E039C1"/>
    <w:rsid w:val="00E03C9C"/>
    <w:rsid w:val="00E03D82"/>
    <w:rsid w:val="00E03F3E"/>
    <w:rsid w:val="00E0400F"/>
    <w:rsid w:val="00E043E1"/>
    <w:rsid w:val="00E0458C"/>
    <w:rsid w:val="00E04621"/>
    <w:rsid w:val="00E046EB"/>
    <w:rsid w:val="00E04774"/>
    <w:rsid w:val="00E04A27"/>
    <w:rsid w:val="00E04A2F"/>
    <w:rsid w:val="00E04C05"/>
    <w:rsid w:val="00E05294"/>
    <w:rsid w:val="00E0538C"/>
    <w:rsid w:val="00E053E9"/>
    <w:rsid w:val="00E05546"/>
    <w:rsid w:val="00E0562C"/>
    <w:rsid w:val="00E05F26"/>
    <w:rsid w:val="00E06A7B"/>
    <w:rsid w:val="00E06AD4"/>
    <w:rsid w:val="00E06AE5"/>
    <w:rsid w:val="00E073B9"/>
    <w:rsid w:val="00E073EA"/>
    <w:rsid w:val="00E07A75"/>
    <w:rsid w:val="00E07AB5"/>
    <w:rsid w:val="00E07C47"/>
    <w:rsid w:val="00E10416"/>
    <w:rsid w:val="00E10428"/>
    <w:rsid w:val="00E1057B"/>
    <w:rsid w:val="00E10743"/>
    <w:rsid w:val="00E10830"/>
    <w:rsid w:val="00E10AF7"/>
    <w:rsid w:val="00E10C38"/>
    <w:rsid w:val="00E10DA8"/>
    <w:rsid w:val="00E10E43"/>
    <w:rsid w:val="00E1119C"/>
    <w:rsid w:val="00E11534"/>
    <w:rsid w:val="00E1172C"/>
    <w:rsid w:val="00E119D9"/>
    <w:rsid w:val="00E1226D"/>
    <w:rsid w:val="00E12629"/>
    <w:rsid w:val="00E127AB"/>
    <w:rsid w:val="00E128A4"/>
    <w:rsid w:val="00E12A46"/>
    <w:rsid w:val="00E12CDB"/>
    <w:rsid w:val="00E12EB9"/>
    <w:rsid w:val="00E131F7"/>
    <w:rsid w:val="00E13AD9"/>
    <w:rsid w:val="00E13C29"/>
    <w:rsid w:val="00E13D7E"/>
    <w:rsid w:val="00E14372"/>
    <w:rsid w:val="00E147CC"/>
    <w:rsid w:val="00E1480A"/>
    <w:rsid w:val="00E14944"/>
    <w:rsid w:val="00E14ED1"/>
    <w:rsid w:val="00E14FC2"/>
    <w:rsid w:val="00E15291"/>
    <w:rsid w:val="00E155A5"/>
    <w:rsid w:val="00E15606"/>
    <w:rsid w:val="00E157A8"/>
    <w:rsid w:val="00E15A8B"/>
    <w:rsid w:val="00E15BA9"/>
    <w:rsid w:val="00E15D7A"/>
    <w:rsid w:val="00E160AF"/>
    <w:rsid w:val="00E1620E"/>
    <w:rsid w:val="00E16323"/>
    <w:rsid w:val="00E165AB"/>
    <w:rsid w:val="00E167EB"/>
    <w:rsid w:val="00E17500"/>
    <w:rsid w:val="00E17653"/>
    <w:rsid w:val="00E17820"/>
    <w:rsid w:val="00E17D37"/>
    <w:rsid w:val="00E17E90"/>
    <w:rsid w:val="00E201CC"/>
    <w:rsid w:val="00E20643"/>
    <w:rsid w:val="00E21031"/>
    <w:rsid w:val="00E2170F"/>
    <w:rsid w:val="00E21974"/>
    <w:rsid w:val="00E21F2F"/>
    <w:rsid w:val="00E22110"/>
    <w:rsid w:val="00E222A8"/>
    <w:rsid w:val="00E22E89"/>
    <w:rsid w:val="00E22EC9"/>
    <w:rsid w:val="00E23047"/>
    <w:rsid w:val="00E230D4"/>
    <w:rsid w:val="00E2319E"/>
    <w:rsid w:val="00E236E4"/>
    <w:rsid w:val="00E239AC"/>
    <w:rsid w:val="00E239E8"/>
    <w:rsid w:val="00E23B59"/>
    <w:rsid w:val="00E23C97"/>
    <w:rsid w:val="00E23D74"/>
    <w:rsid w:val="00E23FD4"/>
    <w:rsid w:val="00E243F6"/>
    <w:rsid w:val="00E248EF"/>
    <w:rsid w:val="00E24C51"/>
    <w:rsid w:val="00E251DD"/>
    <w:rsid w:val="00E257F2"/>
    <w:rsid w:val="00E25BCA"/>
    <w:rsid w:val="00E25CFC"/>
    <w:rsid w:val="00E25F60"/>
    <w:rsid w:val="00E2660C"/>
    <w:rsid w:val="00E268E1"/>
    <w:rsid w:val="00E27650"/>
    <w:rsid w:val="00E27A53"/>
    <w:rsid w:val="00E27F01"/>
    <w:rsid w:val="00E30166"/>
    <w:rsid w:val="00E302A7"/>
    <w:rsid w:val="00E303E9"/>
    <w:rsid w:val="00E30535"/>
    <w:rsid w:val="00E30599"/>
    <w:rsid w:val="00E30AE8"/>
    <w:rsid w:val="00E30FAB"/>
    <w:rsid w:val="00E31126"/>
    <w:rsid w:val="00E31229"/>
    <w:rsid w:val="00E31392"/>
    <w:rsid w:val="00E31A41"/>
    <w:rsid w:val="00E31DED"/>
    <w:rsid w:val="00E31E51"/>
    <w:rsid w:val="00E320E0"/>
    <w:rsid w:val="00E32474"/>
    <w:rsid w:val="00E32637"/>
    <w:rsid w:val="00E3277E"/>
    <w:rsid w:val="00E32784"/>
    <w:rsid w:val="00E329C8"/>
    <w:rsid w:val="00E32AE4"/>
    <w:rsid w:val="00E33238"/>
    <w:rsid w:val="00E3323D"/>
    <w:rsid w:val="00E33365"/>
    <w:rsid w:val="00E33393"/>
    <w:rsid w:val="00E3351D"/>
    <w:rsid w:val="00E33C31"/>
    <w:rsid w:val="00E34217"/>
    <w:rsid w:val="00E34B06"/>
    <w:rsid w:val="00E34EC3"/>
    <w:rsid w:val="00E34FC5"/>
    <w:rsid w:val="00E357E5"/>
    <w:rsid w:val="00E3608A"/>
    <w:rsid w:val="00E360E7"/>
    <w:rsid w:val="00E364E7"/>
    <w:rsid w:val="00E366BB"/>
    <w:rsid w:val="00E36E86"/>
    <w:rsid w:val="00E36F7B"/>
    <w:rsid w:val="00E371F2"/>
    <w:rsid w:val="00E376E5"/>
    <w:rsid w:val="00E37981"/>
    <w:rsid w:val="00E40284"/>
    <w:rsid w:val="00E40711"/>
    <w:rsid w:val="00E41877"/>
    <w:rsid w:val="00E41F22"/>
    <w:rsid w:val="00E41FA6"/>
    <w:rsid w:val="00E420AB"/>
    <w:rsid w:val="00E42B51"/>
    <w:rsid w:val="00E43005"/>
    <w:rsid w:val="00E432F3"/>
    <w:rsid w:val="00E4347D"/>
    <w:rsid w:val="00E43766"/>
    <w:rsid w:val="00E43FB3"/>
    <w:rsid w:val="00E43FE4"/>
    <w:rsid w:val="00E441EA"/>
    <w:rsid w:val="00E44209"/>
    <w:rsid w:val="00E4465A"/>
    <w:rsid w:val="00E447D7"/>
    <w:rsid w:val="00E44B5D"/>
    <w:rsid w:val="00E44E7E"/>
    <w:rsid w:val="00E44F5D"/>
    <w:rsid w:val="00E454A3"/>
    <w:rsid w:val="00E45AD0"/>
    <w:rsid w:val="00E45BA3"/>
    <w:rsid w:val="00E461CB"/>
    <w:rsid w:val="00E46491"/>
    <w:rsid w:val="00E46A8F"/>
    <w:rsid w:val="00E470FA"/>
    <w:rsid w:val="00E477B4"/>
    <w:rsid w:val="00E47A50"/>
    <w:rsid w:val="00E47B70"/>
    <w:rsid w:val="00E50157"/>
    <w:rsid w:val="00E5019B"/>
    <w:rsid w:val="00E509C9"/>
    <w:rsid w:val="00E5122D"/>
    <w:rsid w:val="00E51822"/>
    <w:rsid w:val="00E51BB2"/>
    <w:rsid w:val="00E51EA3"/>
    <w:rsid w:val="00E51FC9"/>
    <w:rsid w:val="00E523E8"/>
    <w:rsid w:val="00E52752"/>
    <w:rsid w:val="00E527D2"/>
    <w:rsid w:val="00E52A63"/>
    <w:rsid w:val="00E53136"/>
    <w:rsid w:val="00E5336D"/>
    <w:rsid w:val="00E5391A"/>
    <w:rsid w:val="00E53BE2"/>
    <w:rsid w:val="00E53DBB"/>
    <w:rsid w:val="00E540C1"/>
    <w:rsid w:val="00E54691"/>
    <w:rsid w:val="00E546EA"/>
    <w:rsid w:val="00E546F7"/>
    <w:rsid w:val="00E5475E"/>
    <w:rsid w:val="00E54A34"/>
    <w:rsid w:val="00E54D5A"/>
    <w:rsid w:val="00E55037"/>
    <w:rsid w:val="00E5516A"/>
    <w:rsid w:val="00E552E3"/>
    <w:rsid w:val="00E5557A"/>
    <w:rsid w:val="00E55C2D"/>
    <w:rsid w:val="00E562E4"/>
    <w:rsid w:val="00E5665D"/>
    <w:rsid w:val="00E56877"/>
    <w:rsid w:val="00E56909"/>
    <w:rsid w:val="00E56C23"/>
    <w:rsid w:val="00E5704F"/>
    <w:rsid w:val="00E57256"/>
    <w:rsid w:val="00E57556"/>
    <w:rsid w:val="00E5757D"/>
    <w:rsid w:val="00E57681"/>
    <w:rsid w:val="00E577CA"/>
    <w:rsid w:val="00E579A6"/>
    <w:rsid w:val="00E57A8A"/>
    <w:rsid w:val="00E57BC7"/>
    <w:rsid w:val="00E57E14"/>
    <w:rsid w:val="00E60689"/>
    <w:rsid w:val="00E6168D"/>
    <w:rsid w:val="00E616AE"/>
    <w:rsid w:val="00E61975"/>
    <w:rsid w:val="00E61AFD"/>
    <w:rsid w:val="00E61CD5"/>
    <w:rsid w:val="00E61D12"/>
    <w:rsid w:val="00E623B8"/>
    <w:rsid w:val="00E63288"/>
    <w:rsid w:val="00E632A7"/>
    <w:rsid w:val="00E63637"/>
    <w:rsid w:val="00E638FB"/>
    <w:rsid w:val="00E63F19"/>
    <w:rsid w:val="00E64046"/>
    <w:rsid w:val="00E642CB"/>
    <w:rsid w:val="00E64465"/>
    <w:rsid w:val="00E64492"/>
    <w:rsid w:val="00E64662"/>
    <w:rsid w:val="00E647D3"/>
    <w:rsid w:val="00E6497A"/>
    <w:rsid w:val="00E6497D"/>
    <w:rsid w:val="00E64997"/>
    <w:rsid w:val="00E6519F"/>
    <w:rsid w:val="00E654A8"/>
    <w:rsid w:val="00E65A02"/>
    <w:rsid w:val="00E65AAB"/>
    <w:rsid w:val="00E65BBA"/>
    <w:rsid w:val="00E65CFC"/>
    <w:rsid w:val="00E65EF9"/>
    <w:rsid w:val="00E66236"/>
    <w:rsid w:val="00E66329"/>
    <w:rsid w:val="00E667AD"/>
    <w:rsid w:val="00E66AA1"/>
    <w:rsid w:val="00E66C31"/>
    <w:rsid w:val="00E66E9F"/>
    <w:rsid w:val="00E67299"/>
    <w:rsid w:val="00E67666"/>
    <w:rsid w:val="00E70335"/>
    <w:rsid w:val="00E70339"/>
    <w:rsid w:val="00E70405"/>
    <w:rsid w:val="00E706D7"/>
    <w:rsid w:val="00E709C4"/>
    <w:rsid w:val="00E70BAB"/>
    <w:rsid w:val="00E70BBE"/>
    <w:rsid w:val="00E70E10"/>
    <w:rsid w:val="00E70E7E"/>
    <w:rsid w:val="00E7119C"/>
    <w:rsid w:val="00E71C72"/>
    <w:rsid w:val="00E71CA3"/>
    <w:rsid w:val="00E71F1C"/>
    <w:rsid w:val="00E71F3D"/>
    <w:rsid w:val="00E726EB"/>
    <w:rsid w:val="00E72F54"/>
    <w:rsid w:val="00E731AE"/>
    <w:rsid w:val="00E73296"/>
    <w:rsid w:val="00E73390"/>
    <w:rsid w:val="00E73558"/>
    <w:rsid w:val="00E735DB"/>
    <w:rsid w:val="00E73C06"/>
    <w:rsid w:val="00E73E46"/>
    <w:rsid w:val="00E745B3"/>
    <w:rsid w:val="00E74627"/>
    <w:rsid w:val="00E74729"/>
    <w:rsid w:val="00E74BA7"/>
    <w:rsid w:val="00E753A7"/>
    <w:rsid w:val="00E75927"/>
    <w:rsid w:val="00E765FC"/>
    <w:rsid w:val="00E76652"/>
    <w:rsid w:val="00E766E9"/>
    <w:rsid w:val="00E76871"/>
    <w:rsid w:val="00E76DBC"/>
    <w:rsid w:val="00E76E0F"/>
    <w:rsid w:val="00E77124"/>
    <w:rsid w:val="00E77BB7"/>
    <w:rsid w:val="00E80113"/>
    <w:rsid w:val="00E802F1"/>
    <w:rsid w:val="00E80B67"/>
    <w:rsid w:val="00E81E6A"/>
    <w:rsid w:val="00E821D9"/>
    <w:rsid w:val="00E828F9"/>
    <w:rsid w:val="00E82A9C"/>
    <w:rsid w:val="00E82BB3"/>
    <w:rsid w:val="00E82D77"/>
    <w:rsid w:val="00E83276"/>
    <w:rsid w:val="00E835DC"/>
    <w:rsid w:val="00E83E21"/>
    <w:rsid w:val="00E83E7E"/>
    <w:rsid w:val="00E83FAC"/>
    <w:rsid w:val="00E8419C"/>
    <w:rsid w:val="00E8432F"/>
    <w:rsid w:val="00E845EC"/>
    <w:rsid w:val="00E846BE"/>
    <w:rsid w:val="00E8473D"/>
    <w:rsid w:val="00E8477F"/>
    <w:rsid w:val="00E847E3"/>
    <w:rsid w:val="00E8485A"/>
    <w:rsid w:val="00E84EC9"/>
    <w:rsid w:val="00E84EDD"/>
    <w:rsid w:val="00E84F0D"/>
    <w:rsid w:val="00E856EE"/>
    <w:rsid w:val="00E8570F"/>
    <w:rsid w:val="00E857D3"/>
    <w:rsid w:val="00E8587E"/>
    <w:rsid w:val="00E858CC"/>
    <w:rsid w:val="00E85A21"/>
    <w:rsid w:val="00E85AFD"/>
    <w:rsid w:val="00E85DE2"/>
    <w:rsid w:val="00E85E45"/>
    <w:rsid w:val="00E85E56"/>
    <w:rsid w:val="00E85EBA"/>
    <w:rsid w:val="00E86382"/>
    <w:rsid w:val="00E868C8"/>
    <w:rsid w:val="00E871E9"/>
    <w:rsid w:val="00E87209"/>
    <w:rsid w:val="00E874E6"/>
    <w:rsid w:val="00E90AE4"/>
    <w:rsid w:val="00E90CCC"/>
    <w:rsid w:val="00E90D27"/>
    <w:rsid w:val="00E91257"/>
    <w:rsid w:val="00E91C44"/>
    <w:rsid w:val="00E91D0D"/>
    <w:rsid w:val="00E91E74"/>
    <w:rsid w:val="00E91F34"/>
    <w:rsid w:val="00E92007"/>
    <w:rsid w:val="00E9261A"/>
    <w:rsid w:val="00E92ABA"/>
    <w:rsid w:val="00E92B62"/>
    <w:rsid w:val="00E9363D"/>
    <w:rsid w:val="00E93713"/>
    <w:rsid w:val="00E93896"/>
    <w:rsid w:val="00E93B22"/>
    <w:rsid w:val="00E93FD5"/>
    <w:rsid w:val="00E945C7"/>
    <w:rsid w:val="00E94694"/>
    <w:rsid w:val="00E9495E"/>
    <w:rsid w:val="00E94CB6"/>
    <w:rsid w:val="00E94CF5"/>
    <w:rsid w:val="00E94EE3"/>
    <w:rsid w:val="00E95002"/>
    <w:rsid w:val="00E9535F"/>
    <w:rsid w:val="00E955A3"/>
    <w:rsid w:val="00E95C65"/>
    <w:rsid w:val="00E964D6"/>
    <w:rsid w:val="00E96F3E"/>
    <w:rsid w:val="00E9717A"/>
    <w:rsid w:val="00E97ABB"/>
    <w:rsid w:val="00E97C06"/>
    <w:rsid w:val="00EA018F"/>
    <w:rsid w:val="00EA06F7"/>
    <w:rsid w:val="00EA0BEE"/>
    <w:rsid w:val="00EA0E12"/>
    <w:rsid w:val="00EA1069"/>
    <w:rsid w:val="00EA1179"/>
    <w:rsid w:val="00EA1269"/>
    <w:rsid w:val="00EA1313"/>
    <w:rsid w:val="00EA13E6"/>
    <w:rsid w:val="00EA18D2"/>
    <w:rsid w:val="00EA19EC"/>
    <w:rsid w:val="00EA1B9D"/>
    <w:rsid w:val="00EA1D11"/>
    <w:rsid w:val="00EA20A6"/>
    <w:rsid w:val="00EA22CC"/>
    <w:rsid w:val="00EA2371"/>
    <w:rsid w:val="00EA2527"/>
    <w:rsid w:val="00EA260C"/>
    <w:rsid w:val="00EA277B"/>
    <w:rsid w:val="00EA2BCA"/>
    <w:rsid w:val="00EA2C3B"/>
    <w:rsid w:val="00EA2C48"/>
    <w:rsid w:val="00EA2D3C"/>
    <w:rsid w:val="00EA2E7B"/>
    <w:rsid w:val="00EA3073"/>
    <w:rsid w:val="00EA3078"/>
    <w:rsid w:val="00EA356A"/>
    <w:rsid w:val="00EA3763"/>
    <w:rsid w:val="00EA37B7"/>
    <w:rsid w:val="00EA3A7E"/>
    <w:rsid w:val="00EA4086"/>
    <w:rsid w:val="00EA41FA"/>
    <w:rsid w:val="00EA4C89"/>
    <w:rsid w:val="00EA4F1A"/>
    <w:rsid w:val="00EA5047"/>
    <w:rsid w:val="00EA5053"/>
    <w:rsid w:val="00EA52D9"/>
    <w:rsid w:val="00EA53D9"/>
    <w:rsid w:val="00EA5516"/>
    <w:rsid w:val="00EA5733"/>
    <w:rsid w:val="00EA59BB"/>
    <w:rsid w:val="00EA5B60"/>
    <w:rsid w:val="00EA62C4"/>
    <w:rsid w:val="00EA6672"/>
    <w:rsid w:val="00EA6686"/>
    <w:rsid w:val="00EA67AF"/>
    <w:rsid w:val="00EA6EBA"/>
    <w:rsid w:val="00EA7168"/>
    <w:rsid w:val="00EA762E"/>
    <w:rsid w:val="00EA77DC"/>
    <w:rsid w:val="00EA78A6"/>
    <w:rsid w:val="00EA7A57"/>
    <w:rsid w:val="00EB00A5"/>
    <w:rsid w:val="00EB021B"/>
    <w:rsid w:val="00EB046C"/>
    <w:rsid w:val="00EB07EF"/>
    <w:rsid w:val="00EB126B"/>
    <w:rsid w:val="00EB171D"/>
    <w:rsid w:val="00EB195E"/>
    <w:rsid w:val="00EB1A03"/>
    <w:rsid w:val="00EB1A44"/>
    <w:rsid w:val="00EB1F8E"/>
    <w:rsid w:val="00EB24B1"/>
    <w:rsid w:val="00EB24D0"/>
    <w:rsid w:val="00EB2597"/>
    <w:rsid w:val="00EB2651"/>
    <w:rsid w:val="00EB3040"/>
    <w:rsid w:val="00EB331F"/>
    <w:rsid w:val="00EB33CD"/>
    <w:rsid w:val="00EB38B0"/>
    <w:rsid w:val="00EB3A17"/>
    <w:rsid w:val="00EB3F96"/>
    <w:rsid w:val="00EB4367"/>
    <w:rsid w:val="00EB4976"/>
    <w:rsid w:val="00EB4AE6"/>
    <w:rsid w:val="00EB4E91"/>
    <w:rsid w:val="00EB5100"/>
    <w:rsid w:val="00EB56E8"/>
    <w:rsid w:val="00EB5704"/>
    <w:rsid w:val="00EB5A17"/>
    <w:rsid w:val="00EB5A52"/>
    <w:rsid w:val="00EB5ABA"/>
    <w:rsid w:val="00EB5DE1"/>
    <w:rsid w:val="00EB65BB"/>
    <w:rsid w:val="00EB6E2A"/>
    <w:rsid w:val="00EB6FBD"/>
    <w:rsid w:val="00EB76EA"/>
    <w:rsid w:val="00EB787A"/>
    <w:rsid w:val="00EB7CC6"/>
    <w:rsid w:val="00EB7FB7"/>
    <w:rsid w:val="00EC05D5"/>
    <w:rsid w:val="00EC06A8"/>
    <w:rsid w:val="00EC08FA"/>
    <w:rsid w:val="00EC0AAF"/>
    <w:rsid w:val="00EC0E93"/>
    <w:rsid w:val="00EC1CA1"/>
    <w:rsid w:val="00EC2057"/>
    <w:rsid w:val="00EC251E"/>
    <w:rsid w:val="00EC2C69"/>
    <w:rsid w:val="00EC30B7"/>
    <w:rsid w:val="00EC315F"/>
    <w:rsid w:val="00EC33F1"/>
    <w:rsid w:val="00EC357F"/>
    <w:rsid w:val="00EC3604"/>
    <w:rsid w:val="00EC3803"/>
    <w:rsid w:val="00EC3BE3"/>
    <w:rsid w:val="00EC3CAD"/>
    <w:rsid w:val="00EC3DA8"/>
    <w:rsid w:val="00EC3DD9"/>
    <w:rsid w:val="00EC4CCD"/>
    <w:rsid w:val="00EC5684"/>
    <w:rsid w:val="00EC59C3"/>
    <w:rsid w:val="00EC5B88"/>
    <w:rsid w:val="00EC5C4C"/>
    <w:rsid w:val="00EC5F07"/>
    <w:rsid w:val="00EC6299"/>
    <w:rsid w:val="00EC632A"/>
    <w:rsid w:val="00EC6645"/>
    <w:rsid w:val="00EC66D8"/>
    <w:rsid w:val="00EC6B21"/>
    <w:rsid w:val="00EC706A"/>
    <w:rsid w:val="00EC72A1"/>
    <w:rsid w:val="00EC73C9"/>
    <w:rsid w:val="00EC77F7"/>
    <w:rsid w:val="00EC79F5"/>
    <w:rsid w:val="00EC7C38"/>
    <w:rsid w:val="00ED03AF"/>
    <w:rsid w:val="00ED0AF0"/>
    <w:rsid w:val="00ED0C8A"/>
    <w:rsid w:val="00ED0D55"/>
    <w:rsid w:val="00ED0F54"/>
    <w:rsid w:val="00ED1439"/>
    <w:rsid w:val="00ED166C"/>
    <w:rsid w:val="00ED1A2F"/>
    <w:rsid w:val="00ED1C00"/>
    <w:rsid w:val="00ED1CB2"/>
    <w:rsid w:val="00ED21D9"/>
    <w:rsid w:val="00ED2451"/>
    <w:rsid w:val="00ED2799"/>
    <w:rsid w:val="00ED2962"/>
    <w:rsid w:val="00ED302E"/>
    <w:rsid w:val="00ED36AC"/>
    <w:rsid w:val="00ED37EC"/>
    <w:rsid w:val="00ED39D9"/>
    <w:rsid w:val="00ED3D18"/>
    <w:rsid w:val="00ED3DE7"/>
    <w:rsid w:val="00ED401E"/>
    <w:rsid w:val="00ED4111"/>
    <w:rsid w:val="00ED4148"/>
    <w:rsid w:val="00ED443C"/>
    <w:rsid w:val="00ED4453"/>
    <w:rsid w:val="00ED4653"/>
    <w:rsid w:val="00ED46C7"/>
    <w:rsid w:val="00ED4872"/>
    <w:rsid w:val="00ED48E0"/>
    <w:rsid w:val="00ED49F1"/>
    <w:rsid w:val="00ED4C2F"/>
    <w:rsid w:val="00ED4E2D"/>
    <w:rsid w:val="00ED4E68"/>
    <w:rsid w:val="00ED66B5"/>
    <w:rsid w:val="00ED690F"/>
    <w:rsid w:val="00ED69E3"/>
    <w:rsid w:val="00ED6D6E"/>
    <w:rsid w:val="00ED6FB2"/>
    <w:rsid w:val="00ED709F"/>
    <w:rsid w:val="00ED76EE"/>
    <w:rsid w:val="00ED7D9C"/>
    <w:rsid w:val="00ED7F9D"/>
    <w:rsid w:val="00ED7FDF"/>
    <w:rsid w:val="00EE036A"/>
    <w:rsid w:val="00EE0C66"/>
    <w:rsid w:val="00EE0E3B"/>
    <w:rsid w:val="00EE0E9B"/>
    <w:rsid w:val="00EE16F8"/>
    <w:rsid w:val="00EE182B"/>
    <w:rsid w:val="00EE208A"/>
    <w:rsid w:val="00EE218A"/>
    <w:rsid w:val="00EE2AA2"/>
    <w:rsid w:val="00EE2B05"/>
    <w:rsid w:val="00EE2EFE"/>
    <w:rsid w:val="00EE30EF"/>
    <w:rsid w:val="00EE318B"/>
    <w:rsid w:val="00EE3281"/>
    <w:rsid w:val="00EE4216"/>
    <w:rsid w:val="00EE490F"/>
    <w:rsid w:val="00EE49AA"/>
    <w:rsid w:val="00EE4E0F"/>
    <w:rsid w:val="00EE503B"/>
    <w:rsid w:val="00EE5459"/>
    <w:rsid w:val="00EE59CC"/>
    <w:rsid w:val="00EE5EA0"/>
    <w:rsid w:val="00EE6246"/>
    <w:rsid w:val="00EE647C"/>
    <w:rsid w:val="00EE6752"/>
    <w:rsid w:val="00EE6AEB"/>
    <w:rsid w:val="00EE6B01"/>
    <w:rsid w:val="00EE6C81"/>
    <w:rsid w:val="00EE6D34"/>
    <w:rsid w:val="00EE6DDB"/>
    <w:rsid w:val="00EE7136"/>
    <w:rsid w:val="00EE7D47"/>
    <w:rsid w:val="00EE7DCD"/>
    <w:rsid w:val="00EE7E41"/>
    <w:rsid w:val="00EE7FC7"/>
    <w:rsid w:val="00EF0213"/>
    <w:rsid w:val="00EF03AD"/>
    <w:rsid w:val="00EF0B1A"/>
    <w:rsid w:val="00EF0E23"/>
    <w:rsid w:val="00EF1104"/>
    <w:rsid w:val="00EF157D"/>
    <w:rsid w:val="00EF18F9"/>
    <w:rsid w:val="00EF1B46"/>
    <w:rsid w:val="00EF1B6D"/>
    <w:rsid w:val="00EF2411"/>
    <w:rsid w:val="00EF2BDE"/>
    <w:rsid w:val="00EF2F15"/>
    <w:rsid w:val="00EF3193"/>
    <w:rsid w:val="00EF36A1"/>
    <w:rsid w:val="00EF3756"/>
    <w:rsid w:val="00EF3783"/>
    <w:rsid w:val="00EF3A79"/>
    <w:rsid w:val="00EF3AB9"/>
    <w:rsid w:val="00EF3C47"/>
    <w:rsid w:val="00EF3EDB"/>
    <w:rsid w:val="00EF40A3"/>
    <w:rsid w:val="00EF43E3"/>
    <w:rsid w:val="00EF44B5"/>
    <w:rsid w:val="00EF495C"/>
    <w:rsid w:val="00EF4FE2"/>
    <w:rsid w:val="00EF59D9"/>
    <w:rsid w:val="00EF5CA8"/>
    <w:rsid w:val="00EF6598"/>
    <w:rsid w:val="00EF69EE"/>
    <w:rsid w:val="00EF6B37"/>
    <w:rsid w:val="00EF6BF7"/>
    <w:rsid w:val="00EF6DF4"/>
    <w:rsid w:val="00EF6E7A"/>
    <w:rsid w:val="00EF7072"/>
    <w:rsid w:val="00EF7563"/>
    <w:rsid w:val="00EF7AA7"/>
    <w:rsid w:val="00F00563"/>
    <w:rsid w:val="00F008EE"/>
    <w:rsid w:val="00F00C8A"/>
    <w:rsid w:val="00F0140A"/>
    <w:rsid w:val="00F01FAE"/>
    <w:rsid w:val="00F02285"/>
    <w:rsid w:val="00F02700"/>
    <w:rsid w:val="00F02725"/>
    <w:rsid w:val="00F027DE"/>
    <w:rsid w:val="00F02CD9"/>
    <w:rsid w:val="00F02E56"/>
    <w:rsid w:val="00F031C8"/>
    <w:rsid w:val="00F033DE"/>
    <w:rsid w:val="00F03454"/>
    <w:rsid w:val="00F04033"/>
    <w:rsid w:val="00F04354"/>
    <w:rsid w:val="00F044AB"/>
    <w:rsid w:val="00F046C1"/>
    <w:rsid w:val="00F04A75"/>
    <w:rsid w:val="00F04C0F"/>
    <w:rsid w:val="00F04EDC"/>
    <w:rsid w:val="00F050BD"/>
    <w:rsid w:val="00F051C1"/>
    <w:rsid w:val="00F0552B"/>
    <w:rsid w:val="00F05C8C"/>
    <w:rsid w:val="00F05F6B"/>
    <w:rsid w:val="00F0611E"/>
    <w:rsid w:val="00F062C7"/>
    <w:rsid w:val="00F06883"/>
    <w:rsid w:val="00F06DFE"/>
    <w:rsid w:val="00F07133"/>
    <w:rsid w:val="00F07349"/>
    <w:rsid w:val="00F074B2"/>
    <w:rsid w:val="00F078FE"/>
    <w:rsid w:val="00F07FCE"/>
    <w:rsid w:val="00F1003F"/>
    <w:rsid w:val="00F1013F"/>
    <w:rsid w:val="00F1044B"/>
    <w:rsid w:val="00F105F8"/>
    <w:rsid w:val="00F10680"/>
    <w:rsid w:val="00F10B1B"/>
    <w:rsid w:val="00F10D18"/>
    <w:rsid w:val="00F11011"/>
    <w:rsid w:val="00F11061"/>
    <w:rsid w:val="00F11128"/>
    <w:rsid w:val="00F11655"/>
    <w:rsid w:val="00F11C61"/>
    <w:rsid w:val="00F11CAC"/>
    <w:rsid w:val="00F11FD0"/>
    <w:rsid w:val="00F12B9D"/>
    <w:rsid w:val="00F12EB6"/>
    <w:rsid w:val="00F12FD0"/>
    <w:rsid w:val="00F13102"/>
    <w:rsid w:val="00F13188"/>
    <w:rsid w:val="00F1365D"/>
    <w:rsid w:val="00F13683"/>
    <w:rsid w:val="00F138ED"/>
    <w:rsid w:val="00F13B50"/>
    <w:rsid w:val="00F14029"/>
    <w:rsid w:val="00F140F4"/>
    <w:rsid w:val="00F147C6"/>
    <w:rsid w:val="00F14A2D"/>
    <w:rsid w:val="00F14A8B"/>
    <w:rsid w:val="00F14C79"/>
    <w:rsid w:val="00F14CE7"/>
    <w:rsid w:val="00F14DFC"/>
    <w:rsid w:val="00F14F96"/>
    <w:rsid w:val="00F155C6"/>
    <w:rsid w:val="00F1567C"/>
    <w:rsid w:val="00F157DE"/>
    <w:rsid w:val="00F15E61"/>
    <w:rsid w:val="00F15F6C"/>
    <w:rsid w:val="00F16134"/>
    <w:rsid w:val="00F165A8"/>
    <w:rsid w:val="00F16CAA"/>
    <w:rsid w:val="00F16D0D"/>
    <w:rsid w:val="00F16DBD"/>
    <w:rsid w:val="00F1712F"/>
    <w:rsid w:val="00F17193"/>
    <w:rsid w:val="00F17577"/>
    <w:rsid w:val="00F1768F"/>
    <w:rsid w:val="00F17832"/>
    <w:rsid w:val="00F179B5"/>
    <w:rsid w:val="00F17B86"/>
    <w:rsid w:val="00F2013D"/>
    <w:rsid w:val="00F207E6"/>
    <w:rsid w:val="00F20A17"/>
    <w:rsid w:val="00F20A19"/>
    <w:rsid w:val="00F20A89"/>
    <w:rsid w:val="00F20B39"/>
    <w:rsid w:val="00F20B58"/>
    <w:rsid w:val="00F20E90"/>
    <w:rsid w:val="00F21166"/>
    <w:rsid w:val="00F2163F"/>
    <w:rsid w:val="00F2177D"/>
    <w:rsid w:val="00F21AAF"/>
    <w:rsid w:val="00F21C60"/>
    <w:rsid w:val="00F21E03"/>
    <w:rsid w:val="00F22101"/>
    <w:rsid w:val="00F22461"/>
    <w:rsid w:val="00F224BE"/>
    <w:rsid w:val="00F2269A"/>
    <w:rsid w:val="00F226E2"/>
    <w:rsid w:val="00F22727"/>
    <w:rsid w:val="00F228E6"/>
    <w:rsid w:val="00F2297D"/>
    <w:rsid w:val="00F229C5"/>
    <w:rsid w:val="00F22A3B"/>
    <w:rsid w:val="00F22F3C"/>
    <w:rsid w:val="00F22F93"/>
    <w:rsid w:val="00F23388"/>
    <w:rsid w:val="00F233DA"/>
    <w:rsid w:val="00F2354F"/>
    <w:rsid w:val="00F23715"/>
    <w:rsid w:val="00F23A11"/>
    <w:rsid w:val="00F23A61"/>
    <w:rsid w:val="00F23EE2"/>
    <w:rsid w:val="00F23FD5"/>
    <w:rsid w:val="00F244A7"/>
    <w:rsid w:val="00F24D99"/>
    <w:rsid w:val="00F25AE1"/>
    <w:rsid w:val="00F2622D"/>
    <w:rsid w:val="00F2644F"/>
    <w:rsid w:val="00F26B6A"/>
    <w:rsid w:val="00F26C13"/>
    <w:rsid w:val="00F26FDE"/>
    <w:rsid w:val="00F27C9D"/>
    <w:rsid w:val="00F27E82"/>
    <w:rsid w:val="00F3028A"/>
    <w:rsid w:val="00F3061E"/>
    <w:rsid w:val="00F30C86"/>
    <w:rsid w:val="00F30E6E"/>
    <w:rsid w:val="00F30F1D"/>
    <w:rsid w:val="00F31C7C"/>
    <w:rsid w:val="00F3207A"/>
    <w:rsid w:val="00F3244E"/>
    <w:rsid w:val="00F324E5"/>
    <w:rsid w:val="00F3251D"/>
    <w:rsid w:val="00F3251F"/>
    <w:rsid w:val="00F3269A"/>
    <w:rsid w:val="00F32A81"/>
    <w:rsid w:val="00F32ADD"/>
    <w:rsid w:val="00F32F7B"/>
    <w:rsid w:val="00F33B04"/>
    <w:rsid w:val="00F33B93"/>
    <w:rsid w:val="00F343FC"/>
    <w:rsid w:val="00F34B69"/>
    <w:rsid w:val="00F34E09"/>
    <w:rsid w:val="00F34F8C"/>
    <w:rsid w:val="00F350A8"/>
    <w:rsid w:val="00F353B9"/>
    <w:rsid w:val="00F35830"/>
    <w:rsid w:val="00F3662D"/>
    <w:rsid w:val="00F36BB9"/>
    <w:rsid w:val="00F36BE4"/>
    <w:rsid w:val="00F36DDF"/>
    <w:rsid w:val="00F36E11"/>
    <w:rsid w:val="00F37490"/>
    <w:rsid w:val="00F37961"/>
    <w:rsid w:val="00F37F59"/>
    <w:rsid w:val="00F4021D"/>
    <w:rsid w:val="00F40442"/>
    <w:rsid w:val="00F40680"/>
    <w:rsid w:val="00F40A33"/>
    <w:rsid w:val="00F40DEE"/>
    <w:rsid w:val="00F40E04"/>
    <w:rsid w:val="00F40E5E"/>
    <w:rsid w:val="00F40ED4"/>
    <w:rsid w:val="00F40F1C"/>
    <w:rsid w:val="00F41176"/>
    <w:rsid w:val="00F41250"/>
    <w:rsid w:val="00F42236"/>
    <w:rsid w:val="00F4283C"/>
    <w:rsid w:val="00F42DFD"/>
    <w:rsid w:val="00F432E0"/>
    <w:rsid w:val="00F43504"/>
    <w:rsid w:val="00F435A5"/>
    <w:rsid w:val="00F43728"/>
    <w:rsid w:val="00F43B32"/>
    <w:rsid w:val="00F43BC8"/>
    <w:rsid w:val="00F43EF0"/>
    <w:rsid w:val="00F440A2"/>
    <w:rsid w:val="00F44BFF"/>
    <w:rsid w:val="00F45A5E"/>
    <w:rsid w:val="00F45C13"/>
    <w:rsid w:val="00F45E3F"/>
    <w:rsid w:val="00F45EFB"/>
    <w:rsid w:val="00F46133"/>
    <w:rsid w:val="00F46372"/>
    <w:rsid w:val="00F463F8"/>
    <w:rsid w:val="00F46A41"/>
    <w:rsid w:val="00F46E0F"/>
    <w:rsid w:val="00F47375"/>
    <w:rsid w:val="00F47BAF"/>
    <w:rsid w:val="00F47CE1"/>
    <w:rsid w:val="00F506C0"/>
    <w:rsid w:val="00F50AFE"/>
    <w:rsid w:val="00F50B4F"/>
    <w:rsid w:val="00F50BE9"/>
    <w:rsid w:val="00F513CA"/>
    <w:rsid w:val="00F514AC"/>
    <w:rsid w:val="00F51713"/>
    <w:rsid w:val="00F51B44"/>
    <w:rsid w:val="00F51E7C"/>
    <w:rsid w:val="00F51E88"/>
    <w:rsid w:val="00F52042"/>
    <w:rsid w:val="00F52512"/>
    <w:rsid w:val="00F52F82"/>
    <w:rsid w:val="00F53206"/>
    <w:rsid w:val="00F533FF"/>
    <w:rsid w:val="00F5379F"/>
    <w:rsid w:val="00F53B18"/>
    <w:rsid w:val="00F53B2A"/>
    <w:rsid w:val="00F549BD"/>
    <w:rsid w:val="00F54D6F"/>
    <w:rsid w:val="00F54F86"/>
    <w:rsid w:val="00F5510B"/>
    <w:rsid w:val="00F55126"/>
    <w:rsid w:val="00F55598"/>
    <w:rsid w:val="00F55622"/>
    <w:rsid w:val="00F55979"/>
    <w:rsid w:val="00F56244"/>
    <w:rsid w:val="00F56408"/>
    <w:rsid w:val="00F56479"/>
    <w:rsid w:val="00F56609"/>
    <w:rsid w:val="00F56809"/>
    <w:rsid w:val="00F56D64"/>
    <w:rsid w:val="00F57069"/>
    <w:rsid w:val="00F570CB"/>
    <w:rsid w:val="00F574FB"/>
    <w:rsid w:val="00F57B6E"/>
    <w:rsid w:val="00F600DA"/>
    <w:rsid w:val="00F60102"/>
    <w:rsid w:val="00F60759"/>
    <w:rsid w:val="00F60776"/>
    <w:rsid w:val="00F60858"/>
    <w:rsid w:val="00F60933"/>
    <w:rsid w:val="00F60C26"/>
    <w:rsid w:val="00F60E5E"/>
    <w:rsid w:val="00F61105"/>
    <w:rsid w:val="00F6133F"/>
    <w:rsid w:val="00F614B5"/>
    <w:rsid w:val="00F616BB"/>
    <w:rsid w:val="00F6181A"/>
    <w:rsid w:val="00F6204C"/>
    <w:rsid w:val="00F62106"/>
    <w:rsid w:val="00F62671"/>
    <w:rsid w:val="00F62710"/>
    <w:rsid w:val="00F63337"/>
    <w:rsid w:val="00F6431A"/>
    <w:rsid w:val="00F643BA"/>
    <w:rsid w:val="00F64BEB"/>
    <w:rsid w:val="00F64ED2"/>
    <w:rsid w:val="00F64F67"/>
    <w:rsid w:val="00F6529E"/>
    <w:rsid w:val="00F6545B"/>
    <w:rsid w:val="00F654CA"/>
    <w:rsid w:val="00F65521"/>
    <w:rsid w:val="00F65E68"/>
    <w:rsid w:val="00F665B8"/>
    <w:rsid w:val="00F6673A"/>
    <w:rsid w:val="00F66BA9"/>
    <w:rsid w:val="00F66D1B"/>
    <w:rsid w:val="00F670B6"/>
    <w:rsid w:val="00F670C3"/>
    <w:rsid w:val="00F67C03"/>
    <w:rsid w:val="00F70176"/>
    <w:rsid w:val="00F709AB"/>
    <w:rsid w:val="00F711AE"/>
    <w:rsid w:val="00F71396"/>
    <w:rsid w:val="00F71A0C"/>
    <w:rsid w:val="00F71A81"/>
    <w:rsid w:val="00F71D7D"/>
    <w:rsid w:val="00F72183"/>
    <w:rsid w:val="00F729AD"/>
    <w:rsid w:val="00F72A6A"/>
    <w:rsid w:val="00F72ABC"/>
    <w:rsid w:val="00F72EFB"/>
    <w:rsid w:val="00F72F13"/>
    <w:rsid w:val="00F72F8A"/>
    <w:rsid w:val="00F73573"/>
    <w:rsid w:val="00F7373F"/>
    <w:rsid w:val="00F73A73"/>
    <w:rsid w:val="00F73C2C"/>
    <w:rsid w:val="00F73CBB"/>
    <w:rsid w:val="00F73D3F"/>
    <w:rsid w:val="00F73F26"/>
    <w:rsid w:val="00F740AD"/>
    <w:rsid w:val="00F741D6"/>
    <w:rsid w:val="00F74283"/>
    <w:rsid w:val="00F74575"/>
    <w:rsid w:val="00F74876"/>
    <w:rsid w:val="00F748BC"/>
    <w:rsid w:val="00F749FE"/>
    <w:rsid w:val="00F74D50"/>
    <w:rsid w:val="00F74EF1"/>
    <w:rsid w:val="00F75540"/>
    <w:rsid w:val="00F76074"/>
    <w:rsid w:val="00F76892"/>
    <w:rsid w:val="00F768CD"/>
    <w:rsid w:val="00F76949"/>
    <w:rsid w:val="00F769AB"/>
    <w:rsid w:val="00F771C0"/>
    <w:rsid w:val="00F77638"/>
    <w:rsid w:val="00F77CDA"/>
    <w:rsid w:val="00F77E8C"/>
    <w:rsid w:val="00F77EA1"/>
    <w:rsid w:val="00F8022B"/>
    <w:rsid w:val="00F8036F"/>
    <w:rsid w:val="00F804DD"/>
    <w:rsid w:val="00F80FB6"/>
    <w:rsid w:val="00F811A6"/>
    <w:rsid w:val="00F8189C"/>
    <w:rsid w:val="00F81DCC"/>
    <w:rsid w:val="00F81F5B"/>
    <w:rsid w:val="00F820D8"/>
    <w:rsid w:val="00F8217E"/>
    <w:rsid w:val="00F823FD"/>
    <w:rsid w:val="00F824C8"/>
    <w:rsid w:val="00F8275A"/>
    <w:rsid w:val="00F82FA4"/>
    <w:rsid w:val="00F83024"/>
    <w:rsid w:val="00F83111"/>
    <w:rsid w:val="00F8335C"/>
    <w:rsid w:val="00F83987"/>
    <w:rsid w:val="00F83AD4"/>
    <w:rsid w:val="00F83B3D"/>
    <w:rsid w:val="00F8455F"/>
    <w:rsid w:val="00F8457E"/>
    <w:rsid w:val="00F84654"/>
    <w:rsid w:val="00F85287"/>
    <w:rsid w:val="00F85381"/>
    <w:rsid w:val="00F854AE"/>
    <w:rsid w:val="00F854BF"/>
    <w:rsid w:val="00F855E5"/>
    <w:rsid w:val="00F85610"/>
    <w:rsid w:val="00F85B9E"/>
    <w:rsid w:val="00F864FD"/>
    <w:rsid w:val="00F86A26"/>
    <w:rsid w:val="00F86BE5"/>
    <w:rsid w:val="00F86ED9"/>
    <w:rsid w:val="00F86FE0"/>
    <w:rsid w:val="00F87685"/>
    <w:rsid w:val="00F879F7"/>
    <w:rsid w:val="00F87F21"/>
    <w:rsid w:val="00F902AE"/>
    <w:rsid w:val="00F90343"/>
    <w:rsid w:val="00F90659"/>
    <w:rsid w:val="00F907C5"/>
    <w:rsid w:val="00F90997"/>
    <w:rsid w:val="00F90B75"/>
    <w:rsid w:val="00F90C80"/>
    <w:rsid w:val="00F90CAE"/>
    <w:rsid w:val="00F91C95"/>
    <w:rsid w:val="00F91D2A"/>
    <w:rsid w:val="00F92143"/>
    <w:rsid w:val="00F92260"/>
    <w:rsid w:val="00F92354"/>
    <w:rsid w:val="00F923FC"/>
    <w:rsid w:val="00F9260A"/>
    <w:rsid w:val="00F92AA9"/>
    <w:rsid w:val="00F93162"/>
    <w:rsid w:val="00F9351D"/>
    <w:rsid w:val="00F9381C"/>
    <w:rsid w:val="00F93DE1"/>
    <w:rsid w:val="00F93F42"/>
    <w:rsid w:val="00F9493A"/>
    <w:rsid w:val="00F94A04"/>
    <w:rsid w:val="00F9591C"/>
    <w:rsid w:val="00F95921"/>
    <w:rsid w:val="00F95AE7"/>
    <w:rsid w:val="00F95BB7"/>
    <w:rsid w:val="00F95E3D"/>
    <w:rsid w:val="00F95F3A"/>
    <w:rsid w:val="00F95FD8"/>
    <w:rsid w:val="00F966AD"/>
    <w:rsid w:val="00F96CED"/>
    <w:rsid w:val="00F9722C"/>
    <w:rsid w:val="00F9745A"/>
    <w:rsid w:val="00FA057E"/>
    <w:rsid w:val="00FA07C3"/>
    <w:rsid w:val="00FA0B20"/>
    <w:rsid w:val="00FA1035"/>
    <w:rsid w:val="00FA1919"/>
    <w:rsid w:val="00FA1BE9"/>
    <w:rsid w:val="00FA1EF4"/>
    <w:rsid w:val="00FA25A2"/>
    <w:rsid w:val="00FA2B47"/>
    <w:rsid w:val="00FA2BB8"/>
    <w:rsid w:val="00FA2F55"/>
    <w:rsid w:val="00FA2F9F"/>
    <w:rsid w:val="00FA3040"/>
    <w:rsid w:val="00FA371B"/>
    <w:rsid w:val="00FA38A9"/>
    <w:rsid w:val="00FA46DE"/>
    <w:rsid w:val="00FA474A"/>
    <w:rsid w:val="00FA498C"/>
    <w:rsid w:val="00FA49D6"/>
    <w:rsid w:val="00FA4B9E"/>
    <w:rsid w:val="00FA4D5C"/>
    <w:rsid w:val="00FA4D8B"/>
    <w:rsid w:val="00FA5466"/>
    <w:rsid w:val="00FA58E0"/>
    <w:rsid w:val="00FA5926"/>
    <w:rsid w:val="00FA59A3"/>
    <w:rsid w:val="00FA5E1D"/>
    <w:rsid w:val="00FA61FD"/>
    <w:rsid w:val="00FA6679"/>
    <w:rsid w:val="00FA69E7"/>
    <w:rsid w:val="00FA6CE1"/>
    <w:rsid w:val="00FA6E89"/>
    <w:rsid w:val="00FA6F49"/>
    <w:rsid w:val="00FA7387"/>
    <w:rsid w:val="00FA75B6"/>
    <w:rsid w:val="00FA7643"/>
    <w:rsid w:val="00FA78A7"/>
    <w:rsid w:val="00FB028B"/>
    <w:rsid w:val="00FB03C0"/>
    <w:rsid w:val="00FB089E"/>
    <w:rsid w:val="00FB090C"/>
    <w:rsid w:val="00FB0A8C"/>
    <w:rsid w:val="00FB0AF4"/>
    <w:rsid w:val="00FB134B"/>
    <w:rsid w:val="00FB135E"/>
    <w:rsid w:val="00FB1D0D"/>
    <w:rsid w:val="00FB2057"/>
    <w:rsid w:val="00FB2161"/>
    <w:rsid w:val="00FB23F8"/>
    <w:rsid w:val="00FB29ED"/>
    <w:rsid w:val="00FB3163"/>
    <w:rsid w:val="00FB3E55"/>
    <w:rsid w:val="00FB40B4"/>
    <w:rsid w:val="00FB4619"/>
    <w:rsid w:val="00FB463E"/>
    <w:rsid w:val="00FB47AF"/>
    <w:rsid w:val="00FB49B9"/>
    <w:rsid w:val="00FB4A9A"/>
    <w:rsid w:val="00FB4BCD"/>
    <w:rsid w:val="00FB4FD6"/>
    <w:rsid w:val="00FB535C"/>
    <w:rsid w:val="00FB55BA"/>
    <w:rsid w:val="00FB5DEE"/>
    <w:rsid w:val="00FB61C3"/>
    <w:rsid w:val="00FB66ED"/>
    <w:rsid w:val="00FB67A8"/>
    <w:rsid w:val="00FB681E"/>
    <w:rsid w:val="00FB68D8"/>
    <w:rsid w:val="00FB68ED"/>
    <w:rsid w:val="00FB69EE"/>
    <w:rsid w:val="00FB6A41"/>
    <w:rsid w:val="00FB6A60"/>
    <w:rsid w:val="00FB74D2"/>
    <w:rsid w:val="00FB7845"/>
    <w:rsid w:val="00FB797F"/>
    <w:rsid w:val="00FB7DE5"/>
    <w:rsid w:val="00FB7EF8"/>
    <w:rsid w:val="00FC0207"/>
    <w:rsid w:val="00FC0930"/>
    <w:rsid w:val="00FC0981"/>
    <w:rsid w:val="00FC0DAC"/>
    <w:rsid w:val="00FC0E8B"/>
    <w:rsid w:val="00FC0E9E"/>
    <w:rsid w:val="00FC1D8F"/>
    <w:rsid w:val="00FC202F"/>
    <w:rsid w:val="00FC2650"/>
    <w:rsid w:val="00FC2A9B"/>
    <w:rsid w:val="00FC2B6E"/>
    <w:rsid w:val="00FC32BF"/>
    <w:rsid w:val="00FC32C8"/>
    <w:rsid w:val="00FC35EB"/>
    <w:rsid w:val="00FC3622"/>
    <w:rsid w:val="00FC4137"/>
    <w:rsid w:val="00FC484E"/>
    <w:rsid w:val="00FC49F0"/>
    <w:rsid w:val="00FC4BCC"/>
    <w:rsid w:val="00FC50FC"/>
    <w:rsid w:val="00FC514C"/>
    <w:rsid w:val="00FC5245"/>
    <w:rsid w:val="00FC5A16"/>
    <w:rsid w:val="00FC5FAF"/>
    <w:rsid w:val="00FC61E4"/>
    <w:rsid w:val="00FC636A"/>
    <w:rsid w:val="00FC6754"/>
    <w:rsid w:val="00FC6849"/>
    <w:rsid w:val="00FC7049"/>
    <w:rsid w:val="00FC72C7"/>
    <w:rsid w:val="00FD017C"/>
    <w:rsid w:val="00FD054D"/>
    <w:rsid w:val="00FD0702"/>
    <w:rsid w:val="00FD0766"/>
    <w:rsid w:val="00FD08FE"/>
    <w:rsid w:val="00FD0A99"/>
    <w:rsid w:val="00FD0AEE"/>
    <w:rsid w:val="00FD0FBA"/>
    <w:rsid w:val="00FD12C2"/>
    <w:rsid w:val="00FD15FA"/>
    <w:rsid w:val="00FD1F50"/>
    <w:rsid w:val="00FD1F51"/>
    <w:rsid w:val="00FD228C"/>
    <w:rsid w:val="00FD280A"/>
    <w:rsid w:val="00FD2CAA"/>
    <w:rsid w:val="00FD2F6D"/>
    <w:rsid w:val="00FD301D"/>
    <w:rsid w:val="00FD30BB"/>
    <w:rsid w:val="00FD319F"/>
    <w:rsid w:val="00FD3735"/>
    <w:rsid w:val="00FD376C"/>
    <w:rsid w:val="00FD3D24"/>
    <w:rsid w:val="00FD402C"/>
    <w:rsid w:val="00FD4189"/>
    <w:rsid w:val="00FD450D"/>
    <w:rsid w:val="00FD4547"/>
    <w:rsid w:val="00FD4E77"/>
    <w:rsid w:val="00FD4F26"/>
    <w:rsid w:val="00FD507C"/>
    <w:rsid w:val="00FD5569"/>
    <w:rsid w:val="00FD5A1D"/>
    <w:rsid w:val="00FD5AD5"/>
    <w:rsid w:val="00FD5B79"/>
    <w:rsid w:val="00FD656B"/>
    <w:rsid w:val="00FD675D"/>
    <w:rsid w:val="00FD694E"/>
    <w:rsid w:val="00FD6CC6"/>
    <w:rsid w:val="00FD6F89"/>
    <w:rsid w:val="00FD71F8"/>
    <w:rsid w:val="00FD7449"/>
    <w:rsid w:val="00FD77E6"/>
    <w:rsid w:val="00FD78A9"/>
    <w:rsid w:val="00FD78BC"/>
    <w:rsid w:val="00FD79F3"/>
    <w:rsid w:val="00FD7DA7"/>
    <w:rsid w:val="00FE009C"/>
    <w:rsid w:val="00FE0193"/>
    <w:rsid w:val="00FE03AB"/>
    <w:rsid w:val="00FE04FB"/>
    <w:rsid w:val="00FE05F7"/>
    <w:rsid w:val="00FE08DA"/>
    <w:rsid w:val="00FE095D"/>
    <w:rsid w:val="00FE0B2D"/>
    <w:rsid w:val="00FE0B46"/>
    <w:rsid w:val="00FE0D1A"/>
    <w:rsid w:val="00FE168C"/>
    <w:rsid w:val="00FE1ECE"/>
    <w:rsid w:val="00FE2434"/>
    <w:rsid w:val="00FE2673"/>
    <w:rsid w:val="00FE274A"/>
    <w:rsid w:val="00FE2904"/>
    <w:rsid w:val="00FE2C19"/>
    <w:rsid w:val="00FE2CE5"/>
    <w:rsid w:val="00FE341E"/>
    <w:rsid w:val="00FE367A"/>
    <w:rsid w:val="00FE3DBA"/>
    <w:rsid w:val="00FE3E06"/>
    <w:rsid w:val="00FE3EE3"/>
    <w:rsid w:val="00FE3F0E"/>
    <w:rsid w:val="00FE41D1"/>
    <w:rsid w:val="00FE41DF"/>
    <w:rsid w:val="00FE4536"/>
    <w:rsid w:val="00FE461A"/>
    <w:rsid w:val="00FE46FF"/>
    <w:rsid w:val="00FE48B9"/>
    <w:rsid w:val="00FE4C02"/>
    <w:rsid w:val="00FE4CDF"/>
    <w:rsid w:val="00FE4D30"/>
    <w:rsid w:val="00FE4EB0"/>
    <w:rsid w:val="00FE519B"/>
    <w:rsid w:val="00FE532D"/>
    <w:rsid w:val="00FE58C7"/>
    <w:rsid w:val="00FE5E94"/>
    <w:rsid w:val="00FE6928"/>
    <w:rsid w:val="00FE6C4A"/>
    <w:rsid w:val="00FE6CD4"/>
    <w:rsid w:val="00FE6CEC"/>
    <w:rsid w:val="00FE72E7"/>
    <w:rsid w:val="00FE7BFE"/>
    <w:rsid w:val="00FE7C6B"/>
    <w:rsid w:val="00FE7ECC"/>
    <w:rsid w:val="00FE7F3A"/>
    <w:rsid w:val="00FF0483"/>
    <w:rsid w:val="00FF0570"/>
    <w:rsid w:val="00FF05AC"/>
    <w:rsid w:val="00FF0885"/>
    <w:rsid w:val="00FF0DA5"/>
    <w:rsid w:val="00FF106C"/>
    <w:rsid w:val="00FF12F1"/>
    <w:rsid w:val="00FF16A8"/>
    <w:rsid w:val="00FF170F"/>
    <w:rsid w:val="00FF1DB3"/>
    <w:rsid w:val="00FF1E4C"/>
    <w:rsid w:val="00FF23A4"/>
    <w:rsid w:val="00FF24C2"/>
    <w:rsid w:val="00FF2783"/>
    <w:rsid w:val="00FF29AA"/>
    <w:rsid w:val="00FF31F5"/>
    <w:rsid w:val="00FF380E"/>
    <w:rsid w:val="00FF39CA"/>
    <w:rsid w:val="00FF3F59"/>
    <w:rsid w:val="00FF4232"/>
    <w:rsid w:val="00FF449F"/>
    <w:rsid w:val="00FF4956"/>
    <w:rsid w:val="00FF4958"/>
    <w:rsid w:val="00FF53B4"/>
    <w:rsid w:val="00FF5448"/>
    <w:rsid w:val="00FF551C"/>
    <w:rsid w:val="00FF5791"/>
    <w:rsid w:val="00FF588A"/>
    <w:rsid w:val="00FF58E8"/>
    <w:rsid w:val="00FF5D35"/>
    <w:rsid w:val="00FF60D0"/>
    <w:rsid w:val="00FF6345"/>
    <w:rsid w:val="00FF635E"/>
    <w:rsid w:val="00FF6438"/>
    <w:rsid w:val="00FF68CE"/>
    <w:rsid w:val="00FF6EBC"/>
    <w:rsid w:val="00FF6F31"/>
    <w:rsid w:val="00FF76F8"/>
    <w:rsid w:val="01B9AEEF"/>
    <w:rsid w:val="02867DDD"/>
    <w:rsid w:val="041A6709"/>
    <w:rsid w:val="04F9054E"/>
    <w:rsid w:val="081CC941"/>
    <w:rsid w:val="08379C95"/>
    <w:rsid w:val="08CF6493"/>
    <w:rsid w:val="09862B6C"/>
    <w:rsid w:val="0B7B2222"/>
    <w:rsid w:val="0CC3C48A"/>
    <w:rsid w:val="0D2515F0"/>
    <w:rsid w:val="0E6AF62A"/>
    <w:rsid w:val="103B17AC"/>
    <w:rsid w:val="105F3B58"/>
    <w:rsid w:val="120DFD9A"/>
    <w:rsid w:val="121A1A7D"/>
    <w:rsid w:val="131FE905"/>
    <w:rsid w:val="13970E97"/>
    <w:rsid w:val="13B7D9DB"/>
    <w:rsid w:val="145CA8B2"/>
    <w:rsid w:val="1531E256"/>
    <w:rsid w:val="156D371C"/>
    <w:rsid w:val="160BF00C"/>
    <w:rsid w:val="170B5243"/>
    <w:rsid w:val="172F340B"/>
    <w:rsid w:val="177CFC97"/>
    <w:rsid w:val="1834987D"/>
    <w:rsid w:val="1B670ECB"/>
    <w:rsid w:val="1C8D7F84"/>
    <w:rsid w:val="1CE38785"/>
    <w:rsid w:val="1D0CD9C7"/>
    <w:rsid w:val="1D1194E8"/>
    <w:rsid w:val="1E71A585"/>
    <w:rsid w:val="20CBD90D"/>
    <w:rsid w:val="22C4C357"/>
    <w:rsid w:val="24368FFB"/>
    <w:rsid w:val="2723E9CB"/>
    <w:rsid w:val="27BF9E2C"/>
    <w:rsid w:val="283BDA82"/>
    <w:rsid w:val="292C1EEB"/>
    <w:rsid w:val="29A1FC56"/>
    <w:rsid w:val="2A137E2F"/>
    <w:rsid w:val="2A1AFA75"/>
    <w:rsid w:val="2CEB673A"/>
    <w:rsid w:val="2D3092B2"/>
    <w:rsid w:val="2D7E20DD"/>
    <w:rsid w:val="2E351341"/>
    <w:rsid w:val="2EF9BDC0"/>
    <w:rsid w:val="309FC3BC"/>
    <w:rsid w:val="31279A1E"/>
    <w:rsid w:val="33085952"/>
    <w:rsid w:val="33162A5F"/>
    <w:rsid w:val="351B50C0"/>
    <w:rsid w:val="35985316"/>
    <w:rsid w:val="35CE88B3"/>
    <w:rsid w:val="379E54A7"/>
    <w:rsid w:val="384B41EA"/>
    <w:rsid w:val="38EF211C"/>
    <w:rsid w:val="3A214E50"/>
    <w:rsid w:val="3B5023EA"/>
    <w:rsid w:val="3B7FEAB1"/>
    <w:rsid w:val="3BCAF3B6"/>
    <w:rsid w:val="3DB93354"/>
    <w:rsid w:val="3E3C1739"/>
    <w:rsid w:val="3E3CA330"/>
    <w:rsid w:val="3E56B88D"/>
    <w:rsid w:val="3EFA0B37"/>
    <w:rsid w:val="419C9AEC"/>
    <w:rsid w:val="43D0F039"/>
    <w:rsid w:val="4428CC76"/>
    <w:rsid w:val="444E6D7A"/>
    <w:rsid w:val="46C468CE"/>
    <w:rsid w:val="47251842"/>
    <w:rsid w:val="47D540A9"/>
    <w:rsid w:val="48D55679"/>
    <w:rsid w:val="491783B2"/>
    <w:rsid w:val="4B9FBFC3"/>
    <w:rsid w:val="4BE0AC07"/>
    <w:rsid w:val="4DD53063"/>
    <w:rsid w:val="4EC74E90"/>
    <w:rsid w:val="4EEFDB64"/>
    <w:rsid w:val="514C276F"/>
    <w:rsid w:val="52F1F257"/>
    <w:rsid w:val="5360D740"/>
    <w:rsid w:val="5541672C"/>
    <w:rsid w:val="560936EE"/>
    <w:rsid w:val="56A3640D"/>
    <w:rsid w:val="56C685E7"/>
    <w:rsid w:val="57E84431"/>
    <w:rsid w:val="58A65DCE"/>
    <w:rsid w:val="59A68C73"/>
    <w:rsid w:val="59AD11D6"/>
    <w:rsid w:val="5A21645E"/>
    <w:rsid w:val="5A97E2C5"/>
    <w:rsid w:val="5CCBA9E7"/>
    <w:rsid w:val="5EDE41EE"/>
    <w:rsid w:val="606D8F6E"/>
    <w:rsid w:val="60BDC4E6"/>
    <w:rsid w:val="61E7BB8B"/>
    <w:rsid w:val="6234734C"/>
    <w:rsid w:val="63057C39"/>
    <w:rsid w:val="63F04368"/>
    <w:rsid w:val="64158D79"/>
    <w:rsid w:val="64C9BAD1"/>
    <w:rsid w:val="6543ECED"/>
    <w:rsid w:val="65583B3B"/>
    <w:rsid w:val="657670A2"/>
    <w:rsid w:val="664130FD"/>
    <w:rsid w:val="665F937B"/>
    <w:rsid w:val="69504510"/>
    <w:rsid w:val="69658FAA"/>
    <w:rsid w:val="6978D1BF"/>
    <w:rsid w:val="6A947FAC"/>
    <w:rsid w:val="6B240919"/>
    <w:rsid w:val="6B66A943"/>
    <w:rsid w:val="6CDBB9B8"/>
    <w:rsid w:val="6E109C90"/>
    <w:rsid w:val="6FECCCEC"/>
    <w:rsid w:val="6FFC932C"/>
    <w:rsid w:val="712C930B"/>
    <w:rsid w:val="718EB0D5"/>
    <w:rsid w:val="723F616E"/>
    <w:rsid w:val="7410927A"/>
    <w:rsid w:val="742235CB"/>
    <w:rsid w:val="74DB2EB1"/>
    <w:rsid w:val="74DDAD16"/>
    <w:rsid w:val="76B396D8"/>
    <w:rsid w:val="78500D6F"/>
    <w:rsid w:val="789C0752"/>
    <w:rsid w:val="792A96A7"/>
    <w:rsid w:val="79784B80"/>
    <w:rsid w:val="7BD49742"/>
    <w:rsid w:val="7C3246C8"/>
    <w:rsid w:val="7CA71E79"/>
    <w:rsid w:val="7CFC7BD0"/>
    <w:rsid w:val="7D5ED38D"/>
    <w:rsid w:val="7D696F71"/>
    <w:rsid w:val="7D9D2054"/>
    <w:rsid w:val="7DB64513"/>
    <w:rsid w:val="7FA2887F"/>
    <w:rsid w:val="7FD540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202658"/>
  <w15:docId w15:val="{2D138033-790B-43B2-A9EF-68ABF76A5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sz w:val="24"/>
        <w:szCs w:val="24"/>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footer" w:uiPriority="99"/>
    <w:lsdException w:name="caption" w:semiHidden="1" w:unhideWhenUsed="1" w:qFormat="1"/>
    <w:lsdException w:name="table of figures" w:uiPriority="99"/>
    <w:lsdException w:name="footnote reference" w:uiPriority="99"/>
    <w:lsdException w:name="table of authorities" w:uiPriority="99"/>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506C0"/>
    <w:rPr>
      <w:rFonts w:eastAsia="Times New Roman"/>
    </w:rPr>
  </w:style>
  <w:style w:type="paragraph" w:styleId="Heading1">
    <w:name w:val="heading 1"/>
    <w:basedOn w:val="Normal"/>
    <w:next w:val="Normal"/>
    <w:link w:val="Heading1Char"/>
    <w:qFormat/>
    <w:rsid w:val="00F506C0"/>
    <w:pPr>
      <w:keepNext/>
      <w:pageBreakBefore/>
      <w:numPr>
        <w:numId w:val="8"/>
      </w:numPr>
      <w:spacing w:after="320"/>
      <w:outlineLvl w:val="0"/>
    </w:pPr>
    <w:rPr>
      <w:rFonts w:ascii="Arial" w:hAnsi="Arial" w:cs="Arial"/>
      <w:b/>
      <w:bCs/>
      <w:kern w:val="32"/>
      <w:sz w:val="32"/>
      <w:szCs w:val="32"/>
    </w:rPr>
  </w:style>
  <w:style w:type="paragraph" w:styleId="Heading2">
    <w:name w:val="heading 2"/>
    <w:basedOn w:val="Normal"/>
    <w:next w:val="Normal"/>
    <w:link w:val="Heading2Char"/>
    <w:uiPriority w:val="9"/>
    <w:semiHidden/>
    <w:unhideWhenUsed/>
    <w:qFormat/>
    <w:rsid w:val="005533DC"/>
    <w:pPr>
      <w:keepNext/>
      <w:keepLines/>
      <w:spacing w:before="40"/>
      <w:outlineLvl w:val="1"/>
    </w:pPr>
    <w:rPr>
      <w:rFonts w:asciiTheme="minorHAnsi" w:eastAsiaTheme="majorEastAsia" w:hAnsiTheme="minorHAnsi" w:cstheme="majorBidi"/>
      <w:b/>
      <w:color w:val="000000" w:themeColor="text1"/>
      <w:sz w:val="26"/>
      <w:szCs w:val="26"/>
    </w:rPr>
  </w:style>
  <w:style w:type="paragraph" w:styleId="Heading3">
    <w:name w:val="heading 3"/>
    <w:basedOn w:val="Normal"/>
    <w:next w:val="Normal"/>
    <w:link w:val="Heading3Char"/>
    <w:uiPriority w:val="9"/>
    <w:semiHidden/>
    <w:unhideWhenUsed/>
    <w:qFormat/>
    <w:rsid w:val="004E1A30"/>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qFormat/>
    <w:rsid w:val="00F506C0"/>
    <w:pPr>
      <w:keepNext/>
      <w:spacing w:before="240" w:after="60"/>
      <w:outlineLvl w:val="3"/>
    </w:pPr>
    <w:rPr>
      <w:b/>
      <w:bCs/>
      <w:sz w:val="28"/>
      <w:szCs w:val="28"/>
    </w:rPr>
  </w:style>
  <w:style w:type="paragraph" w:styleId="Heading5">
    <w:name w:val="heading 5"/>
    <w:basedOn w:val="Normal"/>
    <w:next w:val="Normal"/>
    <w:link w:val="Heading5Char"/>
    <w:qFormat/>
    <w:rsid w:val="00F506C0"/>
    <w:pPr>
      <w:spacing w:before="240" w:after="60"/>
      <w:outlineLvl w:val="4"/>
    </w:pPr>
    <w:rPr>
      <w:b/>
      <w:bCs/>
      <w:i/>
      <w:iCs/>
      <w:sz w:val="26"/>
      <w:szCs w:val="26"/>
    </w:rPr>
  </w:style>
  <w:style w:type="paragraph" w:styleId="Heading6">
    <w:name w:val="heading 6"/>
    <w:basedOn w:val="Normal"/>
    <w:next w:val="Normal"/>
    <w:link w:val="Heading6Char"/>
    <w:qFormat/>
    <w:rsid w:val="00F506C0"/>
    <w:pPr>
      <w:spacing w:before="240" w:after="60"/>
      <w:outlineLvl w:val="5"/>
    </w:pPr>
    <w:rPr>
      <w:b/>
      <w:bCs/>
      <w:sz w:val="22"/>
      <w:szCs w:val="22"/>
    </w:rPr>
  </w:style>
  <w:style w:type="paragraph" w:styleId="Heading7">
    <w:name w:val="heading 7"/>
    <w:basedOn w:val="Normal"/>
    <w:next w:val="Normal"/>
    <w:link w:val="Heading7Char"/>
    <w:qFormat/>
    <w:rsid w:val="00F506C0"/>
    <w:pPr>
      <w:numPr>
        <w:ilvl w:val="6"/>
        <w:numId w:val="9"/>
      </w:numPr>
      <w:spacing w:before="240" w:after="60"/>
      <w:outlineLvl w:val="6"/>
    </w:pPr>
  </w:style>
  <w:style w:type="paragraph" w:styleId="Heading8">
    <w:name w:val="heading 8"/>
    <w:basedOn w:val="Normal"/>
    <w:next w:val="Normal"/>
    <w:link w:val="Heading8Char"/>
    <w:qFormat/>
    <w:rsid w:val="00F506C0"/>
    <w:pPr>
      <w:numPr>
        <w:ilvl w:val="7"/>
        <w:numId w:val="9"/>
      </w:numPr>
      <w:spacing w:before="240" w:after="60"/>
      <w:outlineLvl w:val="7"/>
    </w:pPr>
    <w:rPr>
      <w:i/>
      <w:iCs/>
    </w:rPr>
  </w:style>
  <w:style w:type="paragraph" w:styleId="Heading9">
    <w:name w:val="heading 9"/>
    <w:basedOn w:val="Normal"/>
    <w:next w:val="Normal"/>
    <w:link w:val="Heading9Char"/>
    <w:qFormat/>
    <w:rsid w:val="00F506C0"/>
    <w:pPr>
      <w:numPr>
        <w:ilvl w:val="8"/>
        <w:numId w:val="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4E1A30"/>
    <w:rPr>
      <w:rFonts w:asciiTheme="majorHAnsi" w:eastAsiaTheme="majorEastAsia" w:hAnsiTheme="majorHAnsi" w:cstheme="majorBidi"/>
      <w:color w:val="1F3763" w:themeColor="accent1" w:themeShade="7F"/>
    </w:rPr>
  </w:style>
  <w:style w:type="paragraph" w:customStyle="1" w:styleId="BaseHeading">
    <w:name w:val="Base_Heading"/>
    <w:link w:val="BaseHeadingChar"/>
    <w:rsid w:val="00F506C0"/>
    <w:pPr>
      <w:keepNext/>
      <w:outlineLvl w:val="0"/>
    </w:pPr>
    <w:rPr>
      <w:rFonts w:ascii="Arial" w:eastAsia="Times New Roman" w:hAnsi="Arial"/>
      <w:sz w:val="28"/>
    </w:rPr>
  </w:style>
  <w:style w:type="paragraph" w:customStyle="1" w:styleId="BaseText">
    <w:name w:val="Base_Text"/>
    <w:rsid w:val="00F506C0"/>
    <w:rPr>
      <w:rFonts w:eastAsia="Times New Roman"/>
    </w:rPr>
  </w:style>
  <w:style w:type="paragraph" w:customStyle="1" w:styleId="3-15CallText">
    <w:name w:val="3-15_Call_Text"/>
    <w:basedOn w:val="BaseText"/>
    <w:rsid w:val="00F506C0"/>
    <w:pPr>
      <w:spacing w:after="120"/>
    </w:pPr>
  </w:style>
  <w:style w:type="paragraph" w:customStyle="1" w:styleId="2-06CASNumber">
    <w:name w:val="2-06_CAS_Number"/>
    <w:basedOn w:val="BaseText"/>
    <w:rsid w:val="00F506C0"/>
    <w:pPr>
      <w:spacing w:after="120"/>
    </w:pPr>
    <w:rPr>
      <w:b/>
    </w:rPr>
  </w:style>
  <w:style w:type="paragraph" w:customStyle="1" w:styleId="1-04ReportSubtitle">
    <w:name w:val="1-04_Report_Subtitle"/>
    <w:basedOn w:val="BaseHeading"/>
    <w:rsid w:val="00F506C0"/>
    <w:pPr>
      <w:spacing w:after="120"/>
      <w:jc w:val="center"/>
    </w:pPr>
    <w:rPr>
      <w:b/>
    </w:rPr>
  </w:style>
  <w:style w:type="paragraph" w:customStyle="1" w:styleId="1-03ReportTitle">
    <w:name w:val="1-03_Report_Title"/>
    <w:basedOn w:val="BaseHeading"/>
    <w:link w:val="1-03ReportTitleChar"/>
    <w:rsid w:val="00F506C0"/>
    <w:pPr>
      <w:spacing w:after="120"/>
      <w:jc w:val="center"/>
    </w:pPr>
    <w:rPr>
      <w:b/>
      <w:sz w:val="40"/>
    </w:rPr>
  </w:style>
  <w:style w:type="paragraph" w:customStyle="1" w:styleId="Authors">
    <w:name w:val="Authors"/>
    <w:basedOn w:val="BaseText"/>
    <w:rsid w:val="00A96D46"/>
  </w:style>
  <w:style w:type="paragraph" w:customStyle="1" w:styleId="Affiliations">
    <w:name w:val="Affiliations"/>
    <w:basedOn w:val="BaseText"/>
    <w:rsid w:val="00A96D46"/>
  </w:style>
  <w:style w:type="paragraph" w:customStyle="1" w:styleId="Correspondence">
    <w:name w:val="Correspondence"/>
    <w:basedOn w:val="BaseText"/>
    <w:rsid w:val="00A96D46"/>
  </w:style>
  <w:style w:type="paragraph" w:customStyle="1" w:styleId="1-14AuthorFootnote">
    <w:name w:val="1-14_Author_Footnote"/>
    <w:basedOn w:val="BaseText"/>
    <w:rsid w:val="00F506C0"/>
    <w:rPr>
      <w:sz w:val="20"/>
    </w:rPr>
  </w:style>
  <w:style w:type="paragraph" w:customStyle="1" w:styleId="1-15AbstractHead">
    <w:name w:val="1-15_Abstract_Head"/>
    <w:basedOn w:val="BaseHeading"/>
    <w:rsid w:val="00F506C0"/>
    <w:pPr>
      <w:pageBreakBefore/>
      <w:spacing w:after="240"/>
      <w:jc w:val="center"/>
    </w:pPr>
    <w:rPr>
      <w:b/>
      <w:sz w:val="32"/>
    </w:rPr>
  </w:style>
  <w:style w:type="paragraph" w:customStyle="1" w:styleId="1-19Abstract">
    <w:name w:val="1-19_Abstract"/>
    <w:basedOn w:val="BaseText"/>
    <w:rsid w:val="00F506C0"/>
    <w:pPr>
      <w:spacing w:after="120"/>
    </w:pPr>
  </w:style>
  <w:style w:type="paragraph" w:customStyle="1" w:styleId="1-20Keywords">
    <w:name w:val="1-20_Keywords"/>
    <w:basedOn w:val="BaseText"/>
    <w:rsid w:val="00F506C0"/>
  </w:style>
  <w:style w:type="paragraph" w:customStyle="1" w:styleId="0-02Abbreviations">
    <w:name w:val="0-02_Abbreviations"/>
    <w:basedOn w:val="BaseText"/>
    <w:rsid w:val="00F506C0"/>
    <w:pPr>
      <w:tabs>
        <w:tab w:val="left" w:pos="1440"/>
      </w:tabs>
      <w:spacing w:after="120"/>
      <w:ind w:left="1728" w:hanging="1728"/>
    </w:pPr>
  </w:style>
  <w:style w:type="paragraph" w:customStyle="1" w:styleId="1-02ReportType">
    <w:name w:val="1-02_Report_Type"/>
    <w:basedOn w:val="BaseText"/>
    <w:rsid w:val="00F506C0"/>
    <w:pPr>
      <w:spacing w:after="120"/>
      <w:jc w:val="center"/>
    </w:pPr>
  </w:style>
  <w:style w:type="paragraph" w:customStyle="1" w:styleId="2-03ProfileHead1">
    <w:name w:val="2-03_Profile_Head1"/>
    <w:basedOn w:val="BaseHeading"/>
    <w:rsid w:val="00F506C0"/>
    <w:pPr>
      <w:spacing w:before="240" w:after="120"/>
      <w:outlineLvl w:val="1"/>
    </w:pPr>
    <w:rPr>
      <w:b/>
      <w:sz w:val="24"/>
    </w:rPr>
  </w:style>
  <w:style w:type="paragraph" w:customStyle="1" w:styleId="2-04ProfileHead2">
    <w:name w:val="2-04_Profile_Head2"/>
    <w:basedOn w:val="BaseHeading"/>
    <w:rsid w:val="00F506C0"/>
    <w:pPr>
      <w:spacing w:before="180" w:after="120"/>
      <w:outlineLvl w:val="2"/>
    </w:pPr>
    <w:rPr>
      <w:b/>
      <w:i/>
      <w:sz w:val="24"/>
    </w:rPr>
  </w:style>
  <w:style w:type="paragraph" w:styleId="TOC1">
    <w:name w:val="toc 1"/>
    <w:next w:val="TOC2"/>
    <w:uiPriority w:val="39"/>
    <w:rsid w:val="00F506C0"/>
    <w:pPr>
      <w:tabs>
        <w:tab w:val="right" w:leader="dot" w:pos="9360"/>
      </w:tabs>
      <w:spacing w:before="120"/>
      <w:ind w:left="360" w:right="720" w:hanging="360"/>
    </w:pPr>
    <w:rPr>
      <w:rFonts w:eastAsia="MS Mincho"/>
      <w:noProof/>
      <w:lang w:eastAsia="ja-JP"/>
    </w:rPr>
  </w:style>
  <w:style w:type="paragraph" w:styleId="TOC2">
    <w:name w:val="toc 2"/>
    <w:uiPriority w:val="39"/>
    <w:rsid w:val="00F506C0"/>
    <w:pPr>
      <w:tabs>
        <w:tab w:val="right" w:leader="dot" w:pos="9360"/>
      </w:tabs>
      <w:ind w:left="792" w:right="720" w:hanging="504"/>
    </w:pPr>
    <w:rPr>
      <w:rFonts w:eastAsia="MS Mincho"/>
      <w:noProof/>
      <w:color w:val="000000"/>
      <w:lang w:eastAsia="ja-JP"/>
    </w:rPr>
  </w:style>
  <w:style w:type="paragraph" w:customStyle="1" w:styleId="3-02Head1">
    <w:name w:val="3-02_Head1"/>
    <w:basedOn w:val="BaseHeading"/>
    <w:rsid w:val="00F506C0"/>
    <w:pPr>
      <w:pageBreakBefore/>
      <w:numPr>
        <w:numId w:val="9"/>
      </w:numPr>
      <w:spacing w:after="320"/>
    </w:pPr>
    <w:rPr>
      <w:b/>
      <w:sz w:val="34"/>
    </w:rPr>
  </w:style>
  <w:style w:type="paragraph" w:customStyle="1" w:styleId="3-03Head2">
    <w:name w:val="3-03_Head2"/>
    <w:basedOn w:val="BaseHeading"/>
    <w:rsid w:val="00F506C0"/>
    <w:pPr>
      <w:numPr>
        <w:ilvl w:val="1"/>
        <w:numId w:val="9"/>
      </w:numPr>
      <w:spacing w:before="240" w:after="120"/>
      <w:outlineLvl w:val="1"/>
    </w:pPr>
    <w:rPr>
      <w:b/>
      <w:sz w:val="30"/>
    </w:rPr>
  </w:style>
  <w:style w:type="paragraph" w:customStyle="1" w:styleId="3-04Head3">
    <w:name w:val="3-04_Head3"/>
    <w:basedOn w:val="BaseHeading"/>
    <w:rsid w:val="00F506C0"/>
    <w:pPr>
      <w:numPr>
        <w:ilvl w:val="2"/>
        <w:numId w:val="9"/>
      </w:numPr>
      <w:spacing w:before="240" w:after="120"/>
      <w:outlineLvl w:val="2"/>
    </w:pPr>
    <w:rPr>
      <w:b/>
      <w:sz w:val="26"/>
    </w:rPr>
  </w:style>
  <w:style w:type="paragraph" w:customStyle="1" w:styleId="3-05Head4">
    <w:name w:val="3-05_Head4"/>
    <w:basedOn w:val="BaseHeading"/>
    <w:rsid w:val="00F506C0"/>
    <w:pPr>
      <w:numPr>
        <w:ilvl w:val="3"/>
        <w:numId w:val="9"/>
      </w:numPr>
      <w:spacing w:before="240" w:after="40"/>
      <w:outlineLvl w:val="3"/>
    </w:pPr>
    <w:rPr>
      <w:b/>
      <w:sz w:val="22"/>
    </w:rPr>
  </w:style>
  <w:style w:type="paragraph" w:customStyle="1" w:styleId="3-06Head5">
    <w:name w:val="3-06_Head5"/>
    <w:basedOn w:val="BaseHeading"/>
    <w:rsid w:val="00F506C0"/>
    <w:pPr>
      <w:numPr>
        <w:ilvl w:val="4"/>
        <w:numId w:val="9"/>
      </w:numPr>
      <w:tabs>
        <w:tab w:val="left" w:pos="499"/>
      </w:tabs>
      <w:spacing w:before="240" w:after="40"/>
      <w:outlineLvl w:val="4"/>
    </w:pPr>
    <w:rPr>
      <w:sz w:val="22"/>
    </w:rPr>
  </w:style>
  <w:style w:type="paragraph" w:customStyle="1" w:styleId="3-07Head6">
    <w:name w:val="3-07_Head6"/>
    <w:basedOn w:val="BaseHeading"/>
    <w:rsid w:val="00F506C0"/>
    <w:pPr>
      <w:numPr>
        <w:ilvl w:val="5"/>
        <w:numId w:val="9"/>
      </w:numPr>
      <w:spacing w:before="240" w:after="40"/>
      <w:outlineLvl w:val="5"/>
    </w:pPr>
    <w:rPr>
      <w:i/>
      <w:sz w:val="22"/>
    </w:rPr>
  </w:style>
  <w:style w:type="paragraph" w:customStyle="1" w:styleId="0-03Paragraph">
    <w:name w:val="0-03_Paragraph"/>
    <w:basedOn w:val="BaseText"/>
    <w:rsid w:val="00F506C0"/>
    <w:pPr>
      <w:spacing w:after="180"/>
    </w:pPr>
  </w:style>
  <w:style w:type="paragraph" w:customStyle="1" w:styleId="0-04ParagraphContinued">
    <w:name w:val="0-04_Paragraph_Continued"/>
    <w:basedOn w:val="BaseText"/>
    <w:rsid w:val="00F506C0"/>
    <w:pPr>
      <w:spacing w:after="180"/>
    </w:pPr>
  </w:style>
  <w:style w:type="paragraph" w:customStyle="1" w:styleId="3-08BlockQuote">
    <w:name w:val="3-08_Block_Quote"/>
    <w:basedOn w:val="BaseText"/>
    <w:rsid w:val="00F506C0"/>
    <w:pPr>
      <w:spacing w:after="180"/>
    </w:pPr>
  </w:style>
  <w:style w:type="paragraph" w:customStyle="1" w:styleId="3-09Equation">
    <w:name w:val="3-09_Equation"/>
    <w:basedOn w:val="BaseText"/>
    <w:rsid w:val="00F506C0"/>
    <w:pPr>
      <w:spacing w:after="180"/>
    </w:pPr>
  </w:style>
  <w:style w:type="paragraph" w:customStyle="1" w:styleId="AuthorBiography">
    <w:name w:val="Author_Biography"/>
    <w:basedOn w:val="BaseText"/>
    <w:rsid w:val="00A96D46"/>
    <w:pPr>
      <w:spacing w:after="180"/>
    </w:pPr>
  </w:style>
  <w:style w:type="paragraph" w:customStyle="1" w:styleId="2-05ProfileHead3">
    <w:name w:val="2-05_Profile_Head3"/>
    <w:basedOn w:val="BaseHeading"/>
    <w:rsid w:val="00F506C0"/>
    <w:pPr>
      <w:spacing w:before="180" w:after="120"/>
      <w:outlineLvl w:val="3"/>
    </w:pPr>
    <w:rPr>
      <w:i/>
      <w:sz w:val="24"/>
    </w:rPr>
  </w:style>
  <w:style w:type="paragraph" w:customStyle="1" w:styleId="2-02ProfileSubtitle">
    <w:name w:val="2-02_Profile_Subtitle"/>
    <w:basedOn w:val="BaseHeading"/>
    <w:rsid w:val="00F506C0"/>
    <w:pPr>
      <w:spacing w:after="120"/>
    </w:pPr>
    <w:rPr>
      <w:b/>
    </w:rPr>
  </w:style>
  <w:style w:type="paragraph" w:customStyle="1" w:styleId="4-16Bibliography">
    <w:name w:val="4-16_Bibliography"/>
    <w:basedOn w:val="4-13References"/>
    <w:rsid w:val="00F506C0"/>
  </w:style>
  <w:style w:type="paragraph" w:customStyle="1" w:styleId="4-13References">
    <w:name w:val="4-13_References"/>
    <w:basedOn w:val="BaseText"/>
    <w:rsid w:val="00F506C0"/>
    <w:pPr>
      <w:spacing w:after="180"/>
    </w:pPr>
  </w:style>
  <w:style w:type="paragraph" w:customStyle="1" w:styleId="4-14ReferenceAnnotation">
    <w:name w:val="4-14_Reference_Annotation"/>
    <w:basedOn w:val="BaseText"/>
    <w:rsid w:val="00F506C0"/>
    <w:rPr>
      <w:sz w:val="20"/>
    </w:rPr>
  </w:style>
  <w:style w:type="paragraph" w:customStyle="1" w:styleId="4-12ReferenceHead">
    <w:name w:val="4-12_Reference_Head"/>
    <w:basedOn w:val="BaseHeading"/>
    <w:rsid w:val="00F506C0"/>
    <w:pPr>
      <w:spacing w:after="320"/>
    </w:pPr>
    <w:rPr>
      <w:b/>
      <w:sz w:val="32"/>
    </w:rPr>
  </w:style>
  <w:style w:type="paragraph" w:customStyle="1" w:styleId="CompetingInterests">
    <w:name w:val="Competing_Interests"/>
    <w:basedOn w:val="BaseText"/>
    <w:rsid w:val="00A96D46"/>
  </w:style>
  <w:style w:type="paragraph" w:customStyle="1" w:styleId="CompetingInterestsHead">
    <w:name w:val="Competing_Interests_Head"/>
    <w:basedOn w:val="BaseHeading"/>
    <w:rsid w:val="00A96D46"/>
  </w:style>
  <w:style w:type="paragraph" w:customStyle="1" w:styleId="4-11Acknowledgement">
    <w:name w:val="4-11_Acknowledgement"/>
    <w:basedOn w:val="BaseText"/>
    <w:rsid w:val="00F506C0"/>
    <w:pPr>
      <w:spacing w:after="180"/>
    </w:pPr>
  </w:style>
  <w:style w:type="paragraph" w:customStyle="1" w:styleId="1-26LogoGraphic">
    <w:name w:val="1-26_Logo_Graphic"/>
    <w:basedOn w:val="BaseText"/>
    <w:rsid w:val="00F506C0"/>
    <w:pPr>
      <w:jc w:val="center"/>
    </w:pPr>
  </w:style>
  <w:style w:type="paragraph" w:customStyle="1" w:styleId="4-09AppendixText">
    <w:name w:val="4-09_Appendix_Text"/>
    <w:basedOn w:val="BaseText"/>
    <w:link w:val="4-09AppendixTextChar"/>
    <w:rsid w:val="00F506C0"/>
    <w:pPr>
      <w:spacing w:after="180"/>
    </w:pPr>
  </w:style>
  <w:style w:type="paragraph" w:customStyle="1" w:styleId="4-04AppendixTitle">
    <w:name w:val="4-04_Appendix_Title"/>
    <w:basedOn w:val="BaseHeading"/>
    <w:rsid w:val="00F506C0"/>
    <w:pPr>
      <w:numPr>
        <w:numId w:val="7"/>
      </w:numPr>
      <w:spacing w:before="240" w:after="60"/>
    </w:pPr>
    <w:rPr>
      <w:b/>
      <w:sz w:val="32"/>
    </w:rPr>
  </w:style>
  <w:style w:type="paragraph" w:customStyle="1" w:styleId="4-05AppendixHead1">
    <w:name w:val="4-05_Appendix_Head_1"/>
    <w:basedOn w:val="BaseHeading"/>
    <w:rsid w:val="00F506C0"/>
    <w:pPr>
      <w:numPr>
        <w:ilvl w:val="1"/>
        <w:numId w:val="8"/>
      </w:numPr>
      <w:spacing w:before="240" w:after="280"/>
      <w:outlineLvl w:val="1"/>
    </w:pPr>
    <w:rPr>
      <w:b/>
    </w:rPr>
  </w:style>
  <w:style w:type="paragraph" w:customStyle="1" w:styleId="4-06AppendixHead2">
    <w:name w:val="4-06_Appendix_Head_2"/>
    <w:basedOn w:val="BaseHeading"/>
    <w:rsid w:val="00F506C0"/>
    <w:pPr>
      <w:numPr>
        <w:ilvl w:val="2"/>
        <w:numId w:val="8"/>
      </w:numPr>
      <w:spacing w:before="240" w:after="120"/>
      <w:outlineLvl w:val="2"/>
    </w:pPr>
    <w:rPr>
      <w:b/>
      <w:sz w:val="24"/>
    </w:rPr>
  </w:style>
  <w:style w:type="paragraph" w:customStyle="1" w:styleId="0-19BoxTitle">
    <w:name w:val="0-19_Box_Title"/>
    <w:basedOn w:val="BaseHeading"/>
    <w:rsid w:val="00F506C0"/>
    <w:pPr>
      <w:autoSpaceDE w:val="0"/>
      <w:autoSpaceDN w:val="0"/>
      <w:adjustRightInd w:val="0"/>
      <w:spacing w:before="60" w:after="180"/>
    </w:pPr>
    <w:rPr>
      <w:b/>
      <w:sz w:val="24"/>
    </w:rPr>
  </w:style>
  <w:style w:type="paragraph" w:customStyle="1" w:styleId="0-20BoxHead1">
    <w:name w:val="0-20_Box_Head_1"/>
    <w:basedOn w:val="BaseHeading"/>
    <w:rsid w:val="00F506C0"/>
    <w:pPr>
      <w:autoSpaceDE w:val="0"/>
      <w:autoSpaceDN w:val="0"/>
      <w:adjustRightInd w:val="0"/>
      <w:spacing w:after="120"/>
      <w:outlineLvl w:val="1"/>
    </w:pPr>
    <w:rPr>
      <w:b/>
      <w:sz w:val="20"/>
    </w:rPr>
  </w:style>
  <w:style w:type="paragraph" w:customStyle="1" w:styleId="0-21BoxHead2">
    <w:name w:val="0-21_Box_Head_2"/>
    <w:basedOn w:val="BaseHeading"/>
    <w:rsid w:val="00F506C0"/>
    <w:pPr>
      <w:spacing w:after="120"/>
      <w:outlineLvl w:val="2"/>
    </w:pPr>
    <w:rPr>
      <w:b/>
      <w:i/>
      <w:sz w:val="20"/>
    </w:rPr>
  </w:style>
  <w:style w:type="paragraph" w:customStyle="1" w:styleId="0-22BoxText">
    <w:name w:val="0-22_Box_Text"/>
    <w:basedOn w:val="BaseText"/>
    <w:rsid w:val="00F506C0"/>
    <w:pPr>
      <w:autoSpaceDE w:val="0"/>
      <w:autoSpaceDN w:val="0"/>
      <w:adjustRightInd w:val="0"/>
      <w:spacing w:after="120"/>
    </w:pPr>
    <w:rPr>
      <w:sz w:val="20"/>
    </w:rPr>
  </w:style>
  <w:style w:type="paragraph" w:customStyle="1" w:styleId="0-33Footnote">
    <w:name w:val="0-33_Footnote"/>
    <w:basedOn w:val="BaseText"/>
    <w:rsid w:val="00F506C0"/>
    <w:rPr>
      <w:sz w:val="20"/>
    </w:rPr>
  </w:style>
  <w:style w:type="paragraph" w:customStyle="1" w:styleId="0-25TableTitle">
    <w:name w:val="0-25_Table_Title"/>
    <w:basedOn w:val="BaseText"/>
    <w:rsid w:val="00F506C0"/>
    <w:pPr>
      <w:keepNext/>
      <w:spacing w:before="280" w:after="60"/>
    </w:pPr>
    <w:rPr>
      <w:b/>
      <w:sz w:val="22"/>
    </w:rPr>
  </w:style>
  <w:style w:type="paragraph" w:customStyle="1" w:styleId="0-28TableHead">
    <w:name w:val="0-28_Table_Head"/>
    <w:basedOn w:val="BaseText"/>
    <w:link w:val="0-28TableHeadChar"/>
    <w:rsid w:val="00F506C0"/>
    <w:pPr>
      <w:keepNext/>
      <w:jc w:val="center"/>
    </w:pPr>
    <w:rPr>
      <w:b/>
      <w:sz w:val="20"/>
    </w:rPr>
  </w:style>
  <w:style w:type="character" w:customStyle="1" w:styleId="0-28TableHeadChar">
    <w:name w:val="0-28_Table_Head Char"/>
    <w:basedOn w:val="DefaultParagraphFont"/>
    <w:link w:val="0-28TableHead"/>
    <w:rsid w:val="00020575"/>
    <w:rPr>
      <w:rFonts w:eastAsia="Times New Roman"/>
      <w:b/>
      <w:sz w:val="20"/>
    </w:rPr>
  </w:style>
  <w:style w:type="paragraph" w:customStyle="1" w:styleId="0-29TableBody">
    <w:name w:val="0-29_Table_Body"/>
    <w:basedOn w:val="BaseText"/>
    <w:rsid w:val="00F506C0"/>
    <w:rPr>
      <w:sz w:val="20"/>
    </w:rPr>
  </w:style>
  <w:style w:type="paragraph" w:customStyle="1" w:styleId="0-30TableFootnote">
    <w:name w:val="0-30_Table_Footnote"/>
    <w:basedOn w:val="BaseText"/>
    <w:rsid w:val="00F506C0"/>
    <w:rPr>
      <w:sz w:val="18"/>
    </w:rPr>
  </w:style>
  <w:style w:type="paragraph" w:customStyle="1" w:styleId="0-32FigCaption">
    <w:name w:val="0-32_Fig_Caption"/>
    <w:basedOn w:val="BaseText"/>
    <w:rsid w:val="00F506C0"/>
    <w:pPr>
      <w:spacing w:before="60" w:after="280"/>
    </w:pPr>
    <w:rPr>
      <w:b/>
      <w:sz w:val="22"/>
    </w:rPr>
  </w:style>
  <w:style w:type="paragraph" w:customStyle="1" w:styleId="3-12FigCaptionContinued">
    <w:name w:val="3-12_Fig_Caption_Continued"/>
    <w:basedOn w:val="BaseText"/>
    <w:rsid w:val="00F506C0"/>
    <w:rPr>
      <w:b/>
      <w:sz w:val="22"/>
    </w:rPr>
  </w:style>
  <w:style w:type="paragraph" w:customStyle="1" w:styleId="3-13FigSource">
    <w:name w:val="3-13_Fig_Source"/>
    <w:basedOn w:val="BaseText"/>
    <w:rsid w:val="00F506C0"/>
    <w:rPr>
      <w:sz w:val="18"/>
    </w:rPr>
  </w:style>
  <w:style w:type="paragraph" w:customStyle="1" w:styleId="0-06BulList1">
    <w:name w:val="0-06_Bul_List_1"/>
    <w:basedOn w:val="BaseText"/>
    <w:rsid w:val="00336E91"/>
    <w:pPr>
      <w:numPr>
        <w:numId w:val="3"/>
      </w:numPr>
      <w:spacing w:after="80"/>
      <w:ind w:left="1080"/>
    </w:pPr>
  </w:style>
  <w:style w:type="paragraph" w:customStyle="1" w:styleId="0-09BulList2">
    <w:name w:val="0-09_Bul_List_2"/>
    <w:basedOn w:val="BaseText"/>
    <w:rsid w:val="00336E91"/>
    <w:pPr>
      <w:numPr>
        <w:ilvl w:val="1"/>
        <w:numId w:val="4"/>
      </w:numPr>
      <w:spacing w:after="80"/>
      <w:ind w:left="1440"/>
    </w:pPr>
  </w:style>
  <w:style w:type="paragraph" w:customStyle="1" w:styleId="0-18UnnumberedList1">
    <w:name w:val="0-18_Unnumbered_List_1"/>
    <w:basedOn w:val="BaseText"/>
    <w:rsid w:val="00F506C0"/>
    <w:pPr>
      <w:spacing w:after="180"/>
      <w:ind w:left="720" w:hanging="360"/>
    </w:pPr>
  </w:style>
  <w:style w:type="paragraph" w:customStyle="1" w:styleId="0-14List3Continued">
    <w:name w:val="0-14_List_3_Continued"/>
    <w:basedOn w:val="BaseText"/>
    <w:rsid w:val="00F506C0"/>
    <w:pPr>
      <w:autoSpaceDE w:val="0"/>
      <w:autoSpaceDN w:val="0"/>
      <w:adjustRightInd w:val="0"/>
      <w:spacing w:after="180"/>
      <w:ind w:left="1440"/>
    </w:pPr>
  </w:style>
  <w:style w:type="paragraph" w:customStyle="1" w:styleId="0-08List1Continued">
    <w:name w:val="0-08_List_1_Continued"/>
    <w:basedOn w:val="BaseText"/>
    <w:rsid w:val="00F506C0"/>
    <w:pPr>
      <w:autoSpaceDE w:val="0"/>
      <w:autoSpaceDN w:val="0"/>
      <w:adjustRightInd w:val="0"/>
      <w:spacing w:after="180"/>
      <w:ind w:left="720"/>
    </w:pPr>
  </w:style>
  <w:style w:type="paragraph" w:customStyle="1" w:styleId="0-11List2Continued">
    <w:name w:val="0-11_List_2_Continued"/>
    <w:basedOn w:val="BaseText"/>
    <w:rsid w:val="00F506C0"/>
    <w:pPr>
      <w:autoSpaceDE w:val="0"/>
      <w:autoSpaceDN w:val="0"/>
      <w:adjustRightInd w:val="0"/>
      <w:spacing w:after="180"/>
      <w:ind w:left="1080"/>
    </w:pPr>
  </w:style>
  <w:style w:type="character" w:customStyle="1" w:styleId="afbase">
    <w:name w:val="af_base"/>
    <w:rsid w:val="00F506C0"/>
  </w:style>
  <w:style w:type="character" w:customStyle="1" w:styleId="afaddr-line">
    <w:name w:val="af_addr-line"/>
    <w:rsid w:val="00F506C0"/>
    <w:rPr>
      <w:bdr w:val="none" w:sz="0" w:space="0" w:color="auto"/>
      <w:shd w:val="clear" w:color="auto" w:fill="FFFF99"/>
    </w:rPr>
  </w:style>
  <w:style w:type="character" w:customStyle="1" w:styleId="afcountry">
    <w:name w:val="af_country"/>
    <w:rsid w:val="00F506C0"/>
    <w:rPr>
      <w:bdr w:val="none" w:sz="0" w:space="0" w:color="auto"/>
      <w:shd w:val="clear" w:color="auto" w:fill="D7AFFF"/>
    </w:rPr>
  </w:style>
  <w:style w:type="character" w:customStyle="1" w:styleId="affax">
    <w:name w:val="af_fax"/>
    <w:rsid w:val="00F506C0"/>
    <w:rPr>
      <w:bdr w:val="none" w:sz="0" w:space="0" w:color="auto"/>
      <w:shd w:val="clear" w:color="auto" w:fill="81E7FF"/>
    </w:rPr>
  </w:style>
  <w:style w:type="character" w:customStyle="1" w:styleId="afinstitution">
    <w:name w:val="af_institution"/>
    <w:rsid w:val="00F506C0"/>
    <w:rPr>
      <w:bdr w:val="none" w:sz="0" w:space="0" w:color="auto"/>
      <w:shd w:val="clear" w:color="auto" w:fill="75FF75"/>
    </w:rPr>
  </w:style>
  <w:style w:type="character" w:customStyle="1" w:styleId="afphone">
    <w:name w:val="af_phone"/>
    <w:rsid w:val="00F506C0"/>
    <w:rPr>
      <w:bdr w:val="none" w:sz="0" w:space="0" w:color="auto"/>
      <w:shd w:val="clear" w:color="auto" w:fill="FF75FF"/>
    </w:rPr>
  </w:style>
  <w:style w:type="character" w:customStyle="1" w:styleId="aubase">
    <w:name w:val="au_base"/>
    <w:rsid w:val="00F506C0"/>
  </w:style>
  <w:style w:type="character" w:customStyle="1" w:styleId="aucollab">
    <w:name w:val="au_collab"/>
    <w:rsid w:val="00F506C0"/>
    <w:rPr>
      <w:bdr w:val="none" w:sz="0" w:space="0" w:color="auto"/>
      <w:shd w:val="clear" w:color="auto" w:fill="C0C0C0"/>
    </w:rPr>
  </w:style>
  <w:style w:type="character" w:customStyle="1" w:styleId="audeg">
    <w:name w:val="au_deg"/>
    <w:rsid w:val="00F506C0"/>
    <w:rPr>
      <w:bdr w:val="none" w:sz="0" w:space="0" w:color="auto"/>
      <w:shd w:val="clear" w:color="auto" w:fill="FFFF00"/>
    </w:rPr>
  </w:style>
  <w:style w:type="character" w:customStyle="1" w:styleId="aufname">
    <w:name w:val="au_fname"/>
    <w:rsid w:val="00F506C0"/>
    <w:rPr>
      <w:bdr w:val="none" w:sz="0" w:space="0" w:color="auto"/>
      <w:shd w:val="clear" w:color="auto" w:fill="FFFFCC"/>
    </w:rPr>
  </w:style>
  <w:style w:type="character" w:customStyle="1" w:styleId="auprefix">
    <w:name w:val="au_prefix"/>
    <w:rsid w:val="00F506C0"/>
    <w:rPr>
      <w:bdr w:val="none" w:sz="0" w:space="0" w:color="auto"/>
      <w:shd w:val="clear" w:color="auto" w:fill="FFCC99"/>
    </w:rPr>
  </w:style>
  <w:style w:type="character" w:customStyle="1" w:styleId="aurole">
    <w:name w:val="au_role"/>
    <w:rsid w:val="00F506C0"/>
    <w:rPr>
      <w:bdr w:val="none" w:sz="0" w:space="0" w:color="auto"/>
      <w:shd w:val="clear" w:color="auto" w:fill="808000"/>
    </w:rPr>
  </w:style>
  <w:style w:type="character" w:customStyle="1" w:styleId="ausuffix">
    <w:name w:val="au_suffix"/>
    <w:rsid w:val="00F506C0"/>
    <w:rPr>
      <w:bdr w:val="none" w:sz="0" w:space="0" w:color="auto"/>
      <w:shd w:val="clear" w:color="auto" w:fill="FF00FF"/>
    </w:rPr>
  </w:style>
  <w:style w:type="character" w:customStyle="1" w:styleId="ausurname">
    <w:name w:val="au_surname"/>
    <w:rsid w:val="00F506C0"/>
    <w:rPr>
      <w:bdr w:val="none" w:sz="0" w:space="0" w:color="auto"/>
      <w:shd w:val="clear" w:color="auto" w:fill="CCFF99"/>
    </w:rPr>
  </w:style>
  <w:style w:type="character" w:customStyle="1" w:styleId="bibbase">
    <w:name w:val="bib_base"/>
    <w:rsid w:val="00F506C0"/>
  </w:style>
  <w:style w:type="character" w:customStyle="1" w:styleId="bibarticle">
    <w:name w:val="bib_article"/>
    <w:rsid w:val="00F506C0"/>
    <w:rPr>
      <w:bdr w:val="none" w:sz="0" w:space="0" w:color="auto"/>
      <w:shd w:val="clear" w:color="auto" w:fill="CCFFFF"/>
    </w:rPr>
  </w:style>
  <w:style w:type="character" w:customStyle="1" w:styleId="bibcomment">
    <w:name w:val="bib_comment"/>
    <w:rsid w:val="00F506C0"/>
    <w:rPr>
      <w:bdr w:val="none" w:sz="0" w:space="0" w:color="auto"/>
      <w:shd w:val="clear" w:color="auto" w:fill="E0E0E0"/>
    </w:rPr>
  </w:style>
  <w:style w:type="character" w:customStyle="1" w:styleId="bibdeg">
    <w:name w:val="bib_deg"/>
    <w:rsid w:val="00F506C0"/>
  </w:style>
  <w:style w:type="character" w:customStyle="1" w:styleId="bibdoi">
    <w:name w:val="bib_doi"/>
    <w:rsid w:val="00F506C0"/>
    <w:rPr>
      <w:bdr w:val="none" w:sz="0" w:space="0" w:color="auto"/>
      <w:shd w:val="clear" w:color="auto" w:fill="CCFFCC"/>
    </w:rPr>
  </w:style>
  <w:style w:type="character" w:customStyle="1" w:styleId="bibetal">
    <w:name w:val="bib_etal"/>
    <w:rsid w:val="00F506C0"/>
    <w:rPr>
      <w:bdr w:val="none" w:sz="0" w:space="0" w:color="auto"/>
      <w:shd w:val="clear" w:color="auto" w:fill="CCFF99"/>
    </w:rPr>
  </w:style>
  <w:style w:type="character" w:customStyle="1" w:styleId="bibextlink">
    <w:name w:val="bib_extlink"/>
    <w:rsid w:val="00F506C0"/>
    <w:rPr>
      <w:bdr w:val="none" w:sz="0" w:space="0" w:color="auto"/>
      <w:shd w:val="clear" w:color="auto" w:fill="6CCE9D"/>
    </w:rPr>
  </w:style>
  <w:style w:type="character" w:customStyle="1" w:styleId="bibfname">
    <w:name w:val="bib_fname"/>
    <w:rsid w:val="00F506C0"/>
    <w:rPr>
      <w:bdr w:val="none" w:sz="0" w:space="0" w:color="auto"/>
      <w:shd w:val="clear" w:color="auto" w:fill="FFFFCC"/>
    </w:rPr>
  </w:style>
  <w:style w:type="character" w:customStyle="1" w:styleId="bibfpage">
    <w:name w:val="bib_fpage"/>
    <w:rsid w:val="00F506C0"/>
    <w:rPr>
      <w:bdr w:val="none" w:sz="0" w:space="0" w:color="auto"/>
      <w:shd w:val="clear" w:color="auto" w:fill="E6E6E6"/>
    </w:rPr>
  </w:style>
  <w:style w:type="character" w:customStyle="1" w:styleId="bibissue">
    <w:name w:val="bib_issue"/>
    <w:rsid w:val="00F506C0"/>
    <w:rPr>
      <w:bdr w:val="none" w:sz="0" w:space="0" w:color="auto"/>
      <w:shd w:val="clear" w:color="auto" w:fill="FFFFAB"/>
    </w:rPr>
  </w:style>
  <w:style w:type="character" w:customStyle="1" w:styleId="bibjournal">
    <w:name w:val="bib_journal"/>
    <w:rsid w:val="00F506C0"/>
    <w:rPr>
      <w:bdr w:val="none" w:sz="0" w:space="0" w:color="auto"/>
      <w:shd w:val="clear" w:color="auto" w:fill="F9DECF"/>
    </w:rPr>
  </w:style>
  <w:style w:type="character" w:customStyle="1" w:styleId="biblpage">
    <w:name w:val="bib_lpage"/>
    <w:rsid w:val="00F506C0"/>
    <w:rPr>
      <w:bdr w:val="none" w:sz="0" w:space="0" w:color="auto"/>
      <w:shd w:val="clear" w:color="auto" w:fill="D9D9D9"/>
    </w:rPr>
  </w:style>
  <w:style w:type="character" w:customStyle="1" w:styleId="bibmedline">
    <w:name w:val="bib_medline"/>
    <w:rsid w:val="00F506C0"/>
  </w:style>
  <w:style w:type="character" w:customStyle="1" w:styleId="bibnumber">
    <w:name w:val="bib_number"/>
    <w:rsid w:val="00F506C0"/>
    <w:rPr>
      <w:bdr w:val="none" w:sz="0" w:space="0" w:color="auto"/>
      <w:shd w:val="clear" w:color="auto" w:fill="CCCCFF"/>
    </w:rPr>
  </w:style>
  <w:style w:type="character" w:customStyle="1" w:styleId="biborganization">
    <w:name w:val="bib_organization"/>
    <w:rsid w:val="00F506C0"/>
    <w:rPr>
      <w:bdr w:val="none" w:sz="0" w:space="0" w:color="auto"/>
      <w:shd w:val="clear" w:color="auto" w:fill="CCFF99"/>
    </w:rPr>
  </w:style>
  <w:style w:type="character" w:customStyle="1" w:styleId="bibsubnum">
    <w:name w:val="bib_subnum"/>
    <w:basedOn w:val="bibbase"/>
    <w:rsid w:val="00F506C0"/>
  </w:style>
  <w:style w:type="character" w:customStyle="1" w:styleId="bibsuffix">
    <w:name w:val="bib_suffix"/>
    <w:rsid w:val="00F506C0"/>
  </w:style>
  <w:style w:type="character" w:customStyle="1" w:styleId="bibsuppl">
    <w:name w:val="bib_suppl"/>
    <w:rsid w:val="00F506C0"/>
    <w:rPr>
      <w:bdr w:val="none" w:sz="0" w:space="0" w:color="auto"/>
      <w:shd w:val="clear" w:color="auto" w:fill="FFCC66"/>
    </w:rPr>
  </w:style>
  <w:style w:type="character" w:customStyle="1" w:styleId="bibsurname">
    <w:name w:val="bib_surname"/>
    <w:rsid w:val="00F506C0"/>
    <w:rPr>
      <w:bdr w:val="none" w:sz="0" w:space="0" w:color="auto"/>
      <w:shd w:val="clear" w:color="auto" w:fill="CCFF99"/>
    </w:rPr>
  </w:style>
  <w:style w:type="character" w:customStyle="1" w:styleId="bibsurname-only">
    <w:name w:val="bib_surname-only"/>
    <w:rsid w:val="00F506C0"/>
    <w:rPr>
      <w:rFonts w:ascii="Times New Roman" w:hAnsi="Times New Roman"/>
      <w:sz w:val="24"/>
      <w:szCs w:val="24"/>
      <w:bdr w:val="none" w:sz="0" w:space="0" w:color="auto"/>
      <w:shd w:val="clear" w:color="auto" w:fill="00FF00"/>
    </w:rPr>
  </w:style>
  <w:style w:type="character" w:customStyle="1" w:styleId="bibunpubl">
    <w:name w:val="bib_unpubl"/>
    <w:rsid w:val="00F506C0"/>
  </w:style>
  <w:style w:type="character" w:customStyle="1" w:styleId="biburl">
    <w:name w:val="bib_url"/>
    <w:rsid w:val="00F506C0"/>
    <w:rPr>
      <w:bdr w:val="none" w:sz="0" w:space="0" w:color="auto"/>
      <w:shd w:val="clear" w:color="auto" w:fill="CCFF66"/>
    </w:rPr>
  </w:style>
  <w:style w:type="character" w:customStyle="1" w:styleId="bibvolume">
    <w:name w:val="bib_volume"/>
    <w:rsid w:val="00F506C0"/>
    <w:rPr>
      <w:bdr w:val="none" w:sz="0" w:space="0" w:color="auto"/>
      <w:shd w:val="clear" w:color="auto" w:fill="CCECFF"/>
    </w:rPr>
  </w:style>
  <w:style w:type="character" w:customStyle="1" w:styleId="bibyear">
    <w:name w:val="bib_year"/>
    <w:rsid w:val="00F506C0"/>
    <w:rPr>
      <w:bdr w:val="none" w:sz="0" w:space="0" w:color="auto"/>
      <w:shd w:val="clear" w:color="auto" w:fill="FFCCFF"/>
    </w:rPr>
  </w:style>
  <w:style w:type="character" w:customStyle="1" w:styleId="citebase">
    <w:name w:val="cite_base"/>
    <w:rsid w:val="00F506C0"/>
  </w:style>
  <w:style w:type="character" w:customStyle="1" w:styleId="citeapp">
    <w:name w:val="cite_app"/>
    <w:rsid w:val="00F506C0"/>
    <w:rPr>
      <w:bdr w:val="none" w:sz="0" w:space="0" w:color="auto"/>
      <w:shd w:val="clear" w:color="auto" w:fill="CCFF33"/>
    </w:rPr>
  </w:style>
  <w:style w:type="character" w:customStyle="1" w:styleId="citebib">
    <w:name w:val="cite_bib"/>
    <w:rsid w:val="00F506C0"/>
    <w:rPr>
      <w:bdr w:val="none" w:sz="0" w:space="0" w:color="auto"/>
      <w:shd w:val="clear" w:color="auto" w:fill="CCFFFF"/>
    </w:rPr>
  </w:style>
  <w:style w:type="character" w:customStyle="1" w:styleId="citebox">
    <w:name w:val="cite_box"/>
    <w:rsid w:val="00F506C0"/>
    <w:rPr>
      <w:bdr w:val="none" w:sz="0" w:space="0" w:color="auto"/>
      <w:shd w:val="clear" w:color="auto" w:fill="9999FF"/>
    </w:rPr>
  </w:style>
  <w:style w:type="character" w:customStyle="1" w:styleId="citeen">
    <w:name w:val="cite_en"/>
    <w:rsid w:val="00F506C0"/>
    <w:rPr>
      <w:bdr w:val="none" w:sz="0" w:space="0" w:color="auto"/>
      <w:shd w:val="clear" w:color="auto" w:fill="FFFF99"/>
      <w:vertAlign w:val="superscript"/>
    </w:rPr>
  </w:style>
  <w:style w:type="character" w:customStyle="1" w:styleId="citeeq">
    <w:name w:val="cite_eq"/>
    <w:rsid w:val="00F506C0"/>
    <w:rPr>
      <w:bdr w:val="none" w:sz="0" w:space="0" w:color="auto"/>
      <w:shd w:val="clear" w:color="auto" w:fill="FFAE37"/>
    </w:rPr>
  </w:style>
  <w:style w:type="character" w:customStyle="1" w:styleId="citefig">
    <w:name w:val="cite_fig"/>
    <w:rsid w:val="00F506C0"/>
    <w:rPr>
      <w:color w:val="auto"/>
      <w:bdr w:val="none" w:sz="0" w:space="0" w:color="auto"/>
      <w:shd w:val="clear" w:color="auto" w:fill="CCFFCC"/>
    </w:rPr>
  </w:style>
  <w:style w:type="character" w:customStyle="1" w:styleId="citefn">
    <w:name w:val="cite_fn"/>
    <w:rsid w:val="00F506C0"/>
    <w:rPr>
      <w:color w:val="auto"/>
      <w:bdr w:val="none" w:sz="0" w:space="0" w:color="auto"/>
      <w:shd w:val="clear" w:color="auto" w:fill="FF99CC"/>
      <w:vertAlign w:val="baseline"/>
    </w:rPr>
  </w:style>
  <w:style w:type="character" w:customStyle="1" w:styleId="citesec">
    <w:name w:val="cite_sec"/>
    <w:rsid w:val="00F506C0"/>
    <w:rPr>
      <w:bdr w:val="none" w:sz="0" w:space="0" w:color="auto"/>
      <w:shd w:val="clear" w:color="auto" w:fill="FFCCCC"/>
    </w:rPr>
  </w:style>
  <w:style w:type="character" w:customStyle="1" w:styleId="citetbl">
    <w:name w:val="cite_tbl"/>
    <w:rsid w:val="00F506C0"/>
    <w:rPr>
      <w:color w:val="auto"/>
      <w:bdr w:val="none" w:sz="0" w:space="0" w:color="auto"/>
      <w:shd w:val="clear" w:color="auto" w:fill="FF9999"/>
    </w:rPr>
  </w:style>
  <w:style w:type="character" w:customStyle="1" w:styleId="citetfn">
    <w:name w:val="cite_tfn"/>
    <w:rsid w:val="00F506C0"/>
    <w:rPr>
      <w:bdr w:val="none" w:sz="0" w:space="0" w:color="auto"/>
      <w:shd w:val="clear" w:color="auto" w:fill="FBBA79"/>
    </w:rPr>
  </w:style>
  <w:style w:type="character" w:customStyle="1" w:styleId="citefignomove">
    <w:name w:val="cite_fig_nomove"/>
    <w:rsid w:val="00F506C0"/>
    <w:rPr>
      <w:rFonts w:ascii="Times New Roman" w:hAnsi="Times New Roman"/>
      <w:sz w:val="19"/>
      <w:bdr w:val="none" w:sz="0" w:space="0" w:color="auto"/>
      <w:shd w:val="clear" w:color="auto" w:fill="99CC00"/>
    </w:rPr>
  </w:style>
  <w:style w:type="character" w:customStyle="1" w:styleId="citetblnomove">
    <w:name w:val="cite_tbl_nomove"/>
    <w:rsid w:val="00F506C0"/>
    <w:rPr>
      <w:rFonts w:ascii="Times New Roman" w:hAnsi="Times New Roman"/>
      <w:sz w:val="19"/>
      <w:bdr w:val="none" w:sz="0" w:space="0" w:color="auto"/>
      <w:shd w:val="clear" w:color="auto" w:fill="9966FF"/>
    </w:rPr>
  </w:style>
  <w:style w:type="character" w:customStyle="1" w:styleId="ContractNumber">
    <w:name w:val="Contract Number"/>
    <w:rsid w:val="00A96D46"/>
    <w:rPr>
      <w:sz w:val="24"/>
      <w:szCs w:val="24"/>
      <w:bdr w:val="none" w:sz="0" w:space="0" w:color="auto"/>
      <w:shd w:val="clear" w:color="auto" w:fill="CCFFCC"/>
    </w:rPr>
  </w:style>
  <w:style w:type="character" w:customStyle="1" w:styleId="ContractSponsor">
    <w:name w:val="Contract Sponsor"/>
    <w:rsid w:val="00A96D46"/>
    <w:rPr>
      <w:sz w:val="24"/>
      <w:szCs w:val="24"/>
      <w:bdr w:val="none" w:sz="0" w:space="0" w:color="auto"/>
      <w:shd w:val="clear" w:color="auto" w:fill="FFCC99"/>
    </w:rPr>
  </w:style>
  <w:style w:type="paragraph" w:customStyle="1" w:styleId="0-17List4Continued">
    <w:name w:val="0-17_List_4_Continued"/>
    <w:basedOn w:val="BaseText"/>
    <w:rsid w:val="00F506C0"/>
    <w:pPr>
      <w:autoSpaceDE w:val="0"/>
      <w:autoSpaceDN w:val="0"/>
      <w:adjustRightInd w:val="0"/>
      <w:spacing w:after="180"/>
      <w:ind w:left="1800"/>
    </w:pPr>
  </w:style>
  <w:style w:type="paragraph" w:customStyle="1" w:styleId="0-12BulList3">
    <w:name w:val="0-12_Bul_List_3"/>
    <w:basedOn w:val="BaseText"/>
    <w:rsid w:val="00336E91"/>
    <w:pPr>
      <w:numPr>
        <w:ilvl w:val="2"/>
        <w:numId w:val="5"/>
      </w:numPr>
      <w:spacing w:after="80"/>
      <w:ind w:left="1800"/>
    </w:pPr>
  </w:style>
  <w:style w:type="paragraph" w:customStyle="1" w:styleId="0-15BulList4">
    <w:name w:val="0-15_Bul_List_4"/>
    <w:basedOn w:val="BaseText"/>
    <w:rsid w:val="00336E91"/>
    <w:pPr>
      <w:numPr>
        <w:ilvl w:val="3"/>
        <w:numId w:val="6"/>
      </w:numPr>
      <w:spacing w:after="80"/>
      <w:ind w:left="2160"/>
    </w:pPr>
  </w:style>
  <w:style w:type="paragraph" w:customStyle="1" w:styleId="3-10Preformat">
    <w:name w:val="3-10_Preformat"/>
    <w:basedOn w:val="BaseText"/>
    <w:rsid w:val="00F506C0"/>
    <w:pPr>
      <w:spacing w:after="180"/>
    </w:pPr>
    <w:rPr>
      <w:rFonts w:ascii="Consolas" w:hAnsi="Consolas"/>
    </w:rPr>
  </w:style>
  <w:style w:type="paragraph" w:customStyle="1" w:styleId="0-05ListTitle">
    <w:name w:val="0-05_List_Title"/>
    <w:basedOn w:val="BaseText"/>
    <w:rsid w:val="00F506C0"/>
    <w:pPr>
      <w:spacing w:after="180"/>
    </w:pPr>
    <w:rPr>
      <w:b/>
    </w:rPr>
  </w:style>
  <w:style w:type="paragraph" w:customStyle="1" w:styleId="BoxTextNoTitle">
    <w:name w:val="Box_Text_No_Title"/>
    <w:basedOn w:val="BaseText"/>
    <w:rsid w:val="00A96D46"/>
    <w:pPr>
      <w:shd w:val="clear" w:color="auto" w:fill="E6E6E6"/>
      <w:ind w:left="360" w:right="360"/>
    </w:pPr>
  </w:style>
  <w:style w:type="paragraph" w:customStyle="1" w:styleId="0-23BoxList1">
    <w:name w:val="0-23_Box_List1"/>
    <w:basedOn w:val="0-22BoxText"/>
    <w:rsid w:val="00F506C0"/>
    <w:pPr>
      <w:ind w:left="720" w:hanging="360"/>
    </w:pPr>
    <w:rPr>
      <w:rFonts w:eastAsia="MS Mincho"/>
    </w:rPr>
  </w:style>
  <w:style w:type="paragraph" w:customStyle="1" w:styleId="0-24BoxList2">
    <w:name w:val="0-24_Box_List2"/>
    <w:basedOn w:val="0-23BoxList1"/>
    <w:rsid w:val="00F506C0"/>
    <w:pPr>
      <w:ind w:left="1080"/>
    </w:pPr>
  </w:style>
  <w:style w:type="paragraph" w:customStyle="1" w:styleId="3-11FigAltText">
    <w:name w:val="3-11_Fig_Alt_Text"/>
    <w:basedOn w:val="BaseText"/>
    <w:rsid w:val="00F506C0"/>
    <w:pPr>
      <w:spacing w:after="120"/>
    </w:pPr>
    <w:rPr>
      <w:rFonts w:eastAsia="SimSun"/>
      <w:sz w:val="22"/>
      <w:lang w:eastAsia="zh-CN"/>
    </w:rPr>
  </w:style>
  <w:style w:type="paragraph" w:customStyle="1" w:styleId="0-27TableAltText">
    <w:name w:val="0-27_Table_Alt_Text"/>
    <w:basedOn w:val="BaseText"/>
    <w:rsid w:val="00F506C0"/>
    <w:pPr>
      <w:spacing w:after="120"/>
    </w:pPr>
    <w:rPr>
      <w:rFonts w:eastAsia="SimSun"/>
      <w:sz w:val="22"/>
      <w:lang w:eastAsia="zh-CN"/>
    </w:rPr>
  </w:style>
  <w:style w:type="paragraph" w:customStyle="1" w:styleId="2-01ProfileTitle">
    <w:name w:val="2-01_Profile_Title"/>
    <w:basedOn w:val="BaseHeading"/>
    <w:rsid w:val="00F506C0"/>
    <w:pPr>
      <w:spacing w:after="320"/>
      <w:jc w:val="center"/>
    </w:pPr>
    <w:rPr>
      <w:b/>
      <w:sz w:val="40"/>
    </w:rPr>
  </w:style>
  <w:style w:type="paragraph" w:customStyle="1" w:styleId="1-05PublicationDate">
    <w:name w:val="1-05_Publication_Date"/>
    <w:basedOn w:val="BaseText"/>
    <w:rsid w:val="00F506C0"/>
    <w:pPr>
      <w:spacing w:before="360"/>
      <w:jc w:val="center"/>
    </w:pPr>
  </w:style>
  <w:style w:type="paragraph" w:customStyle="1" w:styleId="1-09PublicationDepartment">
    <w:name w:val="1-09_Publication_Department"/>
    <w:basedOn w:val="BaseText"/>
    <w:qFormat/>
    <w:rsid w:val="00F506C0"/>
    <w:pPr>
      <w:jc w:val="center"/>
    </w:pPr>
  </w:style>
  <w:style w:type="paragraph" w:customStyle="1" w:styleId="1-07PublicationDivision">
    <w:name w:val="1-07_Publication_Division"/>
    <w:basedOn w:val="BaseText"/>
    <w:rsid w:val="00F506C0"/>
    <w:pPr>
      <w:jc w:val="center"/>
    </w:pPr>
  </w:style>
  <w:style w:type="paragraph" w:customStyle="1" w:styleId="1-08PublicationInstitute">
    <w:name w:val="1-08_Publication_Institute"/>
    <w:basedOn w:val="BaseText"/>
    <w:rsid w:val="00F506C0"/>
    <w:pPr>
      <w:jc w:val="center"/>
    </w:pPr>
  </w:style>
  <w:style w:type="paragraph" w:customStyle="1" w:styleId="1-06PublicationOffice">
    <w:name w:val="1-06_Publication_Office"/>
    <w:basedOn w:val="BaseText"/>
    <w:rsid w:val="00F506C0"/>
    <w:pPr>
      <w:spacing w:before="2000"/>
      <w:jc w:val="center"/>
    </w:pPr>
  </w:style>
  <w:style w:type="paragraph" w:customStyle="1" w:styleId="1-01PublisherName">
    <w:name w:val="1-01_Publisher_Name"/>
    <w:basedOn w:val="BaseText"/>
    <w:rsid w:val="00F506C0"/>
    <w:pPr>
      <w:spacing w:before="2000"/>
      <w:jc w:val="center"/>
    </w:pPr>
  </w:style>
  <w:style w:type="paragraph" w:customStyle="1" w:styleId="1-13ContribAffiliation">
    <w:name w:val="1-13_Contrib_Affiliation"/>
    <w:basedOn w:val="BaseText"/>
    <w:rsid w:val="00F506C0"/>
    <w:pPr>
      <w:spacing w:before="240"/>
    </w:pPr>
    <w:rPr>
      <w:b/>
    </w:rPr>
  </w:style>
  <w:style w:type="paragraph" w:customStyle="1" w:styleId="1-10ContribHead">
    <w:name w:val="1-10_Contrib_Head"/>
    <w:basedOn w:val="BaseText"/>
    <w:rsid w:val="00F506C0"/>
    <w:pPr>
      <w:spacing w:before="240" w:after="240"/>
      <w:jc w:val="center"/>
    </w:pPr>
    <w:rPr>
      <w:b/>
      <w:sz w:val="28"/>
    </w:rPr>
  </w:style>
  <w:style w:type="paragraph" w:customStyle="1" w:styleId="4-03GlossaryEntry">
    <w:name w:val="4-03_Glossary_Entry"/>
    <w:basedOn w:val="BaseText"/>
    <w:rsid w:val="00F506C0"/>
    <w:pPr>
      <w:spacing w:after="180"/>
    </w:pPr>
    <w:rPr>
      <w:rFonts w:eastAsia="SimSun"/>
      <w:lang w:eastAsia="zh-CN"/>
    </w:rPr>
  </w:style>
  <w:style w:type="paragraph" w:customStyle="1" w:styleId="4-01GlossaryHead">
    <w:name w:val="4-01_Glossary_Head"/>
    <w:basedOn w:val="BaseHeading"/>
    <w:rsid w:val="00E47A50"/>
    <w:pPr>
      <w:spacing w:after="240"/>
      <w:jc w:val="center"/>
    </w:pPr>
    <w:rPr>
      <w:rFonts w:eastAsia="SimSun"/>
      <w:b/>
      <w:lang w:eastAsia="zh-CN"/>
    </w:rPr>
  </w:style>
  <w:style w:type="paragraph" w:customStyle="1" w:styleId="4-02GlossarySection">
    <w:name w:val="4-02_Glossary_Section"/>
    <w:basedOn w:val="BaseText"/>
    <w:rsid w:val="00F506C0"/>
    <w:pPr>
      <w:spacing w:after="180"/>
    </w:pPr>
    <w:rPr>
      <w:rFonts w:eastAsia="SimSun"/>
      <w:b/>
      <w:lang w:eastAsia="zh-CN"/>
    </w:rPr>
  </w:style>
  <w:style w:type="character" w:customStyle="1" w:styleId="afcity">
    <w:name w:val="af_city"/>
    <w:rsid w:val="00F506C0"/>
    <w:rPr>
      <w:bdr w:val="none" w:sz="0" w:space="0" w:color="auto"/>
      <w:shd w:val="clear" w:color="auto" w:fill="81E7FF"/>
    </w:rPr>
  </w:style>
  <w:style w:type="character" w:customStyle="1" w:styleId="afpostcode">
    <w:name w:val="af_postcode"/>
    <w:rsid w:val="00F506C0"/>
    <w:rPr>
      <w:bdr w:val="none" w:sz="0" w:space="0" w:color="auto"/>
      <w:shd w:val="clear" w:color="auto" w:fill="FF75FF"/>
    </w:rPr>
  </w:style>
  <w:style w:type="character" w:customStyle="1" w:styleId="afstate">
    <w:name w:val="af_state"/>
    <w:rsid w:val="00F506C0"/>
    <w:rPr>
      <w:bdr w:val="none" w:sz="0" w:space="0" w:color="auto"/>
      <w:shd w:val="clear" w:color="auto" w:fill="75FF75"/>
    </w:rPr>
  </w:style>
  <w:style w:type="character" w:customStyle="1" w:styleId="aumember">
    <w:name w:val="au_member"/>
    <w:rsid w:val="00F506C0"/>
    <w:rPr>
      <w:bdr w:val="none" w:sz="0" w:space="0" w:color="auto"/>
      <w:shd w:val="clear" w:color="auto" w:fill="FF99CC"/>
    </w:rPr>
  </w:style>
  <w:style w:type="character" w:customStyle="1" w:styleId="bibaccess-date">
    <w:name w:val="bib_access-date"/>
    <w:rsid w:val="00F506C0"/>
    <w:rPr>
      <w:bdr w:val="none" w:sz="0" w:space="0" w:color="auto"/>
      <w:shd w:val="clear" w:color="auto" w:fill="C099F9"/>
    </w:rPr>
  </w:style>
  <w:style w:type="character" w:customStyle="1" w:styleId="bibalt-year">
    <w:name w:val="bib_alt-year"/>
    <w:rsid w:val="00F506C0"/>
    <w:rPr>
      <w:szCs w:val="24"/>
      <w:bdr w:val="none" w:sz="0" w:space="0" w:color="auto"/>
      <w:shd w:val="clear" w:color="auto" w:fill="CC99FF"/>
    </w:rPr>
  </w:style>
  <w:style w:type="character" w:customStyle="1" w:styleId="bibbook">
    <w:name w:val="bib_book"/>
    <w:rsid w:val="00F506C0"/>
    <w:rPr>
      <w:bdr w:val="none" w:sz="0" w:space="0" w:color="auto"/>
      <w:shd w:val="clear" w:color="auto" w:fill="99CCFF"/>
    </w:rPr>
  </w:style>
  <w:style w:type="character" w:customStyle="1" w:styleId="bibchapterno">
    <w:name w:val="bib_chapterno"/>
    <w:rsid w:val="00F506C0"/>
    <w:rPr>
      <w:bdr w:val="none" w:sz="0" w:space="0" w:color="auto"/>
      <w:shd w:val="clear" w:color="auto" w:fill="D9D9D9"/>
    </w:rPr>
  </w:style>
  <w:style w:type="character" w:customStyle="1" w:styleId="bibchaptertitle">
    <w:name w:val="bib_chaptertitle"/>
    <w:rsid w:val="00F506C0"/>
    <w:rPr>
      <w:bdr w:val="none" w:sz="0" w:space="0" w:color="auto"/>
      <w:shd w:val="clear" w:color="auto" w:fill="FF9D5B"/>
    </w:rPr>
  </w:style>
  <w:style w:type="character" w:customStyle="1" w:styleId="bibconfacronym">
    <w:name w:val="bib_confacronym"/>
    <w:rsid w:val="00F506C0"/>
    <w:rPr>
      <w:bdr w:val="none" w:sz="0" w:space="0" w:color="auto"/>
      <w:shd w:val="clear" w:color="auto" w:fill="FD77F3"/>
    </w:rPr>
  </w:style>
  <w:style w:type="character" w:customStyle="1" w:styleId="bibconfdate">
    <w:name w:val="bib_confdate"/>
    <w:rsid w:val="00F506C0"/>
    <w:rPr>
      <w:bdr w:val="none" w:sz="0" w:space="0" w:color="auto"/>
      <w:shd w:val="clear" w:color="auto" w:fill="3CE0C1"/>
    </w:rPr>
  </w:style>
  <w:style w:type="character" w:customStyle="1" w:styleId="bibconference">
    <w:name w:val="bib_conference"/>
    <w:rsid w:val="00F506C0"/>
    <w:rPr>
      <w:bdr w:val="none" w:sz="0" w:space="0" w:color="auto"/>
      <w:shd w:val="clear" w:color="auto" w:fill="9CB3FE"/>
    </w:rPr>
  </w:style>
  <w:style w:type="character" w:customStyle="1" w:styleId="bibconflocation">
    <w:name w:val="bib_conflocation"/>
    <w:rsid w:val="00F506C0"/>
    <w:rPr>
      <w:bdr w:val="none" w:sz="0" w:space="0" w:color="auto"/>
      <w:shd w:val="clear" w:color="auto" w:fill="EC493C"/>
    </w:rPr>
  </w:style>
  <w:style w:type="character" w:customStyle="1" w:styleId="bibconfpaper">
    <w:name w:val="bib_confpaper"/>
    <w:rsid w:val="00F506C0"/>
    <w:rPr>
      <w:bdr w:val="none" w:sz="0" w:space="0" w:color="auto"/>
      <w:shd w:val="clear" w:color="auto" w:fill="61FF65"/>
    </w:rPr>
  </w:style>
  <w:style w:type="character" w:customStyle="1" w:styleId="bibconfproceedings">
    <w:name w:val="bib_confproceedings"/>
    <w:rsid w:val="00F506C0"/>
    <w:rPr>
      <w:bdr w:val="none" w:sz="0" w:space="0" w:color="auto"/>
      <w:shd w:val="clear" w:color="auto" w:fill="FDBA35"/>
    </w:rPr>
  </w:style>
  <w:style w:type="character" w:customStyle="1" w:styleId="bibday">
    <w:name w:val="bib_day"/>
    <w:rsid w:val="00F506C0"/>
    <w:rPr>
      <w:bdr w:val="none" w:sz="0" w:space="0" w:color="auto"/>
      <w:shd w:val="clear" w:color="auto" w:fill="FFFF66"/>
    </w:rPr>
  </w:style>
  <w:style w:type="character" w:customStyle="1" w:styleId="bibed-etal">
    <w:name w:val="bib_ed-etal"/>
    <w:rsid w:val="00F506C0"/>
    <w:rPr>
      <w:bdr w:val="none" w:sz="0" w:space="0" w:color="auto"/>
      <w:shd w:val="clear" w:color="auto" w:fill="00F4EE"/>
    </w:rPr>
  </w:style>
  <w:style w:type="character" w:customStyle="1" w:styleId="bibed-fname">
    <w:name w:val="bib_ed-fname"/>
    <w:rsid w:val="00F506C0"/>
    <w:rPr>
      <w:bdr w:val="none" w:sz="0" w:space="0" w:color="auto"/>
      <w:shd w:val="clear" w:color="auto" w:fill="FFFFB7"/>
    </w:rPr>
  </w:style>
  <w:style w:type="character" w:customStyle="1" w:styleId="bibeditionno">
    <w:name w:val="bib_editionno"/>
    <w:rsid w:val="00F506C0"/>
    <w:rPr>
      <w:bdr w:val="none" w:sz="0" w:space="0" w:color="auto"/>
      <w:shd w:val="clear" w:color="auto" w:fill="FFCC00"/>
    </w:rPr>
  </w:style>
  <w:style w:type="character" w:customStyle="1" w:styleId="bibed-organization">
    <w:name w:val="bib_ed-organization"/>
    <w:rsid w:val="00F506C0"/>
    <w:rPr>
      <w:bdr w:val="none" w:sz="0" w:space="0" w:color="auto"/>
      <w:shd w:val="clear" w:color="auto" w:fill="FCAAC3"/>
    </w:rPr>
  </w:style>
  <w:style w:type="character" w:customStyle="1" w:styleId="bibed-suffix">
    <w:name w:val="bib_ed-suffix"/>
    <w:rsid w:val="00F506C0"/>
    <w:rPr>
      <w:bdr w:val="none" w:sz="0" w:space="0" w:color="auto"/>
      <w:shd w:val="clear" w:color="auto" w:fill="CCFFCC"/>
    </w:rPr>
  </w:style>
  <w:style w:type="character" w:customStyle="1" w:styleId="bibed-surname">
    <w:name w:val="bib_ed-surname"/>
    <w:rsid w:val="00F506C0"/>
    <w:rPr>
      <w:bdr w:val="none" w:sz="0" w:space="0" w:color="auto"/>
      <w:shd w:val="clear" w:color="auto" w:fill="FFFF00"/>
    </w:rPr>
  </w:style>
  <w:style w:type="character" w:customStyle="1" w:styleId="bibinstitution">
    <w:name w:val="bib_institution"/>
    <w:rsid w:val="00F506C0"/>
    <w:rPr>
      <w:bdr w:val="none" w:sz="0" w:space="0" w:color="auto"/>
      <w:shd w:val="clear" w:color="auto" w:fill="CCFFCC"/>
    </w:rPr>
  </w:style>
  <w:style w:type="character" w:customStyle="1" w:styleId="bibisbn">
    <w:name w:val="bib_isbn"/>
    <w:rsid w:val="00F506C0"/>
    <w:rPr>
      <w:shd w:val="clear" w:color="auto" w:fill="D9D9D9"/>
    </w:rPr>
  </w:style>
  <w:style w:type="character" w:customStyle="1" w:styleId="biblocation">
    <w:name w:val="bib_location"/>
    <w:rsid w:val="00F506C0"/>
    <w:rPr>
      <w:bdr w:val="none" w:sz="0" w:space="0" w:color="auto"/>
      <w:shd w:val="clear" w:color="auto" w:fill="FFCCCC"/>
    </w:rPr>
  </w:style>
  <w:style w:type="character" w:customStyle="1" w:styleId="bibmonth">
    <w:name w:val="bib_month"/>
    <w:rsid w:val="00F506C0"/>
    <w:rPr>
      <w:szCs w:val="24"/>
      <w:bdr w:val="none" w:sz="0" w:space="0" w:color="auto"/>
      <w:shd w:val="clear" w:color="auto" w:fill="CCFF33"/>
    </w:rPr>
  </w:style>
  <w:style w:type="character" w:customStyle="1" w:styleId="bibpagecount">
    <w:name w:val="bib_pagecount"/>
    <w:rsid w:val="00F506C0"/>
    <w:rPr>
      <w:bdr w:val="none" w:sz="0" w:space="0" w:color="auto"/>
      <w:shd w:val="clear" w:color="auto" w:fill="00FF00"/>
    </w:rPr>
  </w:style>
  <w:style w:type="character" w:customStyle="1" w:styleId="bibpapernumber">
    <w:name w:val="bib_papernumber"/>
    <w:rsid w:val="00F506C0"/>
    <w:rPr>
      <w:bdr w:val="none" w:sz="0" w:space="0" w:color="auto"/>
      <w:shd w:val="clear" w:color="auto" w:fill="FFFF66"/>
    </w:rPr>
  </w:style>
  <w:style w:type="character" w:customStyle="1" w:styleId="bibpatent">
    <w:name w:val="bib_patent"/>
    <w:rsid w:val="00F506C0"/>
    <w:rPr>
      <w:bdr w:val="none" w:sz="0" w:space="0" w:color="auto"/>
      <w:shd w:val="clear" w:color="auto" w:fill="66FFCC"/>
    </w:rPr>
  </w:style>
  <w:style w:type="character" w:customStyle="1" w:styleId="bibpublisher">
    <w:name w:val="bib_publisher"/>
    <w:rsid w:val="00F506C0"/>
    <w:rPr>
      <w:bdr w:val="none" w:sz="0" w:space="0" w:color="auto"/>
      <w:shd w:val="clear" w:color="auto" w:fill="FF99CC"/>
    </w:rPr>
  </w:style>
  <w:style w:type="character" w:customStyle="1" w:styleId="bibreportnum">
    <w:name w:val="bib_reportnum"/>
    <w:rsid w:val="00F506C0"/>
    <w:rPr>
      <w:bdr w:val="none" w:sz="0" w:space="0" w:color="auto"/>
      <w:shd w:val="clear" w:color="auto" w:fill="CCCCFF"/>
    </w:rPr>
  </w:style>
  <w:style w:type="character" w:customStyle="1" w:styleId="bibschool">
    <w:name w:val="bib_school"/>
    <w:rsid w:val="00F506C0"/>
    <w:rPr>
      <w:bdr w:val="none" w:sz="0" w:space="0" w:color="auto"/>
      <w:shd w:val="clear" w:color="auto" w:fill="FFCC66"/>
    </w:rPr>
  </w:style>
  <w:style w:type="character" w:customStyle="1" w:styleId="bibseries">
    <w:name w:val="bib_series"/>
    <w:rsid w:val="00F506C0"/>
    <w:rPr>
      <w:shd w:val="clear" w:color="auto" w:fill="FFCC99"/>
    </w:rPr>
  </w:style>
  <w:style w:type="character" w:customStyle="1" w:styleId="bibseriesno">
    <w:name w:val="bib_seriesno"/>
    <w:rsid w:val="00F506C0"/>
    <w:rPr>
      <w:shd w:val="clear" w:color="auto" w:fill="FFFF99"/>
    </w:rPr>
  </w:style>
  <w:style w:type="character" w:customStyle="1" w:styleId="bibtitle">
    <w:name w:val="bib_title"/>
    <w:rsid w:val="00F506C0"/>
    <w:rPr>
      <w:effect w:val="none"/>
      <w:bdr w:val="none" w:sz="0" w:space="0" w:color="auto"/>
      <w:shd w:val="clear" w:color="auto" w:fill="FF9966"/>
    </w:rPr>
  </w:style>
  <w:style w:type="character" w:customStyle="1" w:styleId="bibtrans">
    <w:name w:val="bib_trans"/>
    <w:rsid w:val="00F506C0"/>
    <w:rPr>
      <w:shd w:val="clear" w:color="auto" w:fill="99CC00"/>
    </w:rPr>
  </w:style>
  <w:style w:type="character" w:customStyle="1" w:styleId="bibvolcount">
    <w:name w:val="bib_volcount"/>
    <w:rsid w:val="00F506C0"/>
    <w:rPr>
      <w:bdr w:val="none" w:sz="0" w:space="0" w:color="auto"/>
      <w:shd w:val="clear" w:color="auto" w:fill="00FF00"/>
    </w:rPr>
  </w:style>
  <w:style w:type="character" w:customStyle="1" w:styleId="citesection">
    <w:name w:val="cite_section"/>
    <w:rsid w:val="00F506C0"/>
    <w:rPr>
      <w:bdr w:val="none" w:sz="0" w:space="0" w:color="auto"/>
      <w:shd w:val="clear" w:color="auto" w:fill="FF7C80"/>
    </w:rPr>
  </w:style>
  <w:style w:type="paragraph" w:customStyle="1" w:styleId="1-11Contributor">
    <w:name w:val="1-11_Contributor"/>
    <w:basedOn w:val="BaseText"/>
    <w:rsid w:val="00F506C0"/>
  </w:style>
  <w:style w:type="paragraph" w:customStyle="1" w:styleId="1-12ContributorContributions">
    <w:name w:val="1-12_Contributor_Contributions"/>
    <w:basedOn w:val="BaseText"/>
    <w:rsid w:val="00F506C0"/>
    <w:rPr>
      <w:i/>
    </w:rPr>
  </w:style>
  <w:style w:type="paragraph" w:customStyle="1" w:styleId="DefinitionList">
    <w:name w:val="Definition_List"/>
    <w:basedOn w:val="BaseText"/>
    <w:rsid w:val="00A96D46"/>
    <w:pPr>
      <w:ind w:left="720"/>
    </w:pPr>
  </w:style>
  <w:style w:type="paragraph" w:customStyle="1" w:styleId="0-26TableTitleContinued">
    <w:name w:val="0-26_Table_Title_Continued"/>
    <w:basedOn w:val="BaseText"/>
    <w:rsid w:val="00F506C0"/>
    <w:pPr>
      <w:keepNext/>
    </w:pPr>
    <w:rPr>
      <w:b/>
      <w:sz w:val="22"/>
    </w:rPr>
  </w:style>
  <w:style w:type="paragraph" w:customStyle="1" w:styleId="0-01AbbreviationsTitle">
    <w:name w:val="0-01_Abbreviations_Title"/>
    <w:basedOn w:val="BaseHeading"/>
    <w:rsid w:val="00E47A50"/>
    <w:pPr>
      <w:spacing w:after="240"/>
      <w:jc w:val="center"/>
    </w:pPr>
    <w:rPr>
      <w:b/>
    </w:rPr>
  </w:style>
  <w:style w:type="paragraph" w:customStyle="1" w:styleId="4-15BibliographyHead">
    <w:name w:val="4-15_Bibliography_Head"/>
    <w:basedOn w:val="4-12ReferenceHead"/>
    <w:rsid w:val="00F506C0"/>
    <w:pPr>
      <w:autoSpaceDE w:val="0"/>
      <w:autoSpaceDN w:val="0"/>
      <w:adjustRightInd w:val="0"/>
    </w:pPr>
  </w:style>
  <w:style w:type="paragraph" w:customStyle="1" w:styleId="4-18Endnote">
    <w:name w:val="4-18_Endnote"/>
    <w:basedOn w:val="BaseText"/>
    <w:rsid w:val="00F506C0"/>
    <w:rPr>
      <w:sz w:val="20"/>
    </w:rPr>
  </w:style>
  <w:style w:type="paragraph" w:customStyle="1" w:styleId="1-22ForewordText">
    <w:name w:val="1-22_Foreword_Text"/>
    <w:basedOn w:val="BaseText"/>
    <w:rsid w:val="00F506C0"/>
    <w:pPr>
      <w:spacing w:after="120"/>
    </w:pPr>
  </w:style>
  <w:style w:type="paragraph" w:customStyle="1" w:styleId="1-21ForewordTitle">
    <w:name w:val="1-21_Foreword_Title"/>
    <w:basedOn w:val="BaseHeading"/>
    <w:rsid w:val="00F506C0"/>
    <w:pPr>
      <w:spacing w:after="240"/>
      <w:jc w:val="center"/>
    </w:pPr>
    <w:rPr>
      <w:b/>
    </w:rPr>
  </w:style>
  <w:style w:type="paragraph" w:customStyle="1" w:styleId="3-01MonographTitle">
    <w:name w:val="3-01_Monograph_Title"/>
    <w:basedOn w:val="BaseHeading"/>
    <w:rsid w:val="00F506C0"/>
    <w:rPr>
      <w:b/>
      <w:sz w:val="40"/>
    </w:rPr>
  </w:style>
  <w:style w:type="paragraph" w:customStyle="1" w:styleId="3-14PartNumber">
    <w:name w:val="3-14_Part_Number"/>
    <w:basedOn w:val="BaseHeading"/>
    <w:rsid w:val="00F506C0"/>
    <w:rPr>
      <w:b/>
      <w:sz w:val="40"/>
    </w:rPr>
  </w:style>
  <w:style w:type="paragraph" w:customStyle="1" w:styleId="1-16AbstractHead2">
    <w:name w:val="1-16_Abstract_Head2"/>
    <w:basedOn w:val="BaseHeading"/>
    <w:rsid w:val="00F506C0"/>
    <w:pPr>
      <w:outlineLvl w:val="1"/>
    </w:pPr>
    <w:rPr>
      <w:b/>
    </w:rPr>
  </w:style>
  <w:style w:type="paragraph" w:customStyle="1" w:styleId="1-17AbstractHead3">
    <w:name w:val="1-17_Abstract_Head3"/>
    <w:basedOn w:val="BaseHeading"/>
    <w:rsid w:val="00F506C0"/>
    <w:pPr>
      <w:outlineLvl w:val="2"/>
    </w:pPr>
    <w:rPr>
      <w:b/>
      <w:sz w:val="24"/>
    </w:rPr>
  </w:style>
  <w:style w:type="paragraph" w:customStyle="1" w:styleId="1-18AbstractHead4">
    <w:name w:val="1-18_Abstract_Head4"/>
    <w:basedOn w:val="BaseHeading"/>
    <w:rsid w:val="00F506C0"/>
    <w:pPr>
      <w:outlineLvl w:val="3"/>
    </w:pPr>
    <w:rPr>
      <w:b/>
      <w:sz w:val="22"/>
    </w:rPr>
  </w:style>
  <w:style w:type="paragraph" w:customStyle="1" w:styleId="1-23FrontMatterHead1">
    <w:name w:val="1-23_FrontMatter_Head1"/>
    <w:basedOn w:val="BaseHeading"/>
    <w:rsid w:val="00F506C0"/>
    <w:pPr>
      <w:spacing w:after="240"/>
      <w:jc w:val="center"/>
    </w:pPr>
    <w:rPr>
      <w:b/>
      <w:sz w:val="32"/>
    </w:rPr>
  </w:style>
  <w:style w:type="paragraph" w:customStyle="1" w:styleId="0-13NumList3">
    <w:name w:val="0-13_Num_List_3"/>
    <w:basedOn w:val="BaseText"/>
    <w:rsid w:val="00336E91"/>
    <w:pPr>
      <w:numPr>
        <w:ilvl w:val="2"/>
        <w:numId w:val="1"/>
      </w:numPr>
      <w:spacing w:after="80"/>
    </w:pPr>
  </w:style>
  <w:style w:type="paragraph" w:customStyle="1" w:styleId="0-31TableSource">
    <w:name w:val="0-31_Table_Source"/>
    <w:basedOn w:val="BaseText"/>
    <w:rsid w:val="00F506C0"/>
    <w:rPr>
      <w:sz w:val="18"/>
    </w:rPr>
  </w:style>
  <w:style w:type="paragraph" w:customStyle="1" w:styleId="2-07ListingText">
    <w:name w:val="2-07_Listing_Text"/>
    <w:basedOn w:val="BaseText"/>
    <w:rsid w:val="00F506C0"/>
    <w:pPr>
      <w:spacing w:after="120"/>
    </w:pPr>
  </w:style>
  <w:style w:type="paragraph" w:customStyle="1" w:styleId="1-24FrontMatterHead2">
    <w:name w:val="1-24_FrontMatter_Head2"/>
    <w:basedOn w:val="BaseHeading"/>
    <w:rsid w:val="00F506C0"/>
    <w:pPr>
      <w:outlineLvl w:val="1"/>
    </w:pPr>
    <w:rPr>
      <w:b/>
    </w:rPr>
  </w:style>
  <w:style w:type="paragraph" w:customStyle="1" w:styleId="1-25FrontMatterPara">
    <w:name w:val="1-25_FrontMatter_Para"/>
    <w:basedOn w:val="BaseText"/>
    <w:rsid w:val="00F506C0"/>
    <w:pPr>
      <w:spacing w:after="120"/>
    </w:pPr>
  </w:style>
  <w:style w:type="paragraph" w:customStyle="1" w:styleId="0-16NumList4">
    <w:name w:val="0-16_Num_List_4"/>
    <w:basedOn w:val="BaseText"/>
    <w:rsid w:val="00336E91"/>
    <w:pPr>
      <w:numPr>
        <w:ilvl w:val="3"/>
        <w:numId w:val="1"/>
      </w:numPr>
      <w:spacing w:after="80"/>
    </w:pPr>
  </w:style>
  <w:style w:type="paragraph" w:customStyle="1" w:styleId="4-07AppendixHead3">
    <w:name w:val="4-07_Appendix_Head_3"/>
    <w:basedOn w:val="BaseHeading"/>
    <w:rsid w:val="00F506C0"/>
    <w:pPr>
      <w:numPr>
        <w:ilvl w:val="3"/>
        <w:numId w:val="8"/>
      </w:numPr>
      <w:spacing w:before="180" w:after="120"/>
      <w:outlineLvl w:val="3"/>
    </w:pPr>
    <w:rPr>
      <w:b/>
      <w:i/>
      <w:sz w:val="20"/>
    </w:rPr>
  </w:style>
  <w:style w:type="paragraph" w:customStyle="1" w:styleId="0-10NumList2">
    <w:name w:val="0-10_Num_List_2"/>
    <w:basedOn w:val="BaseText"/>
    <w:rsid w:val="00336E91"/>
    <w:pPr>
      <w:numPr>
        <w:ilvl w:val="1"/>
        <w:numId w:val="1"/>
      </w:numPr>
      <w:tabs>
        <w:tab w:val="clear" w:pos="7200"/>
        <w:tab w:val="num" w:pos="720"/>
      </w:tabs>
      <w:spacing w:after="80"/>
    </w:pPr>
  </w:style>
  <w:style w:type="paragraph" w:customStyle="1" w:styleId="0-07NumList1">
    <w:name w:val="0-07_Num_List_1"/>
    <w:basedOn w:val="BaseText"/>
    <w:rsid w:val="00336E91"/>
    <w:pPr>
      <w:numPr>
        <w:numId w:val="1"/>
      </w:numPr>
      <w:spacing w:after="80"/>
    </w:pPr>
  </w:style>
  <w:style w:type="paragraph" w:customStyle="1" w:styleId="4-10AcknowledgementHead">
    <w:name w:val="4-10_Acknowledgement_Head"/>
    <w:basedOn w:val="BaseHeading"/>
    <w:rsid w:val="00E47A50"/>
    <w:pPr>
      <w:spacing w:before="240" w:after="280"/>
    </w:pPr>
    <w:rPr>
      <w:b/>
    </w:rPr>
  </w:style>
  <w:style w:type="paragraph" w:customStyle="1" w:styleId="4-08AppendixHead4">
    <w:name w:val="4-08_Appendix_Head_4"/>
    <w:basedOn w:val="BaseHeading"/>
    <w:next w:val="Normal"/>
    <w:rsid w:val="00F506C0"/>
    <w:pPr>
      <w:numPr>
        <w:ilvl w:val="4"/>
        <w:numId w:val="8"/>
      </w:numPr>
      <w:spacing w:before="180" w:after="120"/>
      <w:outlineLvl w:val="4"/>
    </w:pPr>
    <w:rPr>
      <w:i/>
      <w:sz w:val="20"/>
      <w:szCs w:val="20"/>
    </w:rPr>
  </w:style>
  <w:style w:type="paragraph" w:customStyle="1" w:styleId="0-34BlankPage">
    <w:name w:val="0-34_Blank_Page"/>
    <w:basedOn w:val="BaseText"/>
    <w:rsid w:val="00F506C0"/>
    <w:pPr>
      <w:spacing w:before="4080"/>
      <w:jc w:val="center"/>
    </w:pPr>
    <w:rPr>
      <w:b/>
    </w:rPr>
  </w:style>
  <w:style w:type="paragraph" w:customStyle="1" w:styleId="0-35Non-XMLText">
    <w:name w:val="0-35_Non-XML_Text"/>
    <w:basedOn w:val="BaseText"/>
    <w:rsid w:val="00F506C0"/>
    <w:pPr>
      <w:suppressLineNumbers/>
    </w:pPr>
  </w:style>
  <w:style w:type="paragraph" w:styleId="TOC3">
    <w:name w:val="toc 3"/>
    <w:uiPriority w:val="39"/>
    <w:rsid w:val="00F506C0"/>
    <w:pPr>
      <w:tabs>
        <w:tab w:val="right" w:leader="dot" w:pos="9360"/>
      </w:tabs>
      <w:ind w:left="1296" w:right="720" w:hanging="576"/>
    </w:pPr>
    <w:rPr>
      <w:rFonts w:eastAsia="MS Mincho"/>
      <w:noProof/>
      <w:lang w:eastAsia="ja-JP"/>
    </w:rPr>
  </w:style>
  <w:style w:type="paragraph" w:styleId="TableofFigures">
    <w:name w:val="table of figures"/>
    <w:basedOn w:val="Normal"/>
    <w:next w:val="Normal"/>
    <w:uiPriority w:val="99"/>
    <w:rsid w:val="00651FA4"/>
    <w:pPr>
      <w:tabs>
        <w:tab w:val="right" w:leader="dot" w:pos="9360"/>
      </w:tabs>
      <w:ind w:left="1166" w:hanging="1166"/>
    </w:pPr>
    <w:rPr>
      <w:noProof/>
      <w:lang w:eastAsia="ja-JP"/>
    </w:rPr>
  </w:style>
  <w:style w:type="paragraph" w:customStyle="1" w:styleId="1-05aReport-Number">
    <w:name w:val="1-05a_Report-Number"/>
    <w:basedOn w:val="BaseText"/>
    <w:rsid w:val="00F506C0"/>
    <w:pPr>
      <w:spacing w:after="120"/>
      <w:jc w:val="center"/>
    </w:pPr>
  </w:style>
  <w:style w:type="paragraph" w:customStyle="1" w:styleId="1-05bDOI">
    <w:name w:val="1-05b_DOI"/>
    <w:basedOn w:val="BaseText"/>
    <w:rsid w:val="00F506C0"/>
    <w:pPr>
      <w:spacing w:after="120"/>
      <w:jc w:val="center"/>
    </w:pPr>
  </w:style>
  <w:style w:type="paragraph" w:customStyle="1" w:styleId="1-05cISSN">
    <w:name w:val="1-05c_ISSN"/>
    <w:basedOn w:val="BaseText"/>
    <w:rsid w:val="00F506C0"/>
    <w:pPr>
      <w:spacing w:after="120"/>
      <w:jc w:val="center"/>
    </w:pPr>
  </w:style>
  <w:style w:type="paragraph" w:customStyle="1" w:styleId="1-05dNIH-Number">
    <w:name w:val="1-05d_NIH-Number"/>
    <w:basedOn w:val="BaseText"/>
    <w:rsid w:val="00F506C0"/>
    <w:pPr>
      <w:spacing w:after="120"/>
      <w:jc w:val="center"/>
    </w:pPr>
  </w:style>
  <w:style w:type="paragraph" w:customStyle="1" w:styleId="3-13aFigNote">
    <w:name w:val="3-13a_Fig_Note"/>
    <w:basedOn w:val="BaseText"/>
    <w:rsid w:val="00F506C0"/>
    <w:rPr>
      <w:sz w:val="18"/>
    </w:rPr>
  </w:style>
  <w:style w:type="paragraph" w:customStyle="1" w:styleId="1-10aAuthorHead">
    <w:name w:val="1-10a_Author_Head"/>
    <w:basedOn w:val="1-10ContribHead"/>
    <w:rsid w:val="00F506C0"/>
  </w:style>
  <w:style w:type="paragraph" w:customStyle="1" w:styleId="1-10bAuthor">
    <w:name w:val="1-10b_Author"/>
    <w:basedOn w:val="1-11Contributor"/>
    <w:rsid w:val="00F506C0"/>
  </w:style>
  <w:style w:type="paragraph" w:customStyle="1" w:styleId="1-10cAuthorAffiliation">
    <w:name w:val="1-10c_Author_Affiliation"/>
    <w:basedOn w:val="1-13ContribAffiliation"/>
    <w:rsid w:val="00F506C0"/>
  </w:style>
  <w:style w:type="paragraph" w:customStyle="1" w:styleId="1-14aPeer-Reviewer-Head">
    <w:name w:val="1-14a_Peer-Reviewer-Head"/>
    <w:basedOn w:val="1-10ContribHead"/>
    <w:rsid w:val="00F506C0"/>
    <w:pPr>
      <w:spacing w:before="0"/>
    </w:pPr>
  </w:style>
  <w:style w:type="paragraph" w:customStyle="1" w:styleId="1-14bPeer-Reviewer">
    <w:name w:val="1-14b_Peer-Reviewer"/>
    <w:basedOn w:val="1-11Contributor"/>
    <w:rsid w:val="00F506C0"/>
    <w:pPr>
      <w:spacing w:before="120"/>
    </w:pPr>
    <w:rPr>
      <w:b/>
    </w:rPr>
  </w:style>
  <w:style w:type="paragraph" w:customStyle="1" w:styleId="1-14cPeer-ReviewerAff">
    <w:name w:val="1-14c_Peer-Reviewer_Aff"/>
    <w:basedOn w:val="BaseText"/>
    <w:rsid w:val="00F506C0"/>
  </w:style>
  <w:style w:type="paragraph" w:customStyle="1" w:styleId="0-29aTableBodyItalic">
    <w:name w:val="0-29a_Table_Body_Italic"/>
    <w:basedOn w:val="BaseText"/>
    <w:rsid w:val="000F2A24"/>
    <w:rPr>
      <w:i/>
      <w:sz w:val="20"/>
    </w:rPr>
  </w:style>
  <w:style w:type="paragraph" w:customStyle="1" w:styleId="0-29bTableBodyBold">
    <w:name w:val="0-29b_Table_Body_Bold"/>
    <w:basedOn w:val="BaseText"/>
    <w:rsid w:val="000F2A24"/>
    <w:rPr>
      <w:b/>
      <w:sz w:val="20"/>
    </w:rPr>
  </w:style>
  <w:style w:type="paragraph" w:customStyle="1" w:styleId="0-03aParagraphItalic">
    <w:name w:val="0-03a_Paragraph_Italic"/>
    <w:basedOn w:val="BaseText"/>
    <w:rsid w:val="00F506C0"/>
    <w:pPr>
      <w:spacing w:after="180"/>
    </w:pPr>
    <w:rPr>
      <w:i/>
    </w:rPr>
  </w:style>
  <w:style w:type="paragraph" w:customStyle="1" w:styleId="0-03bParagraphBold">
    <w:name w:val="0-03b_Paragraph_Bold"/>
    <w:basedOn w:val="BaseText"/>
    <w:rsid w:val="00F506C0"/>
    <w:pPr>
      <w:spacing w:after="180"/>
    </w:pPr>
    <w:rPr>
      <w:b/>
    </w:rPr>
  </w:style>
  <w:style w:type="paragraph" w:customStyle="1" w:styleId="0-03cParagraphBoldItalic">
    <w:name w:val="0-03c_Paragraph_Bold_Italic"/>
    <w:basedOn w:val="BaseText"/>
    <w:rsid w:val="00F506C0"/>
    <w:pPr>
      <w:spacing w:after="180"/>
    </w:pPr>
    <w:rPr>
      <w:b/>
      <w:i/>
    </w:rPr>
  </w:style>
  <w:style w:type="paragraph" w:customStyle="1" w:styleId="0-30aTableFootnoteSpaceAfter">
    <w:name w:val="0-30a_Table_Footnote_Space_After"/>
    <w:basedOn w:val="BaseText"/>
    <w:rsid w:val="00F506C0"/>
    <w:pPr>
      <w:spacing w:after="180"/>
    </w:pPr>
    <w:rPr>
      <w:sz w:val="18"/>
    </w:rPr>
  </w:style>
  <w:style w:type="paragraph" w:customStyle="1" w:styleId="1-14dCollaboratorHead">
    <w:name w:val="1-14d_Collaborator_Head"/>
    <w:basedOn w:val="1-10ContribHead"/>
    <w:next w:val="1-14eCollaborator"/>
    <w:rsid w:val="00F506C0"/>
  </w:style>
  <w:style w:type="paragraph" w:customStyle="1" w:styleId="1-14eCollaborator">
    <w:name w:val="1-14e_Collaborator"/>
    <w:basedOn w:val="1-10bAuthor"/>
    <w:rsid w:val="00F506C0"/>
  </w:style>
  <w:style w:type="paragraph" w:customStyle="1" w:styleId="1-14fCollaboratorAff">
    <w:name w:val="1-14f_Collaborator_Aff"/>
    <w:basedOn w:val="1-10cAuthorAffiliation"/>
    <w:rsid w:val="00F506C0"/>
  </w:style>
  <w:style w:type="paragraph" w:customStyle="1" w:styleId="1-14hPeerReviewDescHead">
    <w:name w:val="1-14h_Peer_Review_Desc_Head"/>
    <w:basedOn w:val="BaseHeading"/>
    <w:next w:val="1-14iPeerReviewDescText"/>
    <w:rsid w:val="00F506C0"/>
    <w:pPr>
      <w:pageBreakBefore/>
      <w:spacing w:after="240"/>
      <w:jc w:val="center"/>
    </w:pPr>
    <w:rPr>
      <w:b/>
      <w:sz w:val="32"/>
    </w:rPr>
  </w:style>
  <w:style w:type="paragraph" w:customStyle="1" w:styleId="1-14iPeerReviewDescText">
    <w:name w:val="1-14i_Peer_Review_Desc_Text"/>
    <w:basedOn w:val="BaseText"/>
    <w:rsid w:val="00F506C0"/>
    <w:pPr>
      <w:spacing w:after="180"/>
    </w:pPr>
  </w:style>
  <w:style w:type="paragraph" w:customStyle="1" w:styleId="4-11aConflictHead">
    <w:name w:val="4-11a_Conflict_Head"/>
    <w:basedOn w:val="Normal"/>
    <w:next w:val="4-11bConflict"/>
    <w:rsid w:val="00F506C0"/>
    <w:pPr>
      <w:spacing w:before="240" w:after="280"/>
      <w:outlineLvl w:val="0"/>
    </w:pPr>
    <w:rPr>
      <w:rFonts w:ascii="Arial" w:hAnsi="Arial"/>
      <w:b/>
      <w:sz w:val="28"/>
    </w:rPr>
  </w:style>
  <w:style w:type="paragraph" w:customStyle="1" w:styleId="4-11bConflict">
    <w:name w:val="4-11b_Conflict"/>
    <w:basedOn w:val="4-11Acknowledgement"/>
    <w:rsid w:val="00F506C0"/>
  </w:style>
  <w:style w:type="paragraph" w:customStyle="1" w:styleId="1-23aAboutThisReportHead">
    <w:name w:val="1-23a_About_This_Report_Head"/>
    <w:basedOn w:val="BaseHeading"/>
    <w:rsid w:val="00F506C0"/>
    <w:pPr>
      <w:spacing w:after="240"/>
      <w:jc w:val="center"/>
    </w:pPr>
    <w:rPr>
      <w:b/>
      <w:sz w:val="32"/>
    </w:rPr>
  </w:style>
  <w:style w:type="paragraph" w:customStyle="1" w:styleId="1-14gCollaboratorContributions">
    <w:name w:val="1-14g_Collaborator_Contributions"/>
    <w:basedOn w:val="1-12ContributorContributions"/>
    <w:rsid w:val="00F506C0"/>
  </w:style>
  <w:style w:type="paragraph" w:customStyle="1" w:styleId="4-04aAppendixAuthor">
    <w:name w:val="4-04a_Appendix_Author"/>
    <w:basedOn w:val="1-10bAuthor"/>
    <w:next w:val="1-10cAuthorAffiliation"/>
    <w:rsid w:val="00F506C0"/>
  </w:style>
  <w:style w:type="paragraph" w:customStyle="1" w:styleId="4-04bAppendixAuthorAffiliation">
    <w:name w:val="4-04b_Appendix_Author_Affiliation"/>
    <w:basedOn w:val="1-10cAuthorAffiliation"/>
    <w:rsid w:val="00F506C0"/>
    <w:rPr>
      <w:b w:val="0"/>
    </w:rPr>
  </w:style>
  <w:style w:type="character" w:styleId="CommentReference">
    <w:name w:val="annotation reference"/>
    <w:unhideWhenUsed/>
    <w:rsid w:val="00F506C0"/>
    <w:rPr>
      <w:sz w:val="16"/>
    </w:rPr>
  </w:style>
  <w:style w:type="paragraph" w:styleId="CommentText">
    <w:name w:val="annotation text"/>
    <w:basedOn w:val="Normal"/>
    <w:link w:val="CommentTextChar"/>
    <w:unhideWhenUsed/>
    <w:rsid w:val="00F506C0"/>
    <w:rPr>
      <w:rFonts w:eastAsia="SimSun"/>
      <w:sz w:val="20"/>
      <w:szCs w:val="20"/>
    </w:rPr>
  </w:style>
  <w:style w:type="character" w:customStyle="1" w:styleId="CommentTextChar">
    <w:name w:val="Comment Text Char"/>
    <w:basedOn w:val="DefaultParagraphFont"/>
    <w:link w:val="CommentText"/>
    <w:rsid w:val="00F506C0"/>
    <w:rPr>
      <w:sz w:val="20"/>
      <w:szCs w:val="20"/>
    </w:rPr>
  </w:style>
  <w:style w:type="character" w:styleId="Hyperlink">
    <w:name w:val="Hyperlink"/>
    <w:uiPriority w:val="99"/>
    <w:unhideWhenUsed/>
    <w:rsid w:val="000F2A24"/>
    <w:rPr>
      <w:color w:val="0563C1"/>
      <w:u w:val="single"/>
    </w:rPr>
  </w:style>
  <w:style w:type="table" w:styleId="TableGrid">
    <w:name w:val="Table Grid"/>
    <w:aliases w:val="NTP"/>
    <w:basedOn w:val="TableNormal"/>
    <w:uiPriority w:val="59"/>
    <w:unhideWhenUsed/>
    <w:rsid w:val="00F506C0"/>
    <w:rPr>
      <w:rFonts w:eastAsia="Times New Roman"/>
      <w:szCs w:val="20"/>
    </w:rPr>
    <w:tblPr>
      <w:tblBorders>
        <w:top w:val="single" w:sz="4" w:space="0" w:color="auto"/>
        <w:bottom w:val="single" w:sz="4" w:space="0" w:color="auto"/>
      </w:tblBorders>
      <w:tblCellMar>
        <w:top w:w="58" w:type="dxa"/>
        <w:left w:w="58" w:type="dxa"/>
        <w:bottom w:w="58" w:type="dxa"/>
        <w:right w:w="58" w:type="dxa"/>
      </w:tblCellMar>
    </w:tblPr>
    <w:trPr>
      <w:cantSplit/>
    </w:trPr>
    <w:tblStylePr w:type="firstRow">
      <w:pPr>
        <w:jc w:val="center"/>
      </w:pPr>
      <w:rPr>
        <w:rFonts w:cs="Times New Roman"/>
        <w:b w:val="0"/>
      </w:rPr>
      <w:tblPr/>
      <w:trPr>
        <w:tblHeader/>
      </w:trPr>
      <w:tcPr>
        <w:tcBorders>
          <w:top w:val="single" w:sz="4" w:space="0" w:color="auto"/>
          <w:left w:val="nil"/>
          <w:bottom w:val="single" w:sz="4" w:space="0" w:color="auto"/>
          <w:right w:val="nil"/>
          <w:insideH w:val="nil"/>
          <w:insideV w:val="nil"/>
        </w:tcBorders>
      </w:tcPr>
    </w:tblStylePr>
  </w:style>
  <w:style w:type="table" w:styleId="TableTheme">
    <w:name w:val="Table Theme"/>
    <w:basedOn w:val="TableNormal"/>
    <w:rsid w:val="000205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Professional">
    <w:name w:val="Table Professional"/>
    <w:basedOn w:val="TableNormal"/>
    <w:rsid w:val="00020575"/>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FootnoteText">
    <w:name w:val="footnote text"/>
    <w:basedOn w:val="Normal"/>
    <w:link w:val="FootnoteTextChar"/>
    <w:uiPriority w:val="99"/>
    <w:unhideWhenUsed/>
    <w:rsid w:val="00020575"/>
    <w:rPr>
      <w:rFonts w:asciiTheme="minorHAnsi" w:eastAsiaTheme="minorHAnsi" w:hAnsiTheme="minorHAnsi" w:cstheme="minorBidi"/>
    </w:rPr>
  </w:style>
  <w:style w:type="character" w:customStyle="1" w:styleId="FootnoteTextChar">
    <w:name w:val="Footnote Text Char"/>
    <w:basedOn w:val="DefaultParagraphFont"/>
    <w:link w:val="FootnoteText"/>
    <w:uiPriority w:val="99"/>
    <w:rsid w:val="00020575"/>
    <w:rPr>
      <w:rFonts w:asciiTheme="minorHAnsi" w:eastAsiaTheme="minorHAnsi" w:hAnsiTheme="minorHAnsi" w:cstheme="minorBidi"/>
    </w:rPr>
  </w:style>
  <w:style w:type="character" w:styleId="FootnoteReference">
    <w:name w:val="footnote reference"/>
    <w:basedOn w:val="DefaultParagraphFont"/>
    <w:uiPriority w:val="99"/>
    <w:unhideWhenUsed/>
    <w:rsid w:val="00020575"/>
    <w:rPr>
      <w:vertAlign w:val="superscript"/>
    </w:rPr>
  </w:style>
  <w:style w:type="paragraph" w:styleId="BalloonText">
    <w:name w:val="Balloon Text"/>
    <w:basedOn w:val="Normal"/>
    <w:link w:val="BalloonTextChar"/>
    <w:rsid w:val="00F506C0"/>
    <w:rPr>
      <w:rFonts w:ascii="Segoe UI" w:hAnsi="Segoe UI" w:cs="Segoe UI"/>
      <w:sz w:val="18"/>
      <w:szCs w:val="18"/>
    </w:rPr>
  </w:style>
  <w:style w:type="character" w:customStyle="1" w:styleId="BalloonTextChar">
    <w:name w:val="Balloon Text Char"/>
    <w:link w:val="BalloonText"/>
    <w:rsid w:val="00F506C0"/>
    <w:rPr>
      <w:rFonts w:ascii="Segoe UI" w:eastAsia="Times New Roman" w:hAnsi="Segoe UI" w:cs="Segoe UI"/>
      <w:sz w:val="18"/>
      <w:szCs w:val="18"/>
    </w:rPr>
  </w:style>
  <w:style w:type="paragraph" w:styleId="EndnoteText">
    <w:name w:val="endnote text"/>
    <w:basedOn w:val="Normal"/>
    <w:link w:val="EndnoteTextChar"/>
    <w:rsid w:val="00020575"/>
  </w:style>
  <w:style w:type="character" w:customStyle="1" w:styleId="EndnoteTextChar">
    <w:name w:val="Endnote Text Char"/>
    <w:basedOn w:val="DefaultParagraphFont"/>
    <w:link w:val="EndnoteText"/>
    <w:rsid w:val="00020575"/>
    <w:rPr>
      <w:rFonts w:eastAsia="Times New Roman"/>
    </w:rPr>
  </w:style>
  <w:style w:type="character" w:styleId="EndnoteReference">
    <w:name w:val="endnote reference"/>
    <w:basedOn w:val="DefaultParagraphFont"/>
    <w:rsid w:val="00020575"/>
    <w:rPr>
      <w:vertAlign w:val="superscript"/>
    </w:rPr>
  </w:style>
  <w:style w:type="character" w:styleId="FollowedHyperlink">
    <w:name w:val="FollowedHyperlink"/>
    <w:basedOn w:val="DefaultParagraphFont"/>
    <w:uiPriority w:val="99"/>
    <w:rsid w:val="00020575"/>
    <w:rPr>
      <w:color w:val="954F72" w:themeColor="followedHyperlink"/>
      <w:u w:val="single"/>
    </w:rPr>
  </w:style>
  <w:style w:type="paragraph" w:styleId="NormalWeb">
    <w:name w:val="Normal (Web)"/>
    <w:basedOn w:val="Normal"/>
    <w:uiPriority w:val="99"/>
    <w:rsid w:val="00020575"/>
  </w:style>
  <w:style w:type="paragraph" w:styleId="CommentSubject">
    <w:name w:val="annotation subject"/>
    <w:basedOn w:val="CommentText"/>
    <w:next w:val="CommentText"/>
    <w:link w:val="CommentSubjectChar"/>
    <w:rsid w:val="00020575"/>
    <w:rPr>
      <w:b/>
      <w:bCs/>
    </w:rPr>
  </w:style>
  <w:style w:type="character" w:customStyle="1" w:styleId="CommentSubjectChar">
    <w:name w:val="Comment Subject Char"/>
    <w:basedOn w:val="CommentTextChar"/>
    <w:link w:val="CommentSubject"/>
    <w:rsid w:val="00020575"/>
    <w:rPr>
      <w:rFonts w:ascii="Calibri" w:eastAsia="Times New Roman" w:hAnsi="Calibri"/>
      <w:b/>
      <w:bCs/>
      <w:sz w:val="20"/>
      <w:szCs w:val="20"/>
    </w:rPr>
  </w:style>
  <w:style w:type="character" w:customStyle="1" w:styleId="apple-converted-space">
    <w:name w:val="apple-converted-space"/>
    <w:basedOn w:val="DefaultParagraphFont"/>
    <w:rsid w:val="00020575"/>
  </w:style>
  <w:style w:type="paragraph" w:styleId="Revision">
    <w:name w:val="Revision"/>
    <w:hidden/>
    <w:uiPriority w:val="99"/>
    <w:semiHidden/>
    <w:rsid w:val="00DD3B73"/>
    <w:rPr>
      <w:rFonts w:eastAsia="Times New Roman"/>
    </w:rPr>
  </w:style>
  <w:style w:type="paragraph" w:styleId="DocumentMap">
    <w:name w:val="Document Map"/>
    <w:basedOn w:val="Normal"/>
    <w:link w:val="DocumentMapChar"/>
    <w:rsid w:val="00020575"/>
  </w:style>
  <w:style w:type="character" w:customStyle="1" w:styleId="DocumentMapChar">
    <w:name w:val="Document Map Char"/>
    <w:basedOn w:val="DefaultParagraphFont"/>
    <w:link w:val="DocumentMap"/>
    <w:rsid w:val="00020575"/>
    <w:rPr>
      <w:rFonts w:eastAsia="Times New Roman"/>
    </w:rPr>
  </w:style>
  <w:style w:type="paragraph" w:styleId="Caption">
    <w:name w:val="caption"/>
    <w:basedOn w:val="Normal"/>
    <w:next w:val="Normal"/>
    <w:unhideWhenUsed/>
    <w:qFormat/>
    <w:rsid w:val="00193AF7"/>
    <w:pPr>
      <w:spacing w:after="200"/>
    </w:pPr>
    <w:rPr>
      <w:i/>
      <w:iCs/>
      <w:color w:val="44546A" w:themeColor="text2"/>
      <w:sz w:val="18"/>
      <w:szCs w:val="18"/>
    </w:rPr>
  </w:style>
  <w:style w:type="paragraph" w:styleId="Header">
    <w:name w:val="header"/>
    <w:basedOn w:val="Normal"/>
    <w:link w:val="HeaderChar"/>
    <w:rsid w:val="00F506C0"/>
    <w:pPr>
      <w:tabs>
        <w:tab w:val="center" w:pos="4680"/>
        <w:tab w:val="right" w:pos="9360"/>
      </w:tabs>
    </w:pPr>
  </w:style>
  <w:style w:type="character" w:customStyle="1" w:styleId="HeaderChar">
    <w:name w:val="Header Char"/>
    <w:link w:val="Header"/>
    <w:rsid w:val="00F506C0"/>
    <w:rPr>
      <w:rFonts w:eastAsia="Times New Roman"/>
    </w:rPr>
  </w:style>
  <w:style w:type="paragraph" w:styleId="Footer">
    <w:name w:val="footer"/>
    <w:basedOn w:val="Normal"/>
    <w:link w:val="FooterChar"/>
    <w:uiPriority w:val="99"/>
    <w:unhideWhenUsed/>
    <w:rsid w:val="00A96D46"/>
    <w:pPr>
      <w:tabs>
        <w:tab w:val="center" w:pos="4680"/>
        <w:tab w:val="right" w:pos="9360"/>
      </w:tabs>
    </w:pPr>
  </w:style>
  <w:style w:type="character" w:customStyle="1" w:styleId="FooterChar">
    <w:name w:val="Footer Char"/>
    <w:link w:val="Footer"/>
    <w:uiPriority w:val="99"/>
    <w:rsid w:val="00A96D46"/>
    <w:rPr>
      <w:rFonts w:eastAsia="Times New Roman"/>
    </w:rPr>
  </w:style>
  <w:style w:type="paragraph" w:customStyle="1" w:styleId="3-02aHead1NoNumber">
    <w:name w:val="3-02a_Head1_NoNumber"/>
    <w:basedOn w:val="BaseHeading"/>
    <w:rsid w:val="00F506C0"/>
    <w:pPr>
      <w:pageBreakBefore/>
      <w:spacing w:after="320"/>
    </w:pPr>
    <w:rPr>
      <w:b/>
      <w:sz w:val="34"/>
    </w:rPr>
  </w:style>
  <w:style w:type="paragraph" w:customStyle="1" w:styleId="3-03aHead2NoNumber">
    <w:name w:val="3-03a_Head2_NoNumber"/>
    <w:basedOn w:val="BaseHeading"/>
    <w:rsid w:val="00F506C0"/>
    <w:pPr>
      <w:spacing w:before="240" w:after="120"/>
      <w:outlineLvl w:val="1"/>
    </w:pPr>
    <w:rPr>
      <w:b/>
      <w:sz w:val="30"/>
    </w:rPr>
  </w:style>
  <w:style w:type="paragraph" w:customStyle="1" w:styleId="3-04aHead3NoNumber">
    <w:name w:val="3-04a_Head3_NoNumber"/>
    <w:basedOn w:val="BaseHeading"/>
    <w:rsid w:val="00F506C0"/>
    <w:pPr>
      <w:spacing w:before="240" w:after="120"/>
      <w:outlineLvl w:val="2"/>
    </w:pPr>
    <w:rPr>
      <w:b/>
      <w:sz w:val="26"/>
    </w:rPr>
  </w:style>
  <w:style w:type="paragraph" w:customStyle="1" w:styleId="3-05aHead4NoNumber">
    <w:name w:val="3-05a_Head4_NoNumber"/>
    <w:basedOn w:val="BaseHeading"/>
    <w:rsid w:val="00F506C0"/>
    <w:pPr>
      <w:spacing w:before="240" w:after="40"/>
      <w:outlineLvl w:val="3"/>
    </w:pPr>
    <w:rPr>
      <w:b/>
      <w:sz w:val="22"/>
    </w:rPr>
  </w:style>
  <w:style w:type="paragraph" w:customStyle="1" w:styleId="3-06aHead5NoNumber">
    <w:name w:val="3-06a_Head5_NoNumber"/>
    <w:basedOn w:val="BaseHeading"/>
    <w:rsid w:val="00F506C0"/>
    <w:pPr>
      <w:spacing w:before="240" w:after="40"/>
      <w:outlineLvl w:val="4"/>
    </w:pPr>
    <w:rPr>
      <w:b/>
      <w:i/>
      <w:sz w:val="22"/>
    </w:rPr>
  </w:style>
  <w:style w:type="paragraph" w:customStyle="1" w:styleId="3-07aHead6NoNumber">
    <w:name w:val="3-07a_Head6_NoNumber"/>
    <w:basedOn w:val="BaseHeading"/>
    <w:rsid w:val="00F506C0"/>
    <w:pPr>
      <w:spacing w:before="240" w:after="40"/>
      <w:outlineLvl w:val="5"/>
    </w:pPr>
    <w:rPr>
      <w:i/>
      <w:sz w:val="22"/>
    </w:rPr>
  </w:style>
  <w:style w:type="paragraph" w:customStyle="1" w:styleId="3-10aPreformat9">
    <w:name w:val="3-10a_Preformat_9"/>
    <w:basedOn w:val="BaseText"/>
    <w:rsid w:val="00F506C0"/>
    <w:pPr>
      <w:spacing w:after="180"/>
    </w:pPr>
    <w:rPr>
      <w:rFonts w:ascii="Consolas" w:hAnsi="Consolas"/>
      <w:sz w:val="18"/>
    </w:rPr>
  </w:style>
  <w:style w:type="character" w:customStyle="1" w:styleId="al-author-name">
    <w:name w:val="al-author-name"/>
    <w:basedOn w:val="DefaultParagraphFont"/>
    <w:rsid w:val="00075E66"/>
  </w:style>
  <w:style w:type="character" w:styleId="Emphasis">
    <w:name w:val="Emphasis"/>
    <w:basedOn w:val="DefaultParagraphFont"/>
    <w:uiPriority w:val="20"/>
    <w:qFormat/>
    <w:rsid w:val="00075E66"/>
    <w:rPr>
      <w:i/>
      <w:iCs/>
    </w:rPr>
  </w:style>
  <w:style w:type="paragraph" w:customStyle="1" w:styleId="1-100aAuthorLine">
    <w:name w:val="1-100a_Author_Line"/>
    <w:basedOn w:val="BaseText"/>
    <w:rsid w:val="00F506C0"/>
    <w:pPr>
      <w:spacing w:after="60"/>
    </w:pPr>
  </w:style>
  <w:style w:type="paragraph" w:customStyle="1" w:styleId="1-100bLinkedAffiliations">
    <w:name w:val="1-100b_Linked_Affiliations"/>
    <w:basedOn w:val="BaseText"/>
    <w:rsid w:val="00F506C0"/>
    <w:pPr>
      <w:spacing w:after="120"/>
    </w:pPr>
  </w:style>
  <w:style w:type="paragraph" w:customStyle="1" w:styleId="1-10dAuthorTeam">
    <w:name w:val="1-10d_Author_Team"/>
    <w:basedOn w:val="BaseText"/>
    <w:rsid w:val="00E47A50"/>
    <w:rPr>
      <w:i/>
    </w:rPr>
  </w:style>
  <w:style w:type="paragraph" w:customStyle="1" w:styleId="1-130aContributorsLine">
    <w:name w:val="1-130a_Contributors_Line"/>
    <w:basedOn w:val="BaseText"/>
    <w:rsid w:val="00F506C0"/>
    <w:pPr>
      <w:spacing w:after="60"/>
    </w:pPr>
  </w:style>
  <w:style w:type="paragraph" w:customStyle="1" w:styleId="1-140aCollaboratorsLine">
    <w:name w:val="1-140a_Collaborators_Line"/>
    <w:basedOn w:val="BaseText"/>
    <w:rsid w:val="00F506C0"/>
    <w:pPr>
      <w:spacing w:after="60"/>
    </w:pPr>
  </w:style>
  <w:style w:type="paragraph" w:customStyle="1" w:styleId="4-12bAppendixReferenceHead">
    <w:name w:val="4-12b_Appendix_Reference_Head"/>
    <w:basedOn w:val="4-12ReferenceHead"/>
    <w:next w:val="4-13References"/>
    <w:rsid w:val="00F506C0"/>
    <w:pPr>
      <w:autoSpaceDE w:val="0"/>
      <w:autoSpaceDN w:val="0"/>
      <w:adjustRightInd w:val="0"/>
    </w:pPr>
  </w:style>
  <w:style w:type="paragraph" w:styleId="TOC4">
    <w:name w:val="toc 4"/>
    <w:basedOn w:val="Normal"/>
    <w:next w:val="Normal"/>
    <w:uiPriority w:val="39"/>
    <w:rsid w:val="00F506C0"/>
    <w:pPr>
      <w:tabs>
        <w:tab w:val="right" w:leader="dot" w:pos="9360"/>
      </w:tabs>
      <w:ind w:left="1728" w:right="720" w:hanging="576"/>
    </w:pPr>
  </w:style>
  <w:style w:type="paragraph" w:styleId="TOC5">
    <w:name w:val="toc 5"/>
    <w:basedOn w:val="Normal"/>
    <w:next w:val="Normal"/>
    <w:uiPriority w:val="39"/>
    <w:rsid w:val="00F506C0"/>
    <w:pPr>
      <w:tabs>
        <w:tab w:val="right" w:leader="dot" w:pos="9360"/>
      </w:tabs>
      <w:ind w:left="2160" w:right="720" w:hanging="576"/>
    </w:pPr>
  </w:style>
  <w:style w:type="paragraph" w:styleId="TOC6">
    <w:name w:val="toc 6"/>
    <w:basedOn w:val="Normal"/>
    <w:next w:val="Normal"/>
    <w:uiPriority w:val="39"/>
    <w:rsid w:val="00F506C0"/>
    <w:pPr>
      <w:tabs>
        <w:tab w:val="right" w:leader="dot" w:pos="9360"/>
      </w:tabs>
      <w:ind w:left="2592" w:right="720" w:hanging="576"/>
    </w:pPr>
  </w:style>
  <w:style w:type="paragraph" w:styleId="TOC7">
    <w:name w:val="toc 7"/>
    <w:basedOn w:val="Normal"/>
    <w:next w:val="Normal"/>
    <w:uiPriority w:val="39"/>
    <w:rsid w:val="00F506C0"/>
    <w:pPr>
      <w:tabs>
        <w:tab w:val="right" w:leader="dot" w:pos="9360"/>
      </w:tabs>
      <w:ind w:left="3024" w:right="720" w:hanging="576"/>
    </w:pPr>
  </w:style>
  <w:style w:type="paragraph" w:styleId="TOC8">
    <w:name w:val="toc 8"/>
    <w:basedOn w:val="Normal"/>
    <w:next w:val="Normal"/>
    <w:uiPriority w:val="39"/>
    <w:rsid w:val="00F506C0"/>
    <w:pPr>
      <w:tabs>
        <w:tab w:val="right" w:leader="dot" w:pos="9360"/>
      </w:tabs>
      <w:ind w:left="3600" w:right="720" w:hanging="576"/>
    </w:pPr>
  </w:style>
  <w:style w:type="paragraph" w:styleId="TOC9">
    <w:name w:val="toc 9"/>
    <w:basedOn w:val="Normal"/>
    <w:next w:val="Normal"/>
    <w:uiPriority w:val="39"/>
    <w:rsid w:val="00F506C0"/>
    <w:pPr>
      <w:tabs>
        <w:tab w:val="right" w:leader="dot" w:pos="9360"/>
      </w:tabs>
      <w:ind w:left="3888" w:right="720" w:hanging="576"/>
    </w:pPr>
  </w:style>
  <w:style w:type="paragraph" w:customStyle="1" w:styleId="ContentsHeading">
    <w:name w:val="Contents Heading"/>
    <w:basedOn w:val="Normal"/>
    <w:link w:val="ContentsHeadingChar"/>
    <w:qFormat/>
    <w:rsid w:val="00AC7404"/>
    <w:pPr>
      <w:spacing w:after="240"/>
      <w:jc w:val="center"/>
    </w:pPr>
    <w:rPr>
      <w:rFonts w:ascii="Arial" w:hAnsi="Arial" w:cs="Arial"/>
      <w:b/>
      <w:sz w:val="28"/>
      <w:szCs w:val="28"/>
    </w:rPr>
  </w:style>
  <w:style w:type="character" w:customStyle="1" w:styleId="ContentsHeadingChar">
    <w:name w:val="Contents Heading Char"/>
    <w:link w:val="ContentsHeading"/>
    <w:rsid w:val="00AC7404"/>
    <w:rPr>
      <w:rFonts w:ascii="Arial" w:eastAsia="Times New Roman" w:hAnsi="Arial" w:cs="Arial"/>
      <w:b/>
      <w:sz w:val="28"/>
      <w:szCs w:val="28"/>
    </w:rPr>
  </w:style>
  <w:style w:type="table" w:customStyle="1" w:styleId="NTP1">
    <w:name w:val="NTP1"/>
    <w:basedOn w:val="TableNormal"/>
    <w:next w:val="TableGrid"/>
    <w:uiPriority w:val="59"/>
    <w:unhideWhenUsed/>
    <w:rsid w:val="00655C6A"/>
    <w:rPr>
      <w:rFonts w:eastAsia="Calibri"/>
      <w:szCs w:val="20"/>
    </w:rPr>
    <w:tblPr>
      <w:tblBorders>
        <w:top w:val="single" w:sz="4" w:space="0" w:color="auto"/>
        <w:bottom w:val="single" w:sz="4" w:space="0" w:color="auto"/>
      </w:tblBorders>
      <w:tblCellMar>
        <w:left w:w="58" w:type="dxa"/>
        <w:right w:w="58" w:type="dxa"/>
      </w:tblCellMar>
    </w:tblPr>
    <w:tblStylePr w:type="firstRow">
      <w:pPr>
        <w:jc w:val="center"/>
      </w:pPr>
      <w:tblPr/>
      <w:tcPr>
        <w:tcBorders>
          <w:top w:val="single" w:sz="4" w:space="0" w:color="auto"/>
          <w:bottom w:val="single" w:sz="4" w:space="0" w:color="auto"/>
        </w:tcBorders>
      </w:tcPr>
    </w:tblStylePr>
  </w:style>
  <w:style w:type="paragraph" w:customStyle="1" w:styleId="Bullet1">
    <w:name w:val="Bullet 1"/>
    <w:basedOn w:val="Normal"/>
    <w:qFormat/>
    <w:rsid w:val="00D7621B"/>
    <w:pPr>
      <w:numPr>
        <w:numId w:val="2"/>
      </w:numPr>
      <w:tabs>
        <w:tab w:val="clear" w:pos="720"/>
      </w:tabs>
      <w:ind w:left="360"/>
      <w:textAlignment w:val="center"/>
    </w:pPr>
    <w:rPr>
      <w:rFonts w:asciiTheme="minorHAnsi" w:eastAsiaTheme="minorHAnsi" w:hAnsiTheme="minorHAnsi" w:cstheme="minorBidi"/>
      <w:b/>
      <w:sz w:val="22"/>
      <w:szCs w:val="22"/>
    </w:rPr>
  </w:style>
  <w:style w:type="paragraph" w:customStyle="1" w:styleId="Bullet2">
    <w:name w:val="Bullet 2"/>
    <w:basedOn w:val="Normal"/>
    <w:rsid w:val="00D7621B"/>
    <w:pPr>
      <w:numPr>
        <w:ilvl w:val="1"/>
        <w:numId w:val="2"/>
      </w:numPr>
      <w:tabs>
        <w:tab w:val="clear" w:pos="936"/>
      </w:tabs>
      <w:spacing w:before="60"/>
      <w:ind w:left="634"/>
      <w:textAlignment w:val="center"/>
    </w:pPr>
    <w:rPr>
      <w:rFonts w:ascii="Calibri" w:hAnsi="Calibri" w:cs="Calibri"/>
      <w:sz w:val="22"/>
      <w:szCs w:val="22"/>
    </w:rPr>
  </w:style>
  <w:style w:type="paragraph" w:customStyle="1" w:styleId="Bullet3">
    <w:name w:val="Bullet 3"/>
    <w:basedOn w:val="Normal"/>
    <w:rsid w:val="00D7621B"/>
    <w:pPr>
      <w:numPr>
        <w:ilvl w:val="2"/>
        <w:numId w:val="2"/>
      </w:numPr>
      <w:spacing w:line="259" w:lineRule="auto"/>
      <w:ind w:left="945"/>
    </w:pPr>
    <w:rPr>
      <w:rFonts w:asciiTheme="minorHAnsi" w:eastAsiaTheme="minorHAnsi" w:hAnsiTheme="minorHAnsi" w:cstheme="minorBidi"/>
      <w:sz w:val="22"/>
      <w:szCs w:val="22"/>
    </w:rPr>
  </w:style>
  <w:style w:type="paragraph" w:customStyle="1" w:styleId="0-01aAbbreviationsTitleFront">
    <w:name w:val="0-01a_Abbreviations_TitleFront"/>
    <w:basedOn w:val="BaseHeading"/>
    <w:rsid w:val="00F506C0"/>
    <w:pPr>
      <w:spacing w:after="240"/>
      <w:jc w:val="center"/>
    </w:pPr>
    <w:rPr>
      <w:b/>
    </w:rPr>
  </w:style>
  <w:style w:type="paragraph" w:customStyle="1" w:styleId="0-01bAbbreviationsTitleBack">
    <w:name w:val="0-01b_Abbreviations_TitleBack"/>
    <w:basedOn w:val="0-01aAbbreviationsTitleFront"/>
    <w:rsid w:val="00F506C0"/>
  </w:style>
  <w:style w:type="paragraph" w:customStyle="1" w:styleId="0-32aFigGraphic">
    <w:name w:val="0-32a_Fig_Graphic"/>
    <w:basedOn w:val="BaseText"/>
    <w:rsid w:val="00F506C0"/>
  </w:style>
  <w:style w:type="paragraph" w:customStyle="1" w:styleId="1-10eAuthorContributions">
    <w:name w:val="1-10e_Author_Contributions"/>
    <w:basedOn w:val="BaseText"/>
    <w:rsid w:val="00F506C0"/>
    <w:rPr>
      <w:i/>
    </w:rPr>
  </w:style>
  <w:style w:type="paragraph" w:customStyle="1" w:styleId="1-24bFrontMatterHead3">
    <w:name w:val="1-24b_FrontMatter_Head3"/>
    <w:basedOn w:val="BaseHeading"/>
    <w:rsid w:val="00F506C0"/>
    <w:pPr>
      <w:outlineLvl w:val="2"/>
    </w:pPr>
    <w:rPr>
      <w:b/>
      <w:i/>
      <w:sz w:val="22"/>
    </w:rPr>
  </w:style>
  <w:style w:type="paragraph" w:customStyle="1" w:styleId="1-24cFrontMatterHead4">
    <w:name w:val="1-24c_FrontMatter_Head4"/>
    <w:basedOn w:val="BaseHeading"/>
    <w:rsid w:val="00F506C0"/>
    <w:pPr>
      <w:outlineLvl w:val="3"/>
    </w:pPr>
    <w:rPr>
      <w:i/>
      <w:sz w:val="22"/>
    </w:rPr>
  </w:style>
  <w:style w:type="paragraph" w:customStyle="1" w:styleId="4-01bGlossaryHeadBack">
    <w:name w:val="4-01b_Glossary_HeadBack"/>
    <w:basedOn w:val="BaseHeading"/>
    <w:rsid w:val="00F506C0"/>
    <w:pPr>
      <w:spacing w:after="240"/>
      <w:jc w:val="center"/>
    </w:pPr>
    <w:rPr>
      <w:rFonts w:eastAsia="SimSun"/>
      <w:b/>
      <w:lang w:eastAsia="zh-CN"/>
    </w:rPr>
  </w:style>
  <w:style w:type="paragraph" w:customStyle="1" w:styleId="4-01aGlossaryHeadFront">
    <w:name w:val="4-01a_Glossary_HeadFront"/>
    <w:basedOn w:val="4-01bGlossaryHeadBack"/>
    <w:rsid w:val="00F506C0"/>
  </w:style>
  <w:style w:type="paragraph" w:customStyle="1" w:styleId="4-10aAcknowledgementHeadFront">
    <w:name w:val="4-10a_Acknowledgement_HeadFront"/>
    <w:basedOn w:val="BaseHeading"/>
    <w:next w:val="4-11Acknowledgement"/>
    <w:rsid w:val="00F506C0"/>
    <w:pPr>
      <w:spacing w:before="240" w:after="280"/>
    </w:pPr>
    <w:rPr>
      <w:b/>
    </w:rPr>
  </w:style>
  <w:style w:type="paragraph" w:customStyle="1" w:styleId="NTPAppendixListofTablesHeading">
    <w:name w:val="NTP Appendix List of Tables Heading"/>
    <w:basedOn w:val="Normal"/>
    <w:link w:val="NTPAppendixListofTablesHeadingChar"/>
    <w:qFormat/>
    <w:rsid w:val="00F506C0"/>
    <w:pPr>
      <w:keepNext/>
      <w:spacing w:before="240" w:after="120"/>
      <w:outlineLvl w:val="0"/>
    </w:pPr>
    <w:rPr>
      <w:rFonts w:ascii="Arial" w:eastAsia="SimSun" w:hAnsi="Arial"/>
      <w:b/>
      <w:sz w:val="32"/>
      <w:szCs w:val="28"/>
    </w:rPr>
  </w:style>
  <w:style w:type="character" w:customStyle="1" w:styleId="NTPAppendixListofTablesHeadingChar">
    <w:name w:val="NTP Appendix List of Tables Heading Char"/>
    <w:link w:val="NTPAppendixListofTablesHeading"/>
    <w:rsid w:val="00F506C0"/>
    <w:rPr>
      <w:rFonts w:ascii="Arial" w:hAnsi="Arial"/>
      <w:b/>
      <w:sz w:val="32"/>
      <w:szCs w:val="28"/>
    </w:rPr>
  </w:style>
  <w:style w:type="paragraph" w:customStyle="1" w:styleId="NTPAppendixListofFiguresHeading">
    <w:name w:val="NTP Appendix List of Figures Heading"/>
    <w:basedOn w:val="NTPAppendixListofTablesHeading"/>
    <w:link w:val="NTPAppendixListofFiguresHeadingChar"/>
    <w:qFormat/>
    <w:rsid w:val="00F506C0"/>
  </w:style>
  <w:style w:type="character" w:customStyle="1" w:styleId="NTPAppendixListofFiguresHeadingChar">
    <w:name w:val="NTP Appendix List of Figures Heading Char"/>
    <w:link w:val="NTPAppendixListofFiguresHeading"/>
    <w:rsid w:val="00F506C0"/>
    <w:rPr>
      <w:rFonts w:ascii="Arial" w:hAnsi="Arial"/>
      <w:b/>
      <w:sz w:val="32"/>
      <w:szCs w:val="28"/>
    </w:rPr>
  </w:style>
  <w:style w:type="paragraph" w:customStyle="1" w:styleId="NTPContentsHeading">
    <w:name w:val="NTP Contents Heading"/>
    <w:basedOn w:val="Normal"/>
    <w:link w:val="NTPContentsHeadingChar"/>
    <w:qFormat/>
    <w:rsid w:val="00F506C0"/>
    <w:pPr>
      <w:spacing w:after="240"/>
      <w:jc w:val="center"/>
    </w:pPr>
    <w:rPr>
      <w:rFonts w:ascii="Arial" w:eastAsia="SimSun" w:hAnsi="Arial" w:cs="Arial"/>
      <w:b/>
      <w:sz w:val="32"/>
      <w:szCs w:val="28"/>
    </w:rPr>
  </w:style>
  <w:style w:type="character" w:customStyle="1" w:styleId="NTPContentsHeadingChar">
    <w:name w:val="NTP Contents Heading Char"/>
    <w:link w:val="NTPContentsHeading"/>
    <w:rsid w:val="00F506C0"/>
    <w:rPr>
      <w:rFonts w:ascii="Arial" w:hAnsi="Arial" w:cs="Arial"/>
      <w:b/>
      <w:sz w:val="32"/>
      <w:szCs w:val="28"/>
    </w:rPr>
  </w:style>
  <w:style w:type="paragraph" w:customStyle="1" w:styleId="NTPHeaderDraft">
    <w:name w:val="NTP Header Draft"/>
    <w:basedOn w:val="Normal"/>
    <w:link w:val="NTPHeaderDraftChar"/>
    <w:qFormat/>
    <w:rsid w:val="00F506C0"/>
    <w:pPr>
      <w:tabs>
        <w:tab w:val="right" w:pos="9348"/>
      </w:tabs>
      <w:textAlignment w:val="center"/>
    </w:pPr>
    <w:rPr>
      <w:rFonts w:eastAsia="SimSun" w:cs="Arial"/>
      <w:szCs w:val="20"/>
    </w:rPr>
  </w:style>
  <w:style w:type="character" w:customStyle="1" w:styleId="NTPHeaderDraftChar">
    <w:name w:val="NTP Header Draft Char"/>
    <w:link w:val="NTPHeaderDraft"/>
    <w:rsid w:val="00F506C0"/>
    <w:rPr>
      <w:rFonts w:cs="Arial"/>
      <w:szCs w:val="20"/>
    </w:rPr>
  </w:style>
  <w:style w:type="paragraph" w:customStyle="1" w:styleId="NTPHeaderFinal">
    <w:name w:val="NTP Header Final"/>
    <w:basedOn w:val="Header"/>
    <w:link w:val="NTPHeaderFinalChar"/>
    <w:qFormat/>
    <w:rsid w:val="00F506C0"/>
    <w:pPr>
      <w:tabs>
        <w:tab w:val="clear" w:pos="4680"/>
        <w:tab w:val="clear" w:pos="9360"/>
      </w:tabs>
      <w:jc w:val="center"/>
    </w:pPr>
    <w:rPr>
      <w:rFonts w:eastAsia="SimSun"/>
    </w:rPr>
  </w:style>
  <w:style w:type="character" w:customStyle="1" w:styleId="NTPHeaderFinalChar">
    <w:name w:val="NTP Header Final Char"/>
    <w:link w:val="NTPHeaderFinal"/>
    <w:rsid w:val="00F506C0"/>
  </w:style>
  <w:style w:type="paragraph" w:styleId="TableofAuthorities">
    <w:name w:val="table of authorities"/>
    <w:basedOn w:val="Normal"/>
    <w:next w:val="Normal"/>
    <w:uiPriority w:val="99"/>
    <w:unhideWhenUsed/>
    <w:rsid w:val="00A96D46"/>
    <w:pPr>
      <w:tabs>
        <w:tab w:val="right" w:leader="dot" w:pos="9360"/>
      </w:tabs>
      <w:spacing w:line="259" w:lineRule="auto"/>
      <w:ind w:left="1166" w:right="720" w:hanging="1166"/>
    </w:pPr>
    <w:rPr>
      <w:rFonts w:eastAsia="Calibri"/>
      <w:szCs w:val="22"/>
    </w:rPr>
  </w:style>
  <w:style w:type="character" w:customStyle="1" w:styleId="UnresolvedMention1">
    <w:name w:val="Unresolved Mention1"/>
    <w:basedOn w:val="DefaultParagraphFont"/>
    <w:uiPriority w:val="99"/>
    <w:semiHidden/>
    <w:unhideWhenUsed/>
    <w:rsid w:val="007F204E"/>
    <w:rPr>
      <w:color w:val="605E5C"/>
      <w:shd w:val="clear" w:color="auto" w:fill="E1DFDD"/>
    </w:rPr>
  </w:style>
  <w:style w:type="paragraph" w:customStyle="1" w:styleId="History">
    <w:name w:val="History"/>
    <w:basedOn w:val="BaseText"/>
    <w:rsid w:val="00A96D46"/>
  </w:style>
  <w:style w:type="paragraph" w:customStyle="1" w:styleId="NTPBacklogDisclaimer">
    <w:name w:val="NTP Backlog Disclaimer"/>
    <w:basedOn w:val="Normal"/>
    <w:link w:val="NTPBacklogDisclaimerChar"/>
    <w:qFormat/>
    <w:rsid w:val="00F506C0"/>
    <w:pPr>
      <w:jc w:val="center"/>
    </w:pPr>
    <w:rPr>
      <w:rFonts w:eastAsia="SimSun"/>
    </w:rPr>
  </w:style>
  <w:style w:type="character" w:customStyle="1" w:styleId="NTPBacklogDisclaimerChar">
    <w:name w:val="NTP Backlog Disclaimer Char"/>
    <w:link w:val="NTPBacklogDisclaimer"/>
    <w:rsid w:val="00F506C0"/>
  </w:style>
  <w:style w:type="paragraph" w:customStyle="1" w:styleId="zza2">
    <w:name w:val="zza2"/>
    <w:basedOn w:val="Normal"/>
    <w:rsid w:val="00A96D46"/>
  </w:style>
  <w:style w:type="paragraph" w:customStyle="1" w:styleId="zza3">
    <w:name w:val="zza3"/>
    <w:basedOn w:val="Normal"/>
    <w:rsid w:val="00A96D46"/>
  </w:style>
  <w:style w:type="paragraph" w:customStyle="1" w:styleId="EndNoteBibliographyTitle">
    <w:name w:val="EndNote Bibliography Title"/>
    <w:basedOn w:val="Normal"/>
    <w:link w:val="EndNoteBibliographyTitleChar"/>
    <w:rsid w:val="003C764D"/>
    <w:pPr>
      <w:jc w:val="center"/>
    </w:pPr>
    <w:rPr>
      <w:noProof/>
    </w:rPr>
  </w:style>
  <w:style w:type="character" w:customStyle="1" w:styleId="BaseHeadingChar">
    <w:name w:val="Base_Heading Char"/>
    <w:basedOn w:val="DefaultParagraphFont"/>
    <w:link w:val="BaseHeading"/>
    <w:rsid w:val="003C764D"/>
    <w:rPr>
      <w:rFonts w:ascii="Arial" w:eastAsia="Times New Roman" w:hAnsi="Arial"/>
      <w:sz w:val="28"/>
    </w:rPr>
  </w:style>
  <w:style w:type="character" w:customStyle="1" w:styleId="1-03ReportTitleChar">
    <w:name w:val="1-03_Report_Title Char"/>
    <w:basedOn w:val="BaseHeadingChar"/>
    <w:link w:val="1-03ReportTitle"/>
    <w:rsid w:val="003C764D"/>
    <w:rPr>
      <w:rFonts w:ascii="Arial" w:eastAsia="Times New Roman" w:hAnsi="Arial"/>
      <w:b/>
      <w:sz w:val="40"/>
    </w:rPr>
  </w:style>
  <w:style w:type="character" w:customStyle="1" w:styleId="EndNoteBibliographyTitleChar">
    <w:name w:val="EndNote Bibliography Title Char"/>
    <w:basedOn w:val="1-03ReportTitleChar"/>
    <w:link w:val="EndNoteBibliographyTitle"/>
    <w:rsid w:val="003C764D"/>
    <w:rPr>
      <w:rFonts w:ascii="Arial" w:eastAsia="Times New Roman" w:hAnsi="Arial"/>
      <w:b w:val="0"/>
      <w:noProof/>
      <w:sz w:val="40"/>
    </w:rPr>
  </w:style>
  <w:style w:type="paragraph" w:customStyle="1" w:styleId="EndNoteBibliography">
    <w:name w:val="EndNote Bibliography"/>
    <w:basedOn w:val="Normal"/>
    <w:link w:val="EndNoteBibliographyChar"/>
    <w:rsid w:val="003C764D"/>
    <w:rPr>
      <w:noProof/>
    </w:rPr>
  </w:style>
  <w:style w:type="character" w:customStyle="1" w:styleId="EndNoteBibliographyChar">
    <w:name w:val="EndNote Bibliography Char"/>
    <w:basedOn w:val="1-03ReportTitleChar"/>
    <w:link w:val="EndNoteBibliography"/>
    <w:rsid w:val="003C764D"/>
    <w:rPr>
      <w:rFonts w:ascii="Arial" w:eastAsia="Times New Roman" w:hAnsi="Arial"/>
      <w:b w:val="0"/>
      <w:noProof/>
      <w:sz w:val="40"/>
    </w:rPr>
  </w:style>
  <w:style w:type="character" w:styleId="Strong">
    <w:name w:val="Strong"/>
    <w:basedOn w:val="DefaultParagraphFont"/>
    <w:uiPriority w:val="22"/>
    <w:qFormat/>
    <w:rsid w:val="00B944EA"/>
    <w:rPr>
      <w:b/>
      <w:bCs/>
    </w:rPr>
  </w:style>
  <w:style w:type="paragraph" w:customStyle="1" w:styleId="NTPPublisherLocation">
    <w:name w:val="NTP Publisher Location"/>
    <w:basedOn w:val="1-09PublicationDepartment"/>
    <w:qFormat/>
    <w:rsid w:val="00F506C0"/>
    <w:pPr>
      <w:spacing w:before="320"/>
    </w:pPr>
  </w:style>
  <w:style w:type="character" w:customStyle="1" w:styleId="normaltextrun">
    <w:name w:val="normaltextrun"/>
    <w:basedOn w:val="DefaultParagraphFont"/>
    <w:rsid w:val="00D61F4C"/>
  </w:style>
  <w:style w:type="character" w:styleId="UnresolvedMention">
    <w:name w:val="Unresolved Mention"/>
    <w:basedOn w:val="DefaultParagraphFont"/>
    <w:uiPriority w:val="99"/>
    <w:unhideWhenUsed/>
    <w:rsid w:val="00297506"/>
    <w:rPr>
      <w:color w:val="605E5C"/>
      <w:shd w:val="clear" w:color="auto" w:fill="E1DFDD"/>
    </w:rPr>
  </w:style>
  <w:style w:type="paragraph" w:customStyle="1" w:styleId="bmdsTblHeader">
    <w:name w:val="bmdsTblHeader"/>
    <w:basedOn w:val="Normal"/>
    <w:qFormat/>
    <w:rsid w:val="001E0E2A"/>
    <w:rPr>
      <w:rFonts w:eastAsiaTheme="minorHAnsi" w:cstheme="minorBidi"/>
      <w:b/>
      <w:sz w:val="18"/>
    </w:rPr>
  </w:style>
  <w:style w:type="paragraph" w:customStyle="1" w:styleId="bmdsTblFootnote">
    <w:name w:val="bmdsTblFootnote"/>
    <w:basedOn w:val="Normal"/>
    <w:qFormat/>
    <w:rsid w:val="007A67B5"/>
    <w:rPr>
      <w:rFonts w:eastAsiaTheme="minorHAnsi" w:cstheme="minorBidi"/>
      <w:sz w:val="18"/>
    </w:rPr>
  </w:style>
  <w:style w:type="paragraph" w:customStyle="1" w:styleId="0-29cTableBody4points">
    <w:name w:val="0-29c_Table_Body_4points"/>
    <w:basedOn w:val="0-29TableBody"/>
    <w:qFormat/>
    <w:rsid w:val="00F506C0"/>
    <w:pPr>
      <w:spacing w:after="80"/>
    </w:pPr>
  </w:style>
  <w:style w:type="paragraph" w:customStyle="1" w:styleId="0-29dTableBody2points">
    <w:name w:val="0-29d_Table_Body_2points"/>
    <w:basedOn w:val="0-29TableBody"/>
    <w:qFormat/>
    <w:rsid w:val="00F506C0"/>
    <w:pPr>
      <w:spacing w:after="40"/>
    </w:pPr>
  </w:style>
  <w:style w:type="paragraph" w:customStyle="1" w:styleId="1-13aLevelsofEvidenceHead">
    <w:name w:val="1-13a_Levels_of_Evidence_Head"/>
    <w:basedOn w:val="BaseHeading"/>
    <w:qFormat/>
    <w:rsid w:val="00F506C0"/>
    <w:pPr>
      <w:autoSpaceDE w:val="0"/>
      <w:autoSpaceDN w:val="0"/>
      <w:adjustRightInd w:val="0"/>
      <w:spacing w:before="240" w:after="240"/>
      <w:jc w:val="center"/>
    </w:pPr>
    <w:rPr>
      <w:b/>
      <w:sz w:val="32"/>
    </w:rPr>
  </w:style>
  <w:style w:type="paragraph" w:customStyle="1" w:styleId="4-09aSupplementaryMaterialTitle">
    <w:name w:val="4-09a_Supplementary_Material_Title"/>
    <w:basedOn w:val="BaseText"/>
    <w:qFormat/>
    <w:rsid w:val="00B22D47"/>
    <w:pPr>
      <w:keepNext/>
      <w:spacing w:before="180"/>
    </w:pPr>
    <w:rPr>
      <w:b/>
    </w:rPr>
  </w:style>
  <w:style w:type="paragraph" w:customStyle="1" w:styleId="4-09bSupplementaryMaterialLabel">
    <w:name w:val="4-09b_Supplementary_Material_Label"/>
    <w:basedOn w:val="BaseText"/>
    <w:next w:val="Normal"/>
    <w:qFormat/>
    <w:rsid w:val="00F506C0"/>
    <w:pPr>
      <w:autoSpaceDE w:val="0"/>
      <w:autoSpaceDN w:val="0"/>
      <w:adjustRightInd w:val="0"/>
    </w:pPr>
    <w:rPr>
      <w:b/>
    </w:rPr>
  </w:style>
  <w:style w:type="paragraph" w:customStyle="1" w:styleId="4-09cSupplementaryMaterialFilename">
    <w:name w:val="4-09c_Supplementary_Material_Filename"/>
    <w:basedOn w:val="BaseText"/>
    <w:qFormat/>
    <w:rsid w:val="00F506C0"/>
    <w:pPr>
      <w:autoSpaceDE w:val="0"/>
      <w:autoSpaceDN w:val="0"/>
      <w:adjustRightInd w:val="0"/>
      <w:spacing w:after="180"/>
    </w:pPr>
  </w:style>
  <w:style w:type="paragraph" w:customStyle="1" w:styleId="FigTitle">
    <w:name w:val="Fig_Title"/>
    <w:basedOn w:val="BaseText"/>
    <w:rsid w:val="00A96D46"/>
    <w:rPr>
      <w:b/>
    </w:rPr>
  </w:style>
  <w:style w:type="paragraph" w:customStyle="1" w:styleId="FinancialDisclosure">
    <w:name w:val="Financial_Disclosure"/>
    <w:basedOn w:val="BaseText"/>
    <w:rsid w:val="00A96D46"/>
  </w:style>
  <w:style w:type="paragraph" w:customStyle="1" w:styleId="FinancialDisclosureHead">
    <w:name w:val="Financial_Disclosure_Head"/>
    <w:basedOn w:val="BaseHeading"/>
    <w:rsid w:val="00A96D46"/>
  </w:style>
  <w:style w:type="paragraph" w:customStyle="1" w:styleId="FrontMatterHead2">
    <w:name w:val="FrontMatter_Head2"/>
    <w:basedOn w:val="BaseHeading"/>
    <w:rsid w:val="00A96D46"/>
  </w:style>
  <w:style w:type="character" w:customStyle="1" w:styleId="Heading1Char">
    <w:name w:val="Heading 1 Char"/>
    <w:link w:val="Heading1"/>
    <w:rsid w:val="00F506C0"/>
    <w:rPr>
      <w:rFonts w:ascii="Arial" w:eastAsia="Times New Roman" w:hAnsi="Arial" w:cs="Arial"/>
      <w:b/>
      <w:bCs/>
      <w:kern w:val="32"/>
      <w:sz w:val="32"/>
      <w:szCs w:val="32"/>
    </w:rPr>
  </w:style>
  <w:style w:type="paragraph" w:styleId="ListParagraph">
    <w:name w:val="List Paragraph"/>
    <w:basedOn w:val="Normal"/>
    <w:link w:val="ListParagraphChar"/>
    <w:uiPriority w:val="34"/>
    <w:qFormat/>
    <w:rsid w:val="00A96D46"/>
    <w:pPr>
      <w:spacing w:after="160" w:line="259" w:lineRule="auto"/>
      <w:ind w:left="720"/>
      <w:contextualSpacing/>
    </w:pPr>
    <w:rPr>
      <w:rFonts w:ascii="Calibri" w:eastAsia="Calibri" w:hAnsi="Calibri"/>
      <w:sz w:val="22"/>
      <w:szCs w:val="22"/>
    </w:rPr>
  </w:style>
  <w:style w:type="paragraph" w:customStyle="1" w:styleId="NoteinProof">
    <w:name w:val="Note_in_Proof"/>
    <w:basedOn w:val="BaseText"/>
    <w:rsid w:val="00A96D46"/>
  </w:style>
  <w:style w:type="paragraph" w:customStyle="1" w:styleId="NTPLaySummaryHead">
    <w:name w:val="NTP Lay Summary Head"/>
    <w:basedOn w:val="NTPContentsHeading"/>
    <w:link w:val="NTPLaySummaryHeadChar"/>
    <w:qFormat/>
    <w:rsid w:val="00F506C0"/>
    <w:pPr>
      <w:keepNext/>
      <w:pageBreakBefore/>
    </w:pPr>
    <w:rPr>
      <w:rFonts w:eastAsia="Times New Roman"/>
      <w:szCs w:val="36"/>
    </w:rPr>
  </w:style>
  <w:style w:type="character" w:customStyle="1" w:styleId="NTPLaySummaryHeadChar">
    <w:name w:val="NTP Lay Summary Head Char"/>
    <w:link w:val="NTPLaySummaryHead"/>
    <w:rsid w:val="00F506C0"/>
    <w:rPr>
      <w:rFonts w:ascii="Arial" w:eastAsia="Times New Roman" w:hAnsi="Arial" w:cs="Arial"/>
      <w:b/>
      <w:sz w:val="32"/>
      <w:szCs w:val="36"/>
    </w:rPr>
  </w:style>
  <w:style w:type="paragraph" w:customStyle="1" w:styleId="NTPLaySummaryBodyText">
    <w:name w:val="NTP Lay Summary Body Text"/>
    <w:basedOn w:val="NTPLaySummaryHead"/>
    <w:link w:val="NTPLaySummaryBodyTextChar"/>
    <w:qFormat/>
    <w:rsid w:val="00F506C0"/>
    <w:pPr>
      <w:pageBreakBefore w:val="0"/>
      <w:spacing w:after="120"/>
      <w:jc w:val="left"/>
    </w:pPr>
    <w:rPr>
      <w:rFonts w:ascii="Times New Roman" w:hAnsi="Times New Roman" w:cs="Times New Roman"/>
      <w:b w:val="0"/>
      <w:sz w:val="24"/>
      <w:szCs w:val="24"/>
    </w:rPr>
  </w:style>
  <w:style w:type="character" w:customStyle="1" w:styleId="NTPLaySummaryBodyTextChar">
    <w:name w:val="NTP Lay Summary Body Text Char"/>
    <w:link w:val="NTPLaySummaryBodyText"/>
    <w:rsid w:val="00F506C0"/>
    <w:rPr>
      <w:rFonts w:eastAsia="Times New Roman"/>
    </w:rPr>
  </w:style>
  <w:style w:type="paragraph" w:customStyle="1" w:styleId="NTPLaySummaryHeading1">
    <w:name w:val="NTP Lay Summary Heading 1"/>
    <w:basedOn w:val="NTPLaySummaryHead"/>
    <w:link w:val="NTPLaySummaryHeading1Char"/>
    <w:rsid w:val="00F506C0"/>
    <w:pPr>
      <w:spacing w:after="120"/>
      <w:jc w:val="left"/>
    </w:pPr>
    <w:rPr>
      <w:rFonts w:ascii="Times New Roman" w:hAnsi="Times New Roman" w:cs="Times New Roman"/>
      <w:sz w:val="24"/>
      <w:szCs w:val="24"/>
    </w:rPr>
  </w:style>
  <w:style w:type="character" w:customStyle="1" w:styleId="NTPLaySummaryHeading1Char">
    <w:name w:val="NTP Lay Summary Heading 1 Char"/>
    <w:link w:val="NTPLaySummaryHeading1"/>
    <w:rsid w:val="00F506C0"/>
    <w:rPr>
      <w:rFonts w:eastAsia="Times New Roman"/>
      <w:b/>
    </w:rPr>
  </w:style>
  <w:style w:type="paragraph" w:customStyle="1" w:styleId="ParagraphPostHead">
    <w:name w:val="Paragraph_Post_Head"/>
    <w:basedOn w:val="BaseText"/>
    <w:rsid w:val="00A96D46"/>
  </w:style>
  <w:style w:type="paragraph" w:customStyle="1" w:styleId="Poetry">
    <w:name w:val="Poetry"/>
    <w:basedOn w:val="BaseText"/>
    <w:rsid w:val="00A96D46"/>
    <w:pPr>
      <w:autoSpaceDE w:val="0"/>
      <w:autoSpaceDN w:val="0"/>
      <w:adjustRightInd w:val="0"/>
      <w:spacing w:after="180"/>
    </w:pPr>
  </w:style>
  <w:style w:type="paragraph" w:customStyle="1" w:styleId="RelatedArticle">
    <w:name w:val="Related_Article"/>
    <w:basedOn w:val="BaseText"/>
    <w:rsid w:val="00A96D46"/>
  </w:style>
  <w:style w:type="character" w:customStyle="1" w:styleId="spellingerror">
    <w:name w:val="spellingerror"/>
    <w:basedOn w:val="DefaultParagraphFont"/>
    <w:rsid w:val="00DB2259"/>
  </w:style>
  <w:style w:type="paragraph" w:customStyle="1" w:styleId="paragraph">
    <w:name w:val="paragraph"/>
    <w:basedOn w:val="Normal"/>
    <w:rsid w:val="00DF0364"/>
    <w:pPr>
      <w:spacing w:before="100" w:beforeAutospacing="1" w:after="100" w:afterAutospacing="1"/>
    </w:pPr>
  </w:style>
  <w:style w:type="character" w:customStyle="1" w:styleId="eop">
    <w:name w:val="eop"/>
    <w:basedOn w:val="DefaultParagraphFont"/>
    <w:rsid w:val="00DF0364"/>
  </w:style>
  <w:style w:type="character" w:customStyle="1" w:styleId="Heading4Char">
    <w:name w:val="Heading 4 Char"/>
    <w:basedOn w:val="DefaultParagraphFont"/>
    <w:link w:val="Heading4"/>
    <w:rsid w:val="007B7E79"/>
    <w:rPr>
      <w:rFonts w:eastAsia="Times New Roman"/>
      <w:b/>
      <w:bCs/>
      <w:sz w:val="28"/>
      <w:szCs w:val="28"/>
    </w:rPr>
  </w:style>
  <w:style w:type="character" w:customStyle="1" w:styleId="Heading5Char">
    <w:name w:val="Heading 5 Char"/>
    <w:basedOn w:val="DefaultParagraphFont"/>
    <w:link w:val="Heading5"/>
    <w:rsid w:val="007B7E79"/>
    <w:rPr>
      <w:rFonts w:eastAsia="Times New Roman"/>
      <w:b/>
      <w:bCs/>
      <w:i/>
      <w:iCs/>
      <w:sz w:val="26"/>
      <w:szCs w:val="26"/>
    </w:rPr>
  </w:style>
  <w:style w:type="character" w:customStyle="1" w:styleId="Heading6Char">
    <w:name w:val="Heading 6 Char"/>
    <w:basedOn w:val="DefaultParagraphFont"/>
    <w:link w:val="Heading6"/>
    <w:rsid w:val="007B7E79"/>
    <w:rPr>
      <w:rFonts w:eastAsia="Times New Roman"/>
      <w:b/>
      <w:bCs/>
      <w:sz w:val="22"/>
      <w:szCs w:val="22"/>
    </w:rPr>
  </w:style>
  <w:style w:type="character" w:customStyle="1" w:styleId="Heading7Char">
    <w:name w:val="Heading 7 Char"/>
    <w:basedOn w:val="DefaultParagraphFont"/>
    <w:link w:val="Heading7"/>
    <w:rsid w:val="007B7E79"/>
    <w:rPr>
      <w:rFonts w:eastAsia="Times New Roman"/>
    </w:rPr>
  </w:style>
  <w:style w:type="character" w:customStyle="1" w:styleId="Heading8Char">
    <w:name w:val="Heading 8 Char"/>
    <w:basedOn w:val="DefaultParagraphFont"/>
    <w:link w:val="Heading8"/>
    <w:rsid w:val="007B7E79"/>
    <w:rPr>
      <w:rFonts w:eastAsia="Times New Roman"/>
      <w:i/>
      <w:iCs/>
    </w:rPr>
  </w:style>
  <w:style w:type="character" w:customStyle="1" w:styleId="Heading9Char">
    <w:name w:val="Heading 9 Char"/>
    <w:basedOn w:val="DefaultParagraphFont"/>
    <w:link w:val="Heading9"/>
    <w:rsid w:val="007B7E79"/>
    <w:rPr>
      <w:rFonts w:ascii="Arial" w:eastAsia="Times New Roman" w:hAnsi="Arial" w:cs="Arial"/>
      <w:sz w:val="22"/>
      <w:szCs w:val="22"/>
    </w:rPr>
  </w:style>
  <w:style w:type="table" w:styleId="PlainTable5">
    <w:name w:val="Plain Table 5"/>
    <w:basedOn w:val="TableNormal"/>
    <w:uiPriority w:val="45"/>
    <w:rsid w:val="00503F3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2Char">
    <w:name w:val="Heading 2 Char"/>
    <w:basedOn w:val="DefaultParagraphFont"/>
    <w:link w:val="Heading2"/>
    <w:uiPriority w:val="9"/>
    <w:semiHidden/>
    <w:rsid w:val="005533DC"/>
    <w:rPr>
      <w:rFonts w:asciiTheme="minorHAnsi" w:eastAsiaTheme="majorEastAsia" w:hAnsiTheme="minorHAnsi" w:cstheme="majorBidi"/>
      <w:b/>
      <w:color w:val="000000" w:themeColor="text1"/>
      <w:sz w:val="26"/>
      <w:szCs w:val="26"/>
    </w:rPr>
  </w:style>
  <w:style w:type="paragraph" w:customStyle="1" w:styleId="msonormal0">
    <w:name w:val="msonormal"/>
    <w:basedOn w:val="Normal"/>
    <w:rsid w:val="005533DC"/>
    <w:pPr>
      <w:spacing w:before="100" w:beforeAutospacing="1" w:after="100" w:afterAutospacing="1"/>
    </w:pPr>
  </w:style>
  <w:style w:type="paragraph" w:customStyle="1" w:styleId="bmdsOutputFile">
    <w:name w:val="bmdsOutputFile"/>
    <w:basedOn w:val="Normal"/>
    <w:qFormat/>
    <w:rsid w:val="005533DC"/>
    <w:rPr>
      <w:rFonts w:ascii="Consolas" w:eastAsiaTheme="minorHAnsi" w:hAnsi="Consolas" w:cstheme="minorBidi"/>
      <w:sz w:val="16"/>
    </w:rPr>
  </w:style>
  <w:style w:type="table" w:customStyle="1" w:styleId="bmdsTbl">
    <w:name w:val="bmdsTbl"/>
    <w:basedOn w:val="TableNormal"/>
    <w:uiPriority w:val="99"/>
    <w:rsid w:val="005533DC"/>
    <w:rPr>
      <w:rFonts w:eastAsia="Droid Sans Fallback"/>
      <w:sz w:val="18"/>
      <w:szCs w:val="18"/>
      <w:lang w:eastAsia="ja-JP"/>
    </w:rPr>
    <w:tblPr>
      <w:tblStyleRowBandSize w:val="1"/>
      <w:tblStyleColBandSize w:val="1"/>
      <w:tblInd w:w="0" w:type="nil"/>
      <w:tblBorders>
        <w:top w:val="single" w:sz="4" w:space="0" w:color="D0CECE" w:themeColor="background2" w:themeShade="E6"/>
        <w:bottom w:val="single" w:sz="4" w:space="0" w:color="D0CECE" w:themeColor="background2" w:themeShade="E6"/>
        <w:insideH w:val="single" w:sz="4" w:space="0" w:color="D0CECE" w:themeColor="background2" w:themeShade="E6"/>
      </w:tblBorders>
      <w:tblCellMar>
        <w:left w:w="58" w:type="dxa"/>
        <w:right w:w="58" w:type="dxa"/>
      </w:tblCellMar>
    </w:tblPr>
    <w:tblStylePr w:type="firstRow">
      <w:pPr>
        <w:jc w:val="left"/>
      </w:pPr>
      <w:rPr>
        <w:b w:val="0"/>
        <w:bCs/>
        <w:i w:val="0"/>
        <w:iCs w:val="0"/>
        <w:sz w:val="18"/>
        <w:szCs w:val="18"/>
      </w:rPr>
      <w:tblPr/>
      <w:tcPr>
        <w:tcBorders>
          <w:top w:val="single" w:sz="4" w:space="0" w:color="auto"/>
          <w:left w:val="nil"/>
          <w:bottom w:val="single" w:sz="4" w:space="0" w:color="auto"/>
          <w:right w:val="nil"/>
          <w:insideH w:val="nil"/>
          <w:insideV w:val="nil"/>
          <w:tl2br w:val="nil"/>
          <w:tr2bl w:val="nil"/>
        </w:tcBorders>
      </w:tcPr>
    </w:tblStylePr>
  </w:style>
  <w:style w:type="character" w:styleId="Mention">
    <w:name w:val="Mention"/>
    <w:basedOn w:val="DefaultParagraphFont"/>
    <w:uiPriority w:val="99"/>
    <w:unhideWhenUsed/>
    <w:rsid w:val="00DA68EF"/>
    <w:rPr>
      <w:color w:val="2B579A"/>
      <w:shd w:val="clear" w:color="auto" w:fill="E1DFDD"/>
    </w:rPr>
  </w:style>
  <w:style w:type="character" w:customStyle="1" w:styleId="ListParagraphChar">
    <w:name w:val="List Paragraph Char"/>
    <w:basedOn w:val="DefaultParagraphFont"/>
    <w:link w:val="ListParagraph"/>
    <w:uiPriority w:val="34"/>
    <w:locked/>
    <w:rsid w:val="00D60210"/>
    <w:rPr>
      <w:rFonts w:ascii="Calibri" w:eastAsia="Calibri" w:hAnsi="Calibri"/>
      <w:sz w:val="22"/>
      <w:szCs w:val="22"/>
    </w:rPr>
  </w:style>
  <w:style w:type="character" w:customStyle="1" w:styleId="4-09AppendixTextChar">
    <w:name w:val="4-09_Appendix_Text Char"/>
    <w:basedOn w:val="DefaultParagraphFont"/>
    <w:link w:val="4-09AppendixText"/>
    <w:locked/>
    <w:rsid w:val="00412CA0"/>
    <w:rPr>
      <w:rFonts w:eastAsia="Times New Roman"/>
    </w:rPr>
  </w:style>
  <w:style w:type="paragraph" w:styleId="NormalIndent">
    <w:name w:val="Normal Indent"/>
    <w:basedOn w:val="Normal"/>
    <w:rsid w:val="00C118A3"/>
    <w:pPr>
      <w:ind w:left="720"/>
    </w:pPr>
  </w:style>
  <w:style w:type="paragraph" w:customStyle="1" w:styleId="dx-doi">
    <w:name w:val="dx-doi"/>
    <w:basedOn w:val="Normal"/>
    <w:rsid w:val="00837BE3"/>
    <w:pPr>
      <w:spacing w:before="100" w:beforeAutospacing="1" w:after="100" w:afterAutospacing="1"/>
    </w:pPr>
  </w:style>
  <w:style w:type="paragraph" w:customStyle="1" w:styleId="pcon">
    <w:name w:val="pcon"/>
    <w:basedOn w:val="Normal"/>
    <w:rsid w:val="00301CA6"/>
    <w:pPr>
      <w:spacing w:before="100" w:beforeAutospacing="1" w:after="100" w:afterAutospacing="1"/>
    </w:pPr>
  </w:style>
  <w:style w:type="paragraph" w:customStyle="1" w:styleId="sbuls">
    <w:name w:val="sbuls"/>
    <w:basedOn w:val="Normal"/>
    <w:rsid w:val="00301CA6"/>
    <w:pPr>
      <w:spacing w:before="100" w:beforeAutospacing="1" w:after="100" w:afterAutospacing="1"/>
    </w:pPr>
  </w:style>
  <w:style w:type="character" w:customStyle="1" w:styleId="dictionarylistcontent-951">
    <w:name w:val="dictionarylistcontent-951"/>
    <w:basedOn w:val="DefaultParagraphFont"/>
    <w:rsid w:val="005277EE"/>
    <w:rPr>
      <w:rFonts w:ascii="Segoe UI" w:hAnsi="Segoe UI" w:cs="Segoe UI" w:hint="default"/>
    </w:rPr>
  </w:style>
  <w:style w:type="paragraph" w:styleId="NoSpacing">
    <w:name w:val="No Spacing"/>
    <w:uiPriority w:val="1"/>
    <w:qFormat/>
    <w:rsid w:val="0032318B"/>
    <w:rPr>
      <w:rFonts w:eastAsia="Times New Roman"/>
    </w:rPr>
  </w:style>
  <w:style w:type="paragraph" w:customStyle="1" w:styleId="TOC1">
    <w:name w:val="TOC 1"/>
    <w:pPr>
      <w:spacing w:before="120"/>
      <w:ind w:left="360" w:hanging="360" w:right="720"/>
    </w:pPr>
    <w:rPr>
      <w:rFonts w:ascii="Times New Roman" w:hAnsi="Times New Roman"/>
      <w:sz w:val="24"/>
    </w:rPr>
  </w:style>
  <w:style w:type="paragraph" w:customStyle="1" w:styleId="TOC2">
    <w:name w:val="TOC 2"/>
    <w:pPr>
      <w:ind w:left="792" w:hanging="504" w:right="720"/>
    </w:pPr>
    <w:rPr>
      <w:rFonts w:ascii="Times New Roman" w:hAnsi="Times New Roman"/>
      <w:sz w:val="24"/>
    </w:rPr>
  </w:style>
  <w:style w:type="paragraph" w:customStyle="1" w:styleId="TOC3">
    <w:name w:val="TOC 3"/>
    <w:pPr>
      <w:ind w:left="1296" w:hanging="576" w:right="720"/>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10064">
      <w:bodyDiv w:val="1"/>
      <w:marLeft w:val="0"/>
      <w:marRight w:val="0"/>
      <w:marTop w:val="0"/>
      <w:marBottom w:val="0"/>
      <w:divBdr>
        <w:top w:val="none" w:sz="0" w:space="0" w:color="auto"/>
        <w:left w:val="none" w:sz="0" w:space="0" w:color="auto"/>
        <w:bottom w:val="none" w:sz="0" w:space="0" w:color="auto"/>
        <w:right w:val="none" w:sz="0" w:space="0" w:color="auto"/>
      </w:divBdr>
      <w:divsChild>
        <w:div w:id="876085561">
          <w:marLeft w:val="0"/>
          <w:marRight w:val="0"/>
          <w:marTop w:val="0"/>
          <w:marBottom w:val="0"/>
          <w:divBdr>
            <w:top w:val="none" w:sz="0" w:space="0" w:color="auto"/>
            <w:left w:val="none" w:sz="0" w:space="0" w:color="auto"/>
            <w:bottom w:val="none" w:sz="0" w:space="0" w:color="auto"/>
            <w:right w:val="none" w:sz="0" w:space="0" w:color="auto"/>
          </w:divBdr>
        </w:div>
        <w:div w:id="1859856378">
          <w:marLeft w:val="0"/>
          <w:marRight w:val="0"/>
          <w:marTop w:val="0"/>
          <w:marBottom w:val="0"/>
          <w:divBdr>
            <w:top w:val="none" w:sz="0" w:space="0" w:color="auto"/>
            <w:left w:val="none" w:sz="0" w:space="0" w:color="auto"/>
            <w:bottom w:val="none" w:sz="0" w:space="0" w:color="auto"/>
            <w:right w:val="none" w:sz="0" w:space="0" w:color="auto"/>
          </w:divBdr>
        </w:div>
        <w:div w:id="2097509778">
          <w:marLeft w:val="0"/>
          <w:marRight w:val="0"/>
          <w:marTop w:val="0"/>
          <w:marBottom w:val="0"/>
          <w:divBdr>
            <w:top w:val="none" w:sz="0" w:space="0" w:color="auto"/>
            <w:left w:val="none" w:sz="0" w:space="0" w:color="auto"/>
            <w:bottom w:val="none" w:sz="0" w:space="0" w:color="auto"/>
            <w:right w:val="none" w:sz="0" w:space="0" w:color="auto"/>
          </w:divBdr>
        </w:div>
      </w:divsChild>
    </w:div>
    <w:div w:id="70667000">
      <w:bodyDiv w:val="1"/>
      <w:marLeft w:val="0"/>
      <w:marRight w:val="0"/>
      <w:marTop w:val="0"/>
      <w:marBottom w:val="0"/>
      <w:divBdr>
        <w:top w:val="none" w:sz="0" w:space="0" w:color="auto"/>
        <w:left w:val="none" w:sz="0" w:space="0" w:color="auto"/>
        <w:bottom w:val="none" w:sz="0" w:space="0" w:color="auto"/>
        <w:right w:val="none" w:sz="0" w:space="0" w:color="auto"/>
      </w:divBdr>
    </w:div>
    <w:div w:id="93747957">
      <w:bodyDiv w:val="1"/>
      <w:marLeft w:val="0"/>
      <w:marRight w:val="0"/>
      <w:marTop w:val="0"/>
      <w:marBottom w:val="0"/>
      <w:divBdr>
        <w:top w:val="none" w:sz="0" w:space="0" w:color="auto"/>
        <w:left w:val="none" w:sz="0" w:space="0" w:color="auto"/>
        <w:bottom w:val="none" w:sz="0" w:space="0" w:color="auto"/>
        <w:right w:val="none" w:sz="0" w:space="0" w:color="auto"/>
      </w:divBdr>
    </w:div>
    <w:div w:id="95638630">
      <w:bodyDiv w:val="1"/>
      <w:marLeft w:val="0"/>
      <w:marRight w:val="0"/>
      <w:marTop w:val="0"/>
      <w:marBottom w:val="0"/>
      <w:divBdr>
        <w:top w:val="none" w:sz="0" w:space="0" w:color="auto"/>
        <w:left w:val="none" w:sz="0" w:space="0" w:color="auto"/>
        <w:bottom w:val="none" w:sz="0" w:space="0" w:color="auto"/>
        <w:right w:val="none" w:sz="0" w:space="0" w:color="auto"/>
      </w:divBdr>
    </w:div>
    <w:div w:id="131531147">
      <w:bodyDiv w:val="1"/>
      <w:marLeft w:val="0"/>
      <w:marRight w:val="0"/>
      <w:marTop w:val="0"/>
      <w:marBottom w:val="0"/>
      <w:divBdr>
        <w:top w:val="none" w:sz="0" w:space="0" w:color="auto"/>
        <w:left w:val="none" w:sz="0" w:space="0" w:color="auto"/>
        <w:bottom w:val="none" w:sz="0" w:space="0" w:color="auto"/>
        <w:right w:val="none" w:sz="0" w:space="0" w:color="auto"/>
      </w:divBdr>
    </w:div>
    <w:div w:id="151063576">
      <w:bodyDiv w:val="1"/>
      <w:marLeft w:val="0"/>
      <w:marRight w:val="0"/>
      <w:marTop w:val="0"/>
      <w:marBottom w:val="0"/>
      <w:divBdr>
        <w:top w:val="none" w:sz="0" w:space="0" w:color="auto"/>
        <w:left w:val="none" w:sz="0" w:space="0" w:color="auto"/>
        <w:bottom w:val="none" w:sz="0" w:space="0" w:color="auto"/>
        <w:right w:val="none" w:sz="0" w:space="0" w:color="auto"/>
      </w:divBdr>
    </w:div>
    <w:div w:id="158469165">
      <w:bodyDiv w:val="1"/>
      <w:marLeft w:val="0"/>
      <w:marRight w:val="0"/>
      <w:marTop w:val="0"/>
      <w:marBottom w:val="0"/>
      <w:divBdr>
        <w:top w:val="none" w:sz="0" w:space="0" w:color="auto"/>
        <w:left w:val="none" w:sz="0" w:space="0" w:color="auto"/>
        <w:bottom w:val="none" w:sz="0" w:space="0" w:color="auto"/>
        <w:right w:val="none" w:sz="0" w:space="0" w:color="auto"/>
      </w:divBdr>
    </w:div>
    <w:div w:id="169758571">
      <w:bodyDiv w:val="1"/>
      <w:marLeft w:val="0"/>
      <w:marRight w:val="0"/>
      <w:marTop w:val="0"/>
      <w:marBottom w:val="0"/>
      <w:divBdr>
        <w:top w:val="none" w:sz="0" w:space="0" w:color="auto"/>
        <w:left w:val="none" w:sz="0" w:space="0" w:color="auto"/>
        <w:bottom w:val="none" w:sz="0" w:space="0" w:color="auto"/>
        <w:right w:val="none" w:sz="0" w:space="0" w:color="auto"/>
      </w:divBdr>
    </w:div>
    <w:div w:id="177426375">
      <w:bodyDiv w:val="1"/>
      <w:marLeft w:val="0"/>
      <w:marRight w:val="0"/>
      <w:marTop w:val="0"/>
      <w:marBottom w:val="0"/>
      <w:divBdr>
        <w:top w:val="none" w:sz="0" w:space="0" w:color="auto"/>
        <w:left w:val="none" w:sz="0" w:space="0" w:color="auto"/>
        <w:bottom w:val="none" w:sz="0" w:space="0" w:color="auto"/>
        <w:right w:val="none" w:sz="0" w:space="0" w:color="auto"/>
      </w:divBdr>
    </w:div>
    <w:div w:id="178355392">
      <w:bodyDiv w:val="1"/>
      <w:marLeft w:val="0"/>
      <w:marRight w:val="0"/>
      <w:marTop w:val="0"/>
      <w:marBottom w:val="0"/>
      <w:divBdr>
        <w:top w:val="none" w:sz="0" w:space="0" w:color="auto"/>
        <w:left w:val="none" w:sz="0" w:space="0" w:color="auto"/>
        <w:bottom w:val="none" w:sz="0" w:space="0" w:color="auto"/>
        <w:right w:val="none" w:sz="0" w:space="0" w:color="auto"/>
      </w:divBdr>
    </w:div>
    <w:div w:id="213273452">
      <w:bodyDiv w:val="1"/>
      <w:marLeft w:val="0"/>
      <w:marRight w:val="0"/>
      <w:marTop w:val="0"/>
      <w:marBottom w:val="0"/>
      <w:divBdr>
        <w:top w:val="none" w:sz="0" w:space="0" w:color="auto"/>
        <w:left w:val="none" w:sz="0" w:space="0" w:color="auto"/>
        <w:bottom w:val="none" w:sz="0" w:space="0" w:color="auto"/>
        <w:right w:val="none" w:sz="0" w:space="0" w:color="auto"/>
      </w:divBdr>
    </w:div>
    <w:div w:id="224537417">
      <w:bodyDiv w:val="1"/>
      <w:marLeft w:val="0"/>
      <w:marRight w:val="0"/>
      <w:marTop w:val="0"/>
      <w:marBottom w:val="0"/>
      <w:divBdr>
        <w:top w:val="none" w:sz="0" w:space="0" w:color="auto"/>
        <w:left w:val="none" w:sz="0" w:space="0" w:color="auto"/>
        <w:bottom w:val="none" w:sz="0" w:space="0" w:color="auto"/>
        <w:right w:val="none" w:sz="0" w:space="0" w:color="auto"/>
      </w:divBdr>
    </w:div>
    <w:div w:id="226036871">
      <w:bodyDiv w:val="1"/>
      <w:marLeft w:val="0"/>
      <w:marRight w:val="0"/>
      <w:marTop w:val="0"/>
      <w:marBottom w:val="0"/>
      <w:divBdr>
        <w:top w:val="none" w:sz="0" w:space="0" w:color="auto"/>
        <w:left w:val="none" w:sz="0" w:space="0" w:color="auto"/>
        <w:bottom w:val="none" w:sz="0" w:space="0" w:color="auto"/>
        <w:right w:val="none" w:sz="0" w:space="0" w:color="auto"/>
      </w:divBdr>
    </w:div>
    <w:div w:id="234438108">
      <w:bodyDiv w:val="1"/>
      <w:marLeft w:val="0"/>
      <w:marRight w:val="0"/>
      <w:marTop w:val="0"/>
      <w:marBottom w:val="0"/>
      <w:divBdr>
        <w:top w:val="none" w:sz="0" w:space="0" w:color="auto"/>
        <w:left w:val="none" w:sz="0" w:space="0" w:color="auto"/>
        <w:bottom w:val="none" w:sz="0" w:space="0" w:color="auto"/>
        <w:right w:val="none" w:sz="0" w:space="0" w:color="auto"/>
      </w:divBdr>
    </w:div>
    <w:div w:id="245917732">
      <w:bodyDiv w:val="1"/>
      <w:marLeft w:val="0"/>
      <w:marRight w:val="0"/>
      <w:marTop w:val="0"/>
      <w:marBottom w:val="0"/>
      <w:divBdr>
        <w:top w:val="none" w:sz="0" w:space="0" w:color="auto"/>
        <w:left w:val="none" w:sz="0" w:space="0" w:color="auto"/>
        <w:bottom w:val="none" w:sz="0" w:space="0" w:color="auto"/>
        <w:right w:val="none" w:sz="0" w:space="0" w:color="auto"/>
      </w:divBdr>
    </w:div>
    <w:div w:id="253826339">
      <w:bodyDiv w:val="1"/>
      <w:marLeft w:val="0"/>
      <w:marRight w:val="0"/>
      <w:marTop w:val="0"/>
      <w:marBottom w:val="0"/>
      <w:divBdr>
        <w:top w:val="none" w:sz="0" w:space="0" w:color="auto"/>
        <w:left w:val="none" w:sz="0" w:space="0" w:color="auto"/>
        <w:bottom w:val="none" w:sz="0" w:space="0" w:color="auto"/>
        <w:right w:val="none" w:sz="0" w:space="0" w:color="auto"/>
      </w:divBdr>
    </w:div>
    <w:div w:id="300422253">
      <w:bodyDiv w:val="1"/>
      <w:marLeft w:val="0"/>
      <w:marRight w:val="0"/>
      <w:marTop w:val="0"/>
      <w:marBottom w:val="0"/>
      <w:divBdr>
        <w:top w:val="none" w:sz="0" w:space="0" w:color="auto"/>
        <w:left w:val="none" w:sz="0" w:space="0" w:color="auto"/>
        <w:bottom w:val="none" w:sz="0" w:space="0" w:color="auto"/>
        <w:right w:val="none" w:sz="0" w:space="0" w:color="auto"/>
      </w:divBdr>
    </w:div>
    <w:div w:id="343291492">
      <w:bodyDiv w:val="1"/>
      <w:marLeft w:val="0"/>
      <w:marRight w:val="0"/>
      <w:marTop w:val="0"/>
      <w:marBottom w:val="0"/>
      <w:divBdr>
        <w:top w:val="none" w:sz="0" w:space="0" w:color="auto"/>
        <w:left w:val="none" w:sz="0" w:space="0" w:color="auto"/>
        <w:bottom w:val="none" w:sz="0" w:space="0" w:color="auto"/>
        <w:right w:val="none" w:sz="0" w:space="0" w:color="auto"/>
      </w:divBdr>
    </w:div>
    <w:div w:id="357586437">
      <w:bodyDiv w:val="1"/>
      <w:marLeft w:val="0"/>
      <w:marRight w:val="0"/>
      <w:marTop w:val="0"/>
      <w:marBottom w:val="0"/>
      <w:divBdr>
        <w:top w:val="none" w:sz="0" w:space="0" w:color="auto"/>
        <w:left w:val="none" w:sz="0" w:space="0" w:color="auto"/>
        <w:bottom w:val="none" w:sz="0" w:space="0" w:color="auto"/>
        <w:right w:val="none" w:sz="0" w:space="0" w:color="auto"/>
      </w:divBdr>
    </w:div>
    <w:div w:id="412051842">
      <w:bodyDiv w:val="1"/>
      <w:marLeft w:val="0"/>
      <w:marRight w:val="0"/>
      <w:marTop w:val="0"/>
      <w:marBottom w:val="0"/>
      <w:divBdr>
        <w:top w:val="none" w:sz="0" w:space="0" w:color="auto"/>
        <w:left w:val="none" w:sz="0" w:space="0" w:color="auto"/>
        <w:bottom w:val="none" w:sz="0" w:space="0" w:color="auto"/>
        <w:right w:val="none" w:sz="0" w:space="0" w:color="auto"/>
      </w:divBdr>
    </w:div>
    <w:div w:id="436488542">
      <w:bodyDiv w:val="1"/>
      <w:marLeft w:val="0"/>
      <w:marRight w:val="0"/>
      <w:marTop w:val="0"/>
      <w:marBottom w:val="0"/>
      <w:divBdr>
        <w:top w:val="none" w:sz="0" w:space="0" w:color="auto"/>
        <w:left w:val="none" w:sz="0" w:space="0" w:color="auto"/>
        <w:bottom w:val="none" w:sz="0" w:space="0" w:color="auto"/>
        <w:right w:val="none" w:sz="0" w:space="0" w:color="auto"/>
      </w:divBdr>
      <w:divsChild>
        <w:div w:id="795489794">
          <w:marLeft w:val="0"/>
          <w:marRight w:val="0"/>
          <w:marTop w:val="0"/>
          <w:marBottom w:val="0"/>
          <w:divBdr>
            <w:top w:val="none" w:sz="0" w:space="0" w:color="auto"/>
            <w:left w:val="none" w:sz="0" w:space="0" w:color="auto"/>
            <w:bottom w:val="none" w:sz="0" w:space="0" w:color="auto"/>
            <w:right w:val="none" w:sz="0" w:space="0" w:color="auto"/>
          </w:divBdr>
          <w:divsChild>
            <w:div w:id="1352028480">
              <w:marLeft w:val="0"/>
              <w:marRight w:val="0"/>
              <w:marTop w:val="0"/>
              <w:marBottom w:val="165"/>
              <w:divBdr>
                <w:top w:val="none" w:sz="0" w:space="0" w:color="auto"/>
                <w:left w:val="none" w:sz="0" w:space="0" w:color="auto"/>
                <w:bottom w:val="none" w:sz="0" w:space="0" w:color="auto"/>
                <w:right w:val="none" w:sz="0" w:space="0" w:color="auto"/>
              </w:divBdr>
            </w:div>
          </w:divsChild>
        </w:div>
        <w:div w:id="2117168133">
          <w:marLeft w:val="0"/>
          <w:marRight w:val="0"/>
          <w:marTop w:val="165"/>
          <w:marBottom w:val="165"/>
          <w:divBdr>
            <w:top w:val="none" w:sz="0" w:space="0" w:color="auto"/>
            <w:left w:val="none" w:sz="0" w:space="0" w:color="auto"/>
            <w:bottom w:val="none" w:sz="0" w:space="0" w:color="auto"/>
            <w:right w:val="none" w:sz="0" w:space="0" w:color="auto"/>
          </w:divBdr>
          <w:divsChild>
            <w:div w:id="525480977">
              <w:marLeft w:val="0"/>
              <w:marRight w:val="0"/>
              <w:marTop w:val="0"/>
              <w:marBottom w:val="0"/>
              <w:divBdr>
                <w:top w:val="none" w:sz="0" w:space="0" w:color="auto"/>
                <w:left w:val="none" w:sz="0" w:space="0" w:color="auto"/>
                <w:bottom w:val="none" w:sz="0" w:space="0" w:color="auto"/>
                <w:right w:val="none" w:sz="0" w:space="0" w:color="auto"/>
              </w:divBdr>
              <w:divsChild>
                <w:div w:id="14347123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782870">
      <w:bodyDiv w:val="1"/>
      <w:marLeft w:val="0"/>
      <w:marRight w:val="0"/>
      <w:marTop w:val="0"/>
      <w:marBottom w:val="0"/>
      <w:divBdr>
        <w:top w:val="none" w:sz="0" w:space="0" w:color="auto"/>
        <w:left w:val="none" w:sz="0" w:space="0" w:color="auto"/>
        <w:bottom w:val="none" w:sz="0" w:space="0" w:color="auto"/>
        <w:right w:val="none" w:sz="0" w:space="0" w:color="auto"/>
      </w:divBdr>
    </w:div>
    <w:div w:id="471143058">
      <w:bodyDiv w:val="1"/>
      <w:marLeft w:val="0"/>
      <w:marRight w:val="0"/>
      <w:marTop w:val="0"/>
      <w:marBottom w:val="0"/>
      <w:divBdr>
        <w:top w:val="none" w:sz="0" w:space="0" w:color="auto"/>
        <w:left w:val="none" w:sz="0" w:space="0" w:color="auto"/>
        <w:bottom w:val="none" w:sz="0" w:space="0" w:color="auto"/>
        <w:right w:val="none" w:sz="0" w:space="0" w:color="auto"/>
      </w:divBdr>
    </w:div>
    <w:div w:id="480270909">
      <w:bodyDiv w:val="1"/>
      <w:marLeft w:val="0"/>
      <w:marRight w:val="0"/>
      <w:marTop w:val="0"/>
      <w:marBottom w:val="0"/>
      <w:divBdr>
        <w:top w:val="none" w:sz="0" w:space="0" w:color="auto"/>
        <w:left w:val="none" w:sz="0" w:space="0" w:color="auto"/>
        <w:bottom w:val="none" w:sz="0" w:space="0" w:color="auto"/>
        <w:right w:val="none" w:sz="0" w:space="0" w:color="auto"/>
      </w:divBdr>
    </w:div>
    <w:div w:id="489098887">
      <w:bodyDiv w:val="1"/>
      <w:marLeft w:val="0"/>
      <w:marRight w:val="0"/>
      <w:marTop w:val="0"/>
      <w:marBottom w:val="0"/>
      <w:divBdr>
        <w:top w:val="none" w:sz="0" w:space="0" w:color="auto"/>
        <w:left w:val="none" w:sz="0" w:space="0" w:color="auto"/>
        <w:bottom w:val="none" w:sz="0" w:space="0" w:color="auto"/>
        <w:right w:val="none" w:sz="0" w:space="0" w:color="auto"/>
      </w:divBdr>
    </w:div>
    <w:div w:id="492259031">
      <w:bodyDiv w:val="1"/>
      <w:marLeft w:val="0"/>
      <w:marRight w:val="0"/>
      <w:marTop w:val="0"/>
      <w:marBottom w:val="0"/>
      <w:divBdr>
        <w:top w:val="none" w:sz="0" w:space="0" w:color="auto"/>
        <w:left w:val="none" w:sz="0" w:space="0" w:color="auto"/>
        <w:bottom w:val="none" w:sz="0" w:space="0" w:color="auto"/>
        <w:right w:val="none" w:sz="0" w:space="0" w:color="auto"/>
      </w:divBdr>
    </w:div>
    <w:div w:id="492262345">
      <w:bodyDiv w:val="1"/>
      <w:marLeft w:val="0"/>
      <w:marRight w:val="0"/>
      <w:marTop w:val="0"/>
      <w:marBottom w:val="0"/>
      <w:divBdr>
        <w:top w:val="none" w:sz="0" w:space="0" w:color="auto"/>
        <w:left w:val="none" w:sz="0" w:space="0" w:color="auto"/>
        <w:bottom w:val="none" w:sz="0" w:space="0" w:color="auto"/>
        <w:right w:val="none" w:sz="0" w:space="0" w:color="auto"/>
      </w:divBdr>
    </w:div>
    <w:div w:id="494077766">
      <w:bodyDiv w:val="1"/>
      <w:marLeft w:val="0"/>
      <w:marRight w:val="0"/>
      <w:marTop w:val="0"/>
      <w:marBottom w:val="0"/>
      <w:divBdr>
        <w:top w:val="none" w:sz="0" w:space="0" w:color="auto"/>
        <w:left w:val="none" w:sz="0" w:space="0" w:color="auto"/>
        <w:bottom w:val="none" w:sz="0" w:space="0" w:color="auto"/>
        <w:right w:val="none" w:sz="0" w:space="0" w:color="auto"/>
      </w:divBdr>
    </w:div>
    <w:div w:id="504169742">
      <w:bodyDiv w:val="1"/>
      <w:marLeft w:val="0"/>
      <w:marRight w:val="0"/>
      <w:marTop w:val="0"/>
      <w:marBottom w:val="0"/>
      <w:divBdr>
        <w:top w:val="none" w:sz="0" w:space="0" w:color="auto"/>
        <w:left w:val="none" w:sz="0" w:space="0" w:color="auto"/>
        <w:bottom w:val="none" w:sz="0" w:space="0" w:color="auto"/>
        <w:right w:val="none" w:sz="0" w:space="0" w:color="auto"/>
      </w:divBdr>
    </w:div>
    <w:div w:id="532504025">
      <w:bodyDiv w:val="1"/>
      <w:marLeft w:val="0"/>
      <w:marRight w:val="0"/>
      <w:marTop w:val="0"/>
      <w:marBottom w:val="0"/>
      <w:divBdr>
        <w:top w:val="none" w:sz="0" w:space="0" w:color="auto"/>
        <w:left w:val="none" w:sz="0" w:space="0" w:color="auto"/>
        <w:bottom w:val="none" w:sz="0" w:space="0" w:color="auto"/>
        <w:right w:val="none" w:sz="0" w:space="0" w:color="auto"/>
      </w:divBdr>
    </w:div>
    <w:div w:id="535510080">
      <w:bodyDiv w:val="1"/>
      <w:marLeft w:val="0"/>
      <w:marRight w:val="0"/>
      <w:marTop w:val="0"/>
      <w:marBottom w:val="0"/>
      <w:divBdr>
        <w:top w:val="none" w:sz="0" w:space="0" w:color="auto"/>
        <w:left w:val="none" w:sz="0" w:space="0" w:color="auto"/>
        <w:bottom w:val="none" w:sz="0" w:space="0" w:color="auto"/>
        <w:right w:val="none" w:sz="0" w:space="0" w:color="auto"/>
      </w:divBdr>
    </w:div>
    <w:div w:id="567418706">
      <w:bodyDiv w:val="1"/>
      <w:marLeft w:val="0"/>
      <w:marRight w:val="0"/>
      <w:marTop w:val="0"/>
      <w:marBottom w:val="0"/>
      <w:divBdr>
        <w:top w:val="none" w:sz="0" w:space="0" w:color="auto"/>
        <w:left w:val="none" w:sz="0" w:space="0" w:color="auto"/>
        <w:bottom w:val="none" w:sz="0" w:space="0" w:color="auto"/>
        <w:right w:val="none" w:sz="0" w:space="0" w:color="auto"/>
      </w:divBdr>
    </w:div>
    <w:div w:id="585892062">
      <w:bodyDiv w:val="1"/>
      <w:marLeft w:val="0"/>
      <w:marRight w:val="0"/>
      <w:marTop w:val="0"/>
      <w:marBottom w:val="0"/>
      <w:divBdr>
        <w:top w:val="none" w:sz="0" w:space="0" w:color="auto"/>
        <w:left w:val="none" w:sz="0" w:space="0" w:color="auto"/>
        <w:bottom w:val="none" w:sz="0" w:space="0" w:color="auto"/>
        <w:right w:val="none" w:sz="0" w:space="0" w:color="auto"/>
      </w:divBdr>
    </w:div>
    <w:div w:id="607278951">
      <w:bodyDiv w:val="1"/>
      <w:marLeft w:val="0"/>
      <w:marRight w:val="0"/>
      <w:marTop w:val="0"/>
      <w:marBottom w:val="0"/>
      <w:divBdr>
        <w:top w:val="none" w:sz="0" w:space="0" w:color="auto"/>
        <w:left w:val="none" w:sz="0" w:space="0" w:color="auto"/>
        <w:bottom w:val="none" w:sz="0" w:space="0" w:color="auto"/>
        <w:right w:val="none" w:sz="0" w:space="0" w:color="auto"/>
      </w:divBdr>
    </w:div>
    <w:div w:id="626395462">
      <w:bodyDiv w:val="1"/>
      <w:marLeft w:val="0"/>
      <w:marRight w:val="0"/>
      <w:marTop w:val="0"/>
      <w:marBottom w:val="0"/>
      <w:divBdr>
        <w:top w:val="none" w:sz="0" w:space="0" w:color="auto"/>
        <w:left w:val="none" w:sz="0" w:space="0" w:color="auto"/>
        <w:bottom w:val="none" w:sz="0" w:space="0" w:color="auto"/>
        <w:right w:val="none" w:sz="0" w:space="0" w:color="auto"/>
      </w:divBdr>
    </w:div>
    <w:div w:id="656883627">
      <w:bodyDiv w:val="1"/>
      <w:marLeft w:val="0"/>
      <w:marRight w:val="0"/>
      <w:marTop w:val="0"/>
      <w:marBottom w:val="0"/>
      <w:divBdr>
        <w:top w:val="none" w:sz="0" w:space="0" w:color="auto"/>
        <w:left w:val="none" w:sz="0" w:space="0" w:color="auto"/>
        <w:bottom w:val="none" w:sz="0" w:space="0" w:color="auto"/>
        <w:right w:val="none" w:sz="0" w:space="0" w:color="auto"/>
      </w:divBdr>
    </w:div>
    <w:div w:id="698436343">
      <w:bodyDiv w:val="1"/>
      <w:marLeft w:val="0"/>
      <w:marRight w:val="0"/>
      <w:marTop w:val="0"/>
      <w:marBottom w:val="0"/>
      <w:divBdr>
        <w:top w:val="none" w:sz="0" w:space="0" w:color="auto"/>
        <w:left w:val="none" w:sz="0" w:space="0" w:color="auto"/>
        <w:bottom w:val="none" w:sz="0" w:space="0" w:color="auto"/>
        <w:right w:val="none" w:sz="0" w:space="0" w:color="auto"/>
      </w:divBdr>
    </w:div>
    <w:div w:id="706294591">
      <w:bodyDiv w:val="1"/>
      <w:marLeft w:val="0"/>
      <w:marRight w:val="0"/>
      <w:marTop w:val="0"/>
      <w:marBottom w:val="0"/>
      <w:divBdr>
        <w:top w:val="none" w:sz="0" w:space="0" w:color="auto"/>
        <w:left w:val="none" w:sz="0" w:space="0" w:color="auto"/>
        <w:bottom w:val="none" w:sz="0" w:space="0" w:color="auto"/>
        <w:right w:val="none" w:sz="0" w:space="0" w:color="auto"/>
      </w:divBdr>
      <w:divsChild>
        <w:div w:id="539786423">
          <w:marLeft w:val="0"/>
          <w:marRight w:val="0"/>
          <w:marTop w:val="0"/>
          <w:marBottom w:val="0"/>
          <w:divBdr>
            <w:top w:val="none" w:sz="0" w:space="0" w:color="auto"/>
            <w:left w:val="none" w:sz="0" w:space="0" w:color="auto"/>
            <w:bottom w:val="none" w:sz="0" w:space="0" w:color="auto"/>
            <w:right w:val="none" w:sz="0" w:space="0" w:color="auto"/>
          </w:divBdr>
          <w:divsChild>
            <w:div w:id="1561138829">
              <w:marLeft w:val="0"/>
              <w:marRight w:val="0"/>
              <w:marTop w:val="0"/>
              <w:marBottom w:val="0"/>
              <w:divBdr>
                <w:top w:val="none" w:sz="0" w:space="0" w:color="auto"/>
                <w:left w:val="none" w:sz="0" w:space="0" w:color="auto"/>
                <w:bottom w:val="none" w:sz="0" w:space="0" w:color="auto"/>
                <w:right w:val="none" w:sz="0" w:space="0" w:color="auto"/>
              </w:divBdr>
              <w:divsChild>
                <w:div w:id="34649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849808">
      <w:bodyDiv w:val="1"/>
      <w:marLeft w:val="0"/>
      <w:marRight w:val="0"/>
      <w:marTop w:val="0"/>
      <w:marBottom w:val="0"/>
      <w:divBdr>
        <w:top w:val="none" w:sz="0" w:space="0" w:color="auto"/>
        <w:left w:val="none" w:sz="0" w:space="0" w:color="auto"/>
        <w:bottom w:val="none" w:sz="0" w:space="0" w:color="auto"/>
        <w:right w:val="none" w:sz="0" w:space="0" w:color="auto"/>
      </w:divBdr>
      <w:divsChild>
        <w:div w:id="124348296">
          <w:marLeft w:val="0"/>
          <w:marRight w:val="0"/>
          <w:marTop w:val="0"/>
          <w:marBottom w:val="0"/>
          <w:divBdr>
            <w:top w:val="none" w:sz="0" w:space="0" w:color="auto"/>
            <w:left w:val="none" w:sz="0" w:space="0" w:color="auto"/>
            <w:bottom w:val="none" w:sz="0" w:space="0" w:color="auto"/>
            <w:right w:val="none" w:sz="0" w:space="0" w:color="auto"/>
          </w:divBdr>
        </w:div>
        <w:div w:id="1036005360">
          <w:marLeft w:val="0"/>
          <w:marRight w:val="0"/>
          <w:marTop w:val="0"/>
          <w:marBottom w:val="0"/>
          <w:divBdr>
            <w:top w:val="none" w:sz="0" w:space="0" w:color="auto"/>
            <w:left w:val="none" w:sz="0" w:space="0" w:color="auto"/>
            <w:bottom w:val="none" w:sz="0" w:space="0" w:color="auto"/>
            <w:right w:val="none" w:sz="0" w:space="0" w:color="auto"/>
          </w:divBdr>
        </w:div>
        <w:div w:id="1940139623">
          <w:marLeft w:val="0"/>
          <w:marRight w:val="0"/>
          <w:marTop w:val="0"/>
          <w:marBottom w:val="0"/>
          <w:divBdr>
            <w:top w:val="none" w:sz="0" w:space="0" w:color="auto"/>
            <w:left w:val="none" w:sz="0" w:space="0" w:color="auto"/>
            <w:bottom w:val="none" w:sz="0" w:space="0" w:color="auto"/>
            <w:right w:val="none" w:sz="0" w:space="0" w:color="auto"/>
          </w:divBdr>
        </w:div>
      </w:divsChild>
    </w:div>
    <w:div w:id="762607849">
      <w:bodyDiv w:val="1"/>
      <w:marLeft w:val="0"/>
      <w:marRight w:val="0"/>
      <w:marTop w:val="0"/>
      <w:marBottom w:val="0"/>
      <w:divBdr>
        <w:top w:val="none" w:sz="0" w:space="0" w:color="auto"/>
        <w:left w:val="none" w:sz="0" w:space="0" w:color="auto"/>
        <w:bottom w:val="none" w:sz="0" w:space="0" w:color="auto"/>
        <w:right w:val="none" w:sz="0" w:space="0" w:color="auto"/>
      </w:divBdr>
    </w:div>
    <w:div w:id="768741914">
      <w:bodyDiv w:val="1"/>
      <w:marLeft w:val="0"/>
      <w:marRight w:val="0"/>
      <w:marTop w:val="0"/>
      <w:marBottom w:val="0"/>
      <w:divBdr>
        <w:top w:val="none" w:sz="0" w:space="0" w:color="auto"/>
        <w:left w:val="none" w:sz="0" w:space="0" w:color="auto"/>
        <w:bottom w:val="none" w:sz="0" w:space="0" w:color="auto"/>
        <w:right w:val="none" w:sz="0" w:space="0" w:color="auto"/>
      </w:divBdr>
    </w:div>
    <w:div w:id="776101659">
      <w:bodyDiv w:val="1"/>
      <w:marLeft w:val="0"/>
      <w:marRight w:val="0"/>
      <w:marTop w:val="0"/>
      <w:marBottom w:val="0"/>
      <w:divBdr>
        <w:top w:val="none" w:sz="0" w:space="0" w:color="auto"/>
        <w:left w:val="none" w:sz="0" w:space="0" w:color="auto"/>
        <w:bottom w:val="none" w:sz="0" w:space="0" w:color="auto"/>
        <w:right w:val="none" w:sz="0" w:space="0" w:color="auto"/>
      </w:divBdr>
    </w:div>
    <w:div w:id="815222959">
      <w:bodyDiv w:val="1"/>
      <w:marLeft w:val="0"/>
      <w:marRight w:val="0"/>
      <w:marTop w:val="0"/>
      <w:marBottom w:val="0"/>
      <w:divBdr>
        <w:top w:val="none" w:sz="0" w:space="0" w:color="auto"/>
        <w:left w:val="none" w:sz="0" w:space="0" w:color="auto"/>
        <w:bottom w:val="none" w:sz="0" w:space="0" w:color="auto"/>
        <w:right w:val="none" w:sz="0" w:space="0" w:color="auto"/>
      </w:divBdr>
    </w:div>
    <w:div w:id="844514043">
      <w:bodyDiv w:val="1"/>
      <w:marLeft w:val="0"/>
      <w:marRight w:val="0"/>
      <w:marTop w:val="0"/>
      <w:marBottom w:val="0"/>
      <w:divBdr>
        <w:top w:val="none" w:sz="0" w:space="0" w:color="auto"/>
        <w:left w:val="none" w:sz="0" w:space="0" w:color="auto"/>
        <w:bottom w:val="none" w:sz="0" w:space="0" w:color="auto"/>
        <w:right w:val="none" w:sz="0" w:space="0" w:color="auto"/>
      </w:divBdr>
    </w:div>
    <w:div w:id="851063848">
      <w:bodyDiv w:val="1"/>
      <w:marLeft w:val="0"/>
      <w:marRight w:val="0"/>
      <w:marTop w:val="0"/>
      <w:marBottom w:val="0"/>
      <w:divBdr>
        <w:top w:val="none" w:sz="0" w:space="0" w:color="auto"/>
        <w:left w:val="none" w:sz="0" w:space="0" w:color="auto"/>
        <w:bottom w:val="none" w:sz="0" w:space="0" w:color="auto"/>
        <w:right w:val="none" w:sz="0" w:space="0" w:color="auto"/>
      </w:divBdr>
    </w:div>
    <w:div w:id="873423352">
      <w:bodyDiv w:val="1"/>
      <w:marLeft w:val="0"/>
      <w:marRight w:val="0"/>
      <w:marTop w:val="0"/>
      <w:marBottom w:val="0"/>
      <w:divBdr>
        <w:top w:val="none" w:sz="0" w:space="0" w:color="auto"/>
        <w:left w:val="none" w:sz="0" w:space="0" w:color="auto"/>
        <w:bottom w:val="none" w:sz="0" w:space="0" w:color="auto"/>
        <w:right w:val="none" w:sz="0" w:space="0" w:color="auto"/>
      </w:divBdr>
    </w:div>
    <w:div w:id="878785805">
      <w:bodyDiv w:val="1"/>
      <w:marLeft w:val="0"/>
      <w:marRight w:val="0"/>
      <w:marTop w:val="0"/>
      <w:marBottom w:val="0"/>
      <w:divBdr>
        <w:top w:val="none" w:sz="0" w:space="0" w:color="auto"/>
        <w:left w:val="none" w:sz="0" w:space="0" w:color="auto"/>
        <w:bottom w:val="none" w:sz="0" w:space="0" w:color="auto"/>
        <w:right w:val="none" w:sz="0" w:space="0" w:color="auto"/>
      </w:divBdr>
    </w:div>
    <w:div w:id="891815728">
      <w:bodyDiv w:val="1"/>
      <w:marLeft w:val="0"/>
      <w:marRight w:val="0"/>
      <w:marTop w:val="0"/>
      <w:marBottom w:val="0"/>
      <w:divBdr>
        <w:top w:val="none" w:sz="0" w:space="0" w:color="auto"/>
        <w:left w:val="none" w:sz="0" w:space="0" w:color="auto"/>
        <w:bottom w:val="none" w:sz="0" w:space="0" w:color="auto"/>
        <w:right w:val="none" w:sz="0" w:space="0" w:color="auto"/>
      </w:divBdr>
    </w:div>
    <w:div w:id="897786859">
      <w:bodyDiv w:val="1"/>
      <w:marLeft w:val="0"/>
      <w:marRight w:val="0"/>
      <w:marTop w:val="0"/>
      <w:marBottom w:val="0"/>
      <w:divBdr>
        <w:top w:val="none" w:sz="0" w:space="0" w:color="auto"/>
        <w:left w:val="none" w:sz="0" w:space="0" w:color="auto"/>
        <w:bottom w:val="none" w:sz="0" w:space="0" w:color="auto"/>
        <w:right w:val="none" w:sz="0" w:space="0" w:color="auto"/>
      </w:divBdr>
    </w:div>
    <w:div w:id="904725800">
      <w:bodyDiv w:val="1"/>
      <w:marLeft w:val="0"/>
      <w:marRight w:val="0"/>
      <w:marTop w:val="0"/>
      <w:marBottom w:val="0"/>
      <w:divBdr>
        <w:top w:val="none" w:sz="0" w:space="0" w:color="auto"/>
        <w:left w:val="none" w:sz="0" w:space="0" w:color="auto"/>
        <w:bottom w:val="none" w:sz="0" w:space="0" w:color="auto"/>
        <w:right w:val="none" w:sz="0" w:space="0" w:color="auto"/>
      </w:divBdr>
    </w:div>
    <w:div w:id="909537440">
      <w:bodyDiv w:val="1"/>
      <w:marLeft w:val="0"/>
      <w:marRight w:val="0"/>
      <w:marTop w:val="0"/>
      <w:marBottom w:val="0"/>
      <w:divBdr>
        <w:top w:val="none" w:sz="0" w:space="0" w:color="auto"/>
        <w:left w:val="none" w:sz="0" w:space="0" w:color="auto"/>
        <w:bottom w:val="none" w:sz="0" w:space="0" w:color="auto"/>
        <w:right w:val="none" w:sz="0" w:space="0" w:color="auto"/>
      </w:divBdr>
      <w:divsChild>
        <w:div w:id="2090930532">
          <w:marLeft w:val="0"/>
          <w:marRight w:val="0"/>
          <w:marTop w:val="0"/>
          <w:marBottom w:val="0"/>
          <w:divBdr>
            <w:top w:val="none" w:sz="0" w:space="0" w:color="auto"/>
            <w:left w:val="none" w:sz="0" w:space="0" w:color="auto"/>
            <w:bottom w:val="none" w:sz="0" w:space="0" w:color="auto"/>
            <w:right w:val="none" w:sz="0" w:space="0" w:color="auto"/>
          </w:divBdr>
          <w:divsChild>
            <w:div w:id="351883243">
              <w:marLeft w:val="0"/>
              <w:marRight w:val="0"/>
              <w:marTop w:val="0"/>
              <w:marBottom w:val="0"/>
              <w:divBdr>
                <w:top w:val="none" w:sz="0" w:space="0" w:color="auto"/>
                <w:left w:val="none" w:sz="0" w:space="0" w:color="auto"/>
                <w:bottom w:val="none" w:sz="0" w:space="0" w:color="auto"/>
                <w:right w:val="none" w:sz="0" w:space="0" w:color="auto"/>
              </w:divBdr>
              <w:divsChild>
                <w:div w:id="749237483">
                  <w:marLeft w:val="0"/>
                  <w:marRight w:val="0"/>
                  <w:marTop w:val="0"/>
                  <w:marBottom w:val="0"/>
                  <w:divBdr>
                    <w:top w:val="none" w:sz="0" w:space="0" w:color="auto"/>
                    <w:left w:val="none" w:sz="0" w:space="0" w:color="auto"/>
                    <w:bottom w:val="none" w:sz="0" w:space="0" w:color="auto"/>
                    <w:right w:val="none" w:sz="0" w:space="0" w:color="auto"/>
                  </w:divBdr>
                </w:div>
              </w:divsChild>
            </w:div>
            <w:div w:id="1746996439">
              <w:marLeft w:val="0"/>
              <w:marRight w:val="0"/>
              <w:marTop w:val="0"/>
              <w:marBottom w:val="0"/>
              <w:divBdr>
                <w:top w:val="none" w:sz="0" w:space="0" w:color="auto"/>
                <w:left w:val="none" w:sz="0" w:space="0" w:color="auto"/>
                <w:bottom w:val="none" w:sz="0" w:space="0" w:color="auto"/>
                <w:right w:val="none" w:sz="0" w:space="0" w:color="auto"/>
              </w:divBdr>
              <w:divsChild>
                <w:div w:id="1110007330">
                  <w:marLeft w:val="0"/>
                  <w:marRight w:val="0"/>
                  <w:marTop w:val="0"/>
                  <w:marBottom w:val="0"/>
                  <w:divBdr>
                    <w:top w:val="none" w:sz="0" w:space="0" w:color="auto"/>
                    <w:left w:val="none" w:sz="0" w:space="0" w:color="auto"/>
                    <w:bottom w:val="none" w:sz="0" w:space="0" w:color="auto"/>
                    <w:right w:val="none" w:sz="0" w:space="0" w:color="auto"/>
                  </w:divBdr>
                </w:div>
              </w:divsChild>
            </w:div>
            <w:div w:id="1764062858">
              <w:marLeft w:val="0"/>
              <w:marRight w:val="0"/>
              <w:marTop w:val="0"/>
              <w:marBottom w:val="0"/>
              <w:divBdr>
                <w:top w:val="none" w:sz="0" w:space="0" w:color="auto"/>
                <w:left w:val="none" w:sz="0" w:space="0" w:color="auto"/>
                <w:bottom w:val="none" w:sz="0" w:space="0" w:color="auto"/>
                <w:right w:val="none" w:sz="0" w:space="0" w:color="auto"/>
              </w:divBdr>
              <w:divsChild>
                <w:div w:id="3728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3124468">
      <w:bodyDiv w:val="1"/>
      <w:marLeft w:val="0"/>
      <w:marRight w:val="0"/>
      <w:marTop w:val="0"/>
      <w:marBottom w:val="0"/>
      <w:divBdr>
        <w:top w:val="none" w:sz="0" w:space="0" w:color="auto"/>
        <w:left w:val="none" w:sz="0" w:space="0" w:color="auto"/>
        <w:bottom w:val="none" w:sz="0" w:space="0" w:color="auto"/>
        <w:right w:val="none" w:sz="0" w:space="0" w:color="auto"/>
      </w:divBdr>
    </w:div>
    <w:div w:id="968783808">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1028330720">
      <w:bodyDiv w:val="1"/>
      <w:marLeft w:val="0"/>
      <w:marRight w:val="0"/>
      <w:marTop w:val="0"/>
      <w:marBottom w:val="0"/>
      <w:divBdr>
        <w:top w:val="none" w:sz="0" w:space="0" w:color="auto"/>
        <w:left w:val="none" w:sz="0" w:space="0" w:color="auto"/>
        <w:bottom w:val="none" w:sz="0" w:space="0" w:color="auto"/>
        <w:right w:val="none" w:sz="0" w:space="0" w:color="auto"/>
      </w:divBdr>
      <w:divsChild>
        <w:div w:id="618681261">
          <w:marLeft w:val="0"/>
          <w:marRight w:val="0"/>
          <w:marTop w:val="288"/>
          <w:marBottom w:val="100"/>
          <w:divBdr>
            <w:top w:val="none" w:sz="0" w:space="0" w:color="auto"/>
            <w:left w:val="none" w:sz="0" w:space="0" w:color="auto"/>
            <w:bottom w:val="none" w:sz="0" w:space="0" w:color="auto"/>
            <w:right w:val="none" w:sz="0" w:space="0" w:color="auto"/>
          </w:divBdr>
          <w:divsChild>
            <w:div w:id="304430856">
              <w:marLeft w:val="0"/>
              <w:marRight w:val="0"/>
              <w:marTop w:val="0"/>
              <w:marBottom w:val="0"/>
              <w:divBdr>
                <w:top w:val="none" w:sz="0" w:space="0" w:color="auto"/>
                <w:left w:val="none" w:sz="0" w:space="0" w:color="auto"/>
                <w:bottom w:val="none" w:sz="0" w:space="0" w:color="auto"/>
                <w:right w:val="none" w:sz="0" w:space="0" w:color="auto"/>
              </w:divBdr>
            </w:div>
          </w:divsChild>
        </w:div>
        <w:div w:id="755589020">
          <w:marLeft w:val="0"/>
          <w:marRight w:val="0"/>
          <w:marTop w:val="288"/>
          <w:marBottom w:val="100"/>
          <w:divBdr>
            <w:top w:val="none" w:sz="0" w:space="0" w:color="auto"/>
            <w:left w:val="none" w:sz="0" w:space="0" w:color="auto"/>
            <w:bottom w:val="none" w:sz="0" w:space="0" w:color="auto"/>
            <w:right w:val="none" w:sz="0" w:space="0" w:color="auto"/>
          </w:divBdr>
          <w:divsChild>
            <w:div w:id="125161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7550">
      <w:bodyDiv w:val="1"/>
      <w:marLeft w:val="0"/>
      <w:marRight w:val="0"/>
      <w:marTop w:val="0"/>
      <w:marBottom w:val="0"/>
      <w:divBdr>
        <w:top w:val="none" w:sz="0" w:space="0" w:color="auto"/>
        <w:left w:val="none" w:sz="0" w:space="0" w:color="auto"/>
        <w:bottom w:val="none" w:sz="0" w:space="0" w:color="auto"/>
        <w:right w:val="none" w:sz="0" w:space="0" w:color="auto"/>
      </w:divBdr>
    </w:div>
    <w:div w:id="1042754859">
      <w:bodyDiv w:val="1"/>
      <w:marLeft w:val="0"/>
      <w:marRight w:val="0"/>
      <w:marTop w:val="0"/>
      <w:marBottom w:val="0"/>
      <w:divBdr>
        <w:top w:val="none" w:sz="0" w:space="0" w:color="auto"/>
        <w:left w:val="none" w:sz="0" w:space="0" w:color="auto"/>
        <w:bottom w:val="none" w:sz="0" w:space="0" w:color="auto"/>
        <w:right w:val="none" w:sz="0" w:space="0" w:color="auto"/>
      </w:divBdr>
    </w:div>
    <w:div w:id="1044863715">
      <w:bodyDiv w:val="1"/>
      <w:marLeft w:val="0"/>
      <w:marRight w:val="0"/>
      <w:marTop w:val="0"/>
      <w:marBottom w:val="0"/>
      <w:divBdr>
        <w:top w:val="none" w:sz="0" w:space="0" w:color="auto"/>
        <w:left w:val="none" w:sz="0" w:space="0" w:color="auto"/>
        <w:bottom w:val="none" w:sz="0" w:space="0" w:color="auto"/>
        <w:right w:val="none" w:sz="0" w:space="0" w:color="auto"/>
      </w:divBdr>
      <w:divsChild>
        <w:div w:id="82991685">
          <w:marLeft w:val="0"/>
          <w:marRight w:val="0"/>
          <w:marTop w:val="165"/>
          <w:marBottom w:val="165"/>
          <w:divBdr>
            <w:top w:val="none" w:sz="0" w:space="0" w:color="auto"/>
            <w:left w:val="none" w:sz="0" w:space="0" w:color="auto"/>
            <w:bottom w:val="none" w:sz="0" w:space="0" w:color="auto"/>
            <w:right w:val="none" w:sz="0" w:space="0" w:color="auto"/>
          </w:divBdr>
          <w:divsChild>
            <w:div w:id="1246573775">
              <w:marLeft w:val="0"/>
              <w:marRight w:val="0"/>
              <w:marTop w:val="0"/>
              <w:marBottom w:val="0"/>
              <w:divBdr>
                <w:top w:val="none" w:sz="0" w:space="0" w:color="auto"/>
                <w:left w:val="none" w:sz="0" w:space="0" w:color="auto"/>
                <w:bottom w:val="none" w:sz="0" w:space="0" w:color="auto"/>
                <w:right w:val="none" w:sz="0" w:space="0" w:color="auto"/>
              </w:divBdr>
              <w:divsChild>
                <w:div w:id="8717252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17145133">
          <w:marLeft w:val="0"/>
          <w:marRight w:val="0"/>
          <w:marTop w:val="0"/>
          <w:marBottom w:val="0"/>
          <w:divBdr>
            <w:top w:val="none" w:sz="0" w:space="0" w:color="auto"/>
            <w:left w:val="none" w:sz="0" w:space="0" w:color="auto"/>
            <w:bottom w:val="none" w:sz="0" w:space="0" w:color="auto"/>
            <w:right w:val="none" w:sz="0" w:space="0" w:color="auto"/>
          </w:divBdr>
          <w:divsChild>
            <w:div w:id="636184206">
              <w:marLeft w:val="0"/>
              <w:marRight w:val="0"/>
              <w:marTop w:val="0"/>
              <w:marBottom w:val="165"/>
              <w:divBdr>
                <w:top w:val="none" w:sz="0" w:space="0" w:color="auto"/>
                <w:left w:val="none" w:sz="0" w:space="0" w:color="auto"/>
                <w:bottom w:val="none" w:sz="0" w:space="0" w:color="auto"/>
                <w:right w:val="none" w:sz="0" w:space="0" w:color="auto"/>
              </w:divBdr>
            </w:div>
          </w:divsChild>
        </w:div>
      </w:divsChild>
    </w:div>
    <w:div w:id="1045983921">
      <w:bodyDiv w:val="1"/>
      <w:marLeft w:val="0"/>
      <w:marRight w:val="0"/>
      <w:marTop w:val="0"/>
      <w:marBottom w:val="0"/>
      <w:divBdr>
        <w:top w:val="none" w:sz="0" w:space="0" w:color="auto"/>
        <w:left w:val="none" w:sz="0" w:space="0" w:color="auto"/>
        <w:bottom w:val="none" w:sz="0" w:space="0" w:color="auto"/>
        <w:right w:val="none" w:sz="0" w:space="0" w:color="auto"/>
      </w:divBdr>
    </w:div>
    <w:div w:id="1058437109">
      <w:bodyDiv w:val="1"/>
      <w:marLeft w:val="0"/>
      <w:marRight w:val="0"/>
      <w:marTop w:val="0"/>
      <w:marBottom w:val="0"/>
      <w:divBdr>
        <w:top w:val="none" w:sz="0" w:space="0" w:color="auto"/>
        <w:left w:val="none" w:sz="0" w:space="0" w:color="auto"/>
        <w:bottom w:val="none" w:sz="0" w:space="0" w:color="auto"/>
        <w:right w:val="none" w:sz="0" w:space="0" w:color="auto"/>
      </w:divBdr>
    </w:div>
    <w:div w:id="1061052940">
      <w:bodyDiv w:val="1"/>
      <w:marLeft w:val="0"/>
      <w:marRight w:val="0"/>
      <w:marTop w:val="0"/>
      <w:marBottom w:val="0"/>
      <w:divBdr>
        <w:top w:val="none" w:sz="0" w:space="0" w:color="auto"/>
        <w:left w:val="none" w:sz="0" w:space="0" w:color="auto"/>
        <w:bottom w:val="none" w:sz="0" w:space="0" w:color="auto"/>
        <w:right w:val="none" w:sz="0" w:space="0" w:color="auto"/>
      </w:divBdr>
    </w:div>
    <w:div w:id="1072196696">
      <w:bodyDiv w:val="1"/>
      <w:marLeft w:val="0"/>
      <w:marRight w:val="0"/>
      <w:marTop w:val="0"/>
      <w:marBottom w:val="0"/>
      <w:divBdr>
        <w:top w:val="none" w:sz="0" w:space="0" w:color="auto"/>
        <w:left w:val="none" w:sz="0" w:space="0" w:color="auto"/>
        <w:bottom w:val="none" w:sz="0" w:space="0" w:color="auto"/>
        <w:right w:val="none" w:sz="0" w:space="0" w:color="auto"/>
      </w:divBdr>
    </w:div>
    <w:div w:id="1084491602">
      <w:bodyDiv w:val="1"/>
      <w:marLeft w:val="0"/>
      <w:marRight w:val="0"/>
      <w:marTop w:val="0"/>
      <w:marBottom w:val="0"/>
      <w:divBdr>
        <w:top w:val="none" w:sz="0" w:space="0" w:color="auto"/>
        <w:left w:val="none" w:sz="0" w:space="0" w:color="auto"/>
        <w:bottom w:val="none" w:sz="0" w:space="0" w:color="auto"/>
        <w:right w:val="none" w:sz="0" w:space="0" w:color="auto"/>
      </w:divBdr>
    </w:div>
    <w:div w:id="1085567095">
      <w:bodyDiv w:val="1"/>
      <w:marLeft w:val="0"/>
      <w:marRight w:val="0"/>
      <w:marTop w:val="0"/>
      <w:marBottom w:val="0"/>
      <w:divBdr>
        <w:top w:val="none" w:sz="0" w:space="0" w:color="auto"/>
        <w:left w:val="none" w:sz="0" w:space="0" w:color="auto"/>
        <w:bottom w:val="none" w:sz="0" w:space="0" w:color="auto"/>
        <w:right w:val="none" w:sz="0" w:space="0" w:color="auto"/>
      </w:divBdr>
    </w:div>
    <w:div w:id="1091393591">
      <w:bodyDiv w:val="1"/>
      <w:marLeft w:val="0"/>
      <w:marRight w:val="0"/>
      <w:marTop w:val="0"/>
      <w:marBottom w:val="0"/>
      <w:divBdr>
        <w:top w:val="none" w:sz="0" w:space="0" w:color="auto"/>
        <w:left w:val="none" w:sz="0" w:space="0" w:color="auto"/>
        <w:bottom w:val="none" w:sz="0" w:space="0" w:color="auto"/>
        <w:right w:val="none" w:sz="0" w:space="0" w:color="auto"/>
      </w:divBdr>
    </w:div>
    <w:div w:id="1105006127">
      <w:bodyDiv w:val="1"/>
      <w:marLeft w:val="0"/>
      <w:marRight w:val="0"/>
      <w:marTop w:val="0"/>
      <w:marBottom w:val="0"/>
      <w:divBdr>
        <w:top w:val="none" w:sz="0" w:space="0" w:color="auto"/>
        <w:left w:val="none" w:sz="0" w:space="0" w:color="auto"/>
        <w:bottom w:val="none" w:sz="0" w:space="0" w:color="auto"/>
        <w:right w:val="none" w:sz="0" w:space="0" w:color="auto"/>
      </w:divBdr>
    </w:div>
    <w:div w:id="1119224772">
      <w:bodyDiv w:val="1"/>
      <w:marLeft w:val="0"/>
      <w:marRight w:val="0"/>
      <w:marTop w:val="0"/>
      <w:marBottom w:val="0"/>
      <w:divBdr>
        <w:top w:val="none" w:sz="0" w:space="0" w:color="auto"/>
        <w:left w:val="none" w:sz="0" w:space="0" w:color="auto"/>
        <w:bottom w:val="none" w:sz="0" w:space="0" w:color="auto"/>
        <w:right w:val="none" w:sz="0" w:space="0" w:color="auto"/>
      </w:divBdr>
    </w:div>
    <w:div w:id="1124347169">
      <w:bodyDiv w:val="1"/>
      <w:marLeft w:val="0"/>
      <w:marRight w:val="0"/>
      <w:marTop w:val="0"/>
      <w:marBottom w:val="0"/>
      <w:divBdr>
        <w:top w:val="none" w:sz="0" w:space="0" w:color="auto"/>
        <w:left w:val="none" w:sz="0" w:space="0" w:color="auto"/>
        <w:bottom w:val="none" w:sz="0" w:space="0" w:color="auto"/>
        <w:right w:val="none" w:sz="0" w:space="0" w:color="auto"/>
      </w:divBdr>
    </w:div>
    <w:div w:id="1126000643">
      <w:bodyDiv w:val="1"/>
      <w:marLeft w:val="0"/>
      <w:marRight w:val="0"/>
      <w:marTop w:val="0"/>
      <w:marBottom w:val="0"/>
      <w:divBdr>
        <w:top w:val="none" w:sz="0" w:space="0" w:color="auto"/>
        <w:left w:val="none" w:sz="0" w:space="0" w:color="auto"/>
        <w:bottom w:val="none" w:sz="0" w:space="0" w:color="auto"/>
        <w:right w:val="none" w:sz="0" w:space="0" w:color="auto"/>
      </w:divBdr>
    </w:div>
    <w:div w:id="1135878516">
      <w:bodyDiv w:val="1"/>
      <w:marLeft w:val="0"/>
      <w:marRight w:val="0"/>
      <w:marTop w:val="0"/>
      <w:marBottom w:val="0"/>
      <w:divBdr>
        <w:top w:val="none" w:sz="0" w:space="0" w:color="auto"/>
        <w:left w:val="none" w:sz="0" w:space="0" w:color="auto"/>
        <w:bottom w:val="none" w:sz="0" w:space="0" w:color="auto"/>
        <w:right w:val="none" w:sz="0" w:space="0" w:color="auto"/>
      </w:divBdr>
      <w:divsChild>
        <w:div w:id="384959476">
          <w:marLeft w:val="0"/>
          <w:marRight w:val="0"/>
          <w:marTop w:val="0"/>
          <w:marBottom w:val="0"/>
          <w:divBdr>
            <w:top w:val="none" w:sz="0" w:space="0" w:color="auto"/>
            <w:left w:val="none" w:sz="0" w:space="0" w:color="auto"/>
            <w:bottom w:val="none" w:sz="0" w:space="0" w:color="auto"/>
            <w:right w:val="none" w:sz="0" w:space="0" w:color="auto"/>
          </w:divBdr>
        </w:div>
      </w:divsChild>
    </w:div>
    <w:div w:id="1137528064">
      <w:bodyDiv w:val="1"/>
      <w:marLeft w:val="0"/>
      <w:marRight w:val="0"/>
      <w:marTop w:val="0"/>
      <w:marBottom w:val="0"/>
      <w:divBdr>
        <w:top w:val="none" w:sz="0" w:space="0" w:color="auto"/>
        <w:left w:val="none" w:sz="0" w:space="0" w:color="auto"/>
        <w:bottom w:val="none" w:sz="0" w:space="0" w:color="auto"/>
        <w:right w:val="none" w:sz="0" w:space="0" w:color="auto"/>
      </w:divBdr>
    </w:div>
    <w:div w:id="1149514315">
      <w:bodyDiv w:val="1"/>
      <w:marLeft w:val="0"/>
      <w:marRight w:val="0"/>
      <w:marTop w:val="0"/>
      <w:marBottom w:val="0"/>
      <w:divBdr>
        <w:top w:val="none" w:sz="0" w:space="0" w:color="auto"/>
        <w:left w:val="none" w:sz="0" w:space="0" w:color="auto"/>
        <w:bottom w:val="none" w:sz="0" w:space="0" w:color="auto"/>
        <w:right w:val="none" w:sz="0" w:space="0" w:color="auto"/>
      </w:divBdr>
    </w:div>
    <w:div w:id="1154494345">
      <w:bodyDiv w:val="1"/>
      <w:marLeft w:val="0"/>
      <w:marRight w:val="0"/>
      <w:marTop w:val="0"/>
      <w:marBottom w:val="0"/>
      <w:divBdr>
        <w:top w:val="none" w:sz="0" w:space="0" w:color="auto"/>
        <w:left w:val="none" w:sz="0" w:space="0" w:color="auto"/>
        <w:bottom w:val="none" w:sz="0" w:space="0" w:color="auto"/>
        <w:right w:val="none" w:sz="0" w:space="0" w:color="auto"/>
      </w:divBdr>
    </w:div>
    <w:div w:id="1157190191">
      <w:bodyDiv w:val="1"/>
      <w:marLeft w:val="0"/>
      <w:marRight w:val="0"/>
      <w:marTop w:val="0"/>
      <w:marBottom w:val="0"/>
      <w:divBdr>
        <w:top w:val="none" w:sz="0" w:space="0" w:color="auto"/>
        <w:left w:val="none" w:sz="0" w:space="0" w:color="auto"/>
        <w:bottom w:val="none" w:sz="0" w:space="0" w:color="auto"/>
        <w:right w:val="none" w:sz="0" w:space="0" w:color="auto"/>
      </w:divBdr>
    </w:div>
    <w:div w:id="1176773431">
      <w:bodyDiv w:val="1"/>
      <w:marLeft w:val="0"/>
      <w:marRight w:val="0"/>
      <w:marTop w:val="0"/>
      <w:marBottom w:val="0"/>
      <w:divBdr>
        <w:top w:val="none" w:sz="0" w:space="0" w:color="auto"/>
        <w:left w:val="none" w:sz="0" w:space="0" w:color="auto"/>
        <w:bottom w:val="none" w:sz="0" w:space="0" w:color="auto"/>
        <w:right w:val="none" w:sz="0" w:space="0" w:color="auto"/>
      </w:divBdr>
    </w:div>
    <w:div w:id="1187216066">
      <w:bodyDiv w:val="1"/>
      <w:marLeft w:val="0"/>
      <w:marRight w:val="0"/>
      <w:marTop w:val="0"/>
      <w:marBottom w:val="0"/>
      <w:divBdr>
        <w:top w:val="none" w:sz="0" w:space="0" w:color="auto"/>
        <w:left w:val="none" w:sz="0" w:space="0" w:color="auto"/>
        <w:bottom w:val="none" w:sz="0" w:space="0" w:color="auto"/>
        <w:right w:val="none" w:sz="0" w:space="0" w:color="auto"/>
      </w:divBdr>
    </w:div>
    <w:div w:id="1231967721">
      <w:bodyDiv w:val="1"/>
      <w:marLeft w:val="0"/>
      <w:marRight w:val="0"/>
      <w:marTop w:val="0"/>
      <w:marBottom w:val="0"/>
      <w:divBdr>
        <w:top w:val="none" w:sz="0" w:space="0" w:color="auto"/>
        <w:left w:val="none" w:sz="0" w:space="0" w:color="auto"/>
        <w:bottom w:val="none" w:sz="0" w:space="0" w:color="auto"/>
        <w:right w:val="none" w:sz="0" w:space="0" w:color="auto"/>
      </w:divBdr>
    </w:div>
    <w:div w:id="1249074772">
      <w:bodyDiv w:val="1"/>
      <w:marLeft w:val="0"/>
      <w:marRight w:val="0"/>
      <w:marTop w:val="0"/>
      <w:marBottom w:val="0"/>
      <w:divBdr>
        <w:top w:val="none" w:sz="0" w:space="0" w:color="auto"/>
        <w:left w:val="none" w:sz="0" w:space="0" w:color="auto"/>
        <w:bottom w:val="none" w:sz="0" w:space="0" w:color="auto"/>
        <w:right w:val="none" w:sz="0" w:space="0" w:color="auto"/>
      </w:divBdr>
    </w:div>
    <w:div w:id="1280574749">
      <w:bodyDiv w:val="1"/>
      <w:marLeft w:val="0"/>
      <w:marRight w:val="0"/>
      <w:marTop w:val="0"/>
      <w:marBottom w:val="0"/>
      <w:divBdr>
        <w:top w:val="none" w:sz="0" w:space="0" w:color="auto"/>
        <w:left w:val="none" w:sz="0" w:space="0" w:color="auto"/>
        <w:bottom w:val="none" w:sz="0" w:space="0" w:color="auto"/>
        <w:right w:val="none" w:sz="0" w:space="0" w:color="auto"/>
      </w:divBdr>
    </w:div>
    <w:div w:id="1322655455">
      <w:bodyDiv w:val="1"/>
      <w:marLeft w:val="0"/>
      <w:marRight w:val="0"/>
      <w:marTop w:val="0"/>
      <w:marBottom w:val="0"/>
      <w:divBdr>
        <w:top w:val="none" w:sz="0" w:space="0" w:color="auto"/>
        <w:left w:val="none" w:sz="0" w:space="0" w:color="auto"/>
        <w:bottom w:val="none" w:sz="0" w:space="0" w:color="auto"/>
        <w:right w:val="none" w:sz="0" w:space="0" w:color="auto"/>
      </w:divBdr>
    </w:div>
    <w:div w:id="1379430213">
      <w:bodyDiv w:val="1"/>
      <w:marLeft w:val="0"/>
      <w:marRight w:val="0"/>
      <w:marTop w:val="0"/>
      <w:marBottom w:val="0"/>
      <w:divBdr>
        <w:top w:val="none" w:sz="0" w:space="0" w:color="auto"/>
        <w:left w:val="none" w:sz="0" w:space="0" w:color="auto"/>
        <w:bottom w:val="none" w:sz="0" w:space="0" w:color="auto"/>
        <w:right w:val="none" w:sz="0" w:space="0" w:color="auto"/>
      </w:divBdr>
    </w:div>
    <w:div w:id="1401245260">
      <w:bodyDiv w:val="1"/>
      <w:marLeft w:val="0"/>
      <w:marRight w:val="0"/>
      <w:marTop w:val="0"/>
      <w:marBottom w:val="0"/>
      <w:divBdr>
        <w:top w:val="none" w:sz="0" w:space="0" w:color="auto"/>
        <w:left w:val="none" w:sz="0" w:space="0" w:color="auto"/>
        <w:bottom w:val="none" w:sz="0" w:space="0" w:color="auto"/>
        <w:right w:val="none" w:sz="0" w:space="0" w:color="auto"/>
      </w:divBdr>
    </w:div>
    <w:div w:id="1414352189">
      <w:bodyDiv w:val="1"/>
      <w:marLeft w:val="0"/>
      <w:marRight w:val="0"/>
      <w:marTop w:val="0"/>
      <w:marBottom w:val="0"/>
      <w:divBdr>
        <w:top w:val="none" w:sz="0" w:space="0" w:color="auto"/>
        <w:left w:val="none" w:sz="0" w:space="0" w:color="auto"/>
        <w:bottom w:val="none" w:sz="0" w:space="0" w:color="auto"/>
        <w:right w:val="none" w:sz="0" w:space="0" w:color="auto"/>
      </w:divBdr>
    </w:div>
    <w:div w:id="1418094577">
      <w:bodyDiv w:val="1"/>
      <w:marLeft w:val="0"/>
      <w:marRight w:val="0"/>
      <w:marTop w:val="0"/>
      <w:marBottom w:val="0"/>
      <w:divBdr>
        <w:top w:val="none" w:sz="0" w:space="0" w:color="auto"/>
        <w:left w:val="none" w:sz="0" w:space="0" w:color="auto"/>
        <w:bottom w:val="none" w:sz="0" w:space="0" w:color="auto"/>
        <w:right w:val="none" w:sz="0" w:space="0" w:color="auto"/>
      </w:divBdr>
    </w:div>
    <w:div w:id="1431394269">
      <w:bodyDiv w:val="1"/>
      <w:marLeft w:val="0"/>
      <w:marRight w:val="0"/>
      <w:marTop w:val="0"/>
      <w:marBottom w:val="0"/>
      <w:divBdr>
        <w:top w:val="none" w:sz="0" w:space="0" w:color="auto"/>
        <w:left w:val="none" w:sz="0" w:space="0" w:color="auto"/>
        <w:bottom w:val="none" w:sz="0" w:space="0" w:color="auto"/>
        <w:right w:val="none" w:sz="0" w:space="0" w:color="auto"/>
      </w:divBdr>
    </w:div>
    <w:div w:id="1439525264">
      <w:bodyDiv w:val="1"/>
      <w:marLeft w:val="0"/>
      <w:marRight w:val="0"/>
      <w:marTop w:val="0"/>
      <w:marBottom w:val="0"/>
      <w:divBdr>
        <w:top w:val="none" w:sz="0" w:space="0" w:color="auto"/>
        <w:left w:val="none" w:sz="0" w:space="0" w:color="auto"/>
        <w:bottom w:val="none" w:sz="0" w:space="0" w:color="auto"/>
        <w:right w:val="none" w:sz="0" w:space="0" w:color="auto"/>
      </w:divBdr>
    </w:div>
    <w:div w:id="1463690513">
      <w:bodyDiv w:val="1"/>
      <w:marLeft w:val="0"/>
      <w:marRight w:val="0"/>
      <w:marTop w:val="0"/>
      <w:marBottom w:val="0"/>
      <w:divBdr>
        <w:top w:val="none" w:sz="0" w:space="0" w:color="auto"/>
        <w:left w:val="none" w:sz="0" w:space="0" w:color="auto"/>
        <w:bottom w:val="none" w:sz="0" w:space="0" w:color="auto"/>
        <w:right w:val="none" w:sz="0" w:space="0" w:color="auto"/>
      </w:divBdr>
    </w:div>
    <w:div w:id="1473599585">
      <w:bodyDiv w:val="1"/>
      <w:marLeft w:val="0"/>
      <w:marRight w:val="0"/>
      <w:marTop w:val="0"/>
      <w:marBottom w:val="0"/>
      <w:divBdr>
        <w:top w:val="none" w:sz="0" w:space="0" w:color="auto"/>
        <w:left w:val="none" w:sz="0" w:space="0" w:color="auto"/>
        <w:bottom w:val="none" w:sz="0" w:space="0" w:color="auto"/>
        <w:right w:val="none" w:sz="0" w:space="0" w:color="auto"/>
      </w:divBdr>
    </w:div>
    <w:div w:id="1482842905">
      <w:bodyDiv w:val="1"/>
      <w:marLeft w:val="0"/>
      <w:marRight w:val="0"/>
      <w:marTop w:val="0"/>
      <w:marBottom w:val="0"/>
      <w:divBdr>
        <w:top w:val="none" w:sz="0" w:space="0" w:color="auto"/>
        <w:left w:val="none" w:sz="0" w:space="0" w:color="auto"/>
        <w:bottom w:val="none" w:sz="0" w:space="0" w:color="auto"/>
        <w:right w:val="none" w:sz="0" w:space="0" w:color="auto"/>
      </w:divBdr>
    </w:div>
    <w:div w:id="1483696521">
      <w:bodyDiv w:val="1"/>
      <w:marLeft w:val="0"/>
      <w:marRight w:val="0"/>
      <w:marTop w:val="0"/>
      <w:marBottom w:val="0"/>
      <w:divBdr>
        <w:top w:val="none" w:sz="0" w:space="0" w:color="auto"/>
        <w:left w:val="none" w:sz="0" w:space="0" w:color="auto"/>
        <w:bottom w:val="none" w:sz="0" w:space="0" w:color="auto"/>
        <w:right w:val="none" w:sz="0" w:space="0" w:color="auto"/>
      </w:divBdr>
    </w:div>
    <w:div w:id="1491558198">
      <w:bodyDiv w:val="1"/>
      <w:marLeft w:val="0"/>
      <w:marRight w:val="0"/>
      <w:marTop w:val="0"/>
      <w:marBottom w:val="0"/>
      <w:divBdr>
        <w:top w:val="none" w:sz="0" w:space="0" w:color="auto"/>
        <w:left w:val="none" w:sz="0" w:space="0" w:color="auto"/>
        <w:bottom w:val="none" w:sz="0" w:space="0" w:color="auto"/>
        <w:right w:val="none" w:sz="0" w:space="0" w:color="auto"/>
      </w:divBdr>
    </w:div>
    <w:div w:id="1534072959">
      <w:bodyDiv w:val="1"/>
      <w:marLeft w:val="0"/>
      <w:marRight w:val="0"/>
      <w:marTop w:val="0"/>
      <w:marBottom w:val="0"/>
      <w:divBdr>
        <w:top w:val="none" w:sz="0" w:space="0" w:color="auto"/>
        <w:left w:val="none" w:sz="0" w:space="0" w:color="auto"/>
        <w:bottom w:val="none" w:sz="0" w:space="0" w:color="auto"/>
        <w:right w:val="none" w:sz="0" w:space="0" w:color="auto"/>
      </w:divBdr>
    </w:div>
    <w:div w:id="1538539994">
      <w:bodyDiv w:val="1"/>
      <w:marLeft w:val="0"/>
      <w:marRight w:val="0"/>
      <w:marTop w:val="0"/>
      <w:marBottom w:val="0"/>
      <w:divBdr>
        <w:top w:val="none" w:sz="0" w:space="0" w:color="auto"/>
        <w:left w:val="none" w:sz="0" w:space="0" w:color="auto"/>
        <w:bottom w:val="none" w:sz="0" w:space="0" w:color="auto"/>
        <w:right w:val="none" w:sz="0" w:space="0" w:color="auto"/>
      </w:divBdr>
    </w:div>
    <w:div w:id="1549492021">
      <w:bodyDiv w:val="1"/>
      <w:marLeft w:val="0"/>
      <w:marRight w:val="0"/>
      <w:marTop w:val="0"/>
      <w:marBottom w:val="0"/>
      <w:divBdr>
        <w:top w:val="none" w:sz="0" w:space="0" w:color="auto"/>
        <w:left w:val="none" w:sz="0" w:space="0" w:color="auto"/>
        <w:bottom w:val="none" w:sz="0" w:space="0" w:color="auto"/>
        <w:right w:val="none" w:sz="0" w:space="0" w:color="auto"/>
      </w:divBdr>
    </w:div>
    <w:div w:id="1558778080">
      <w:bodyDiv w:val="1"/>
      <w:marLeft w:val="0"/>
      <w:marRight w:val="0"/>
      <w:marTop w:val="0"/>
      <w:marBottom w:val="0"/>
      <w:divBdr>
        <w:top w:val="none" w:sz="0" w:space="0" w:color="auto"/>
        <w:left w:val="none" w:sz="0" w:space="0" w:color="auto"/>
        <w:bottom w:val="none" w:sz="0" w:space="0" w:color="auto"/>
        <w:right w:val="none" w:sz="0" w:space="0" w:color="auto"/>
      </w:divBdr>
    </w:div>
    <w:div w:id="1581527485">
      <w:bodyDiv w:val="1"/>
      <w:marLeft w:val="0"/>
      <w:marRight w:val="0"/>
      <w:marTop w:val="0"/>
      <w:marBottom w:val="0"/>
      <w:divBdr>
        <w:top w:val="none" w:sz="0" w:space="0" w:color="auto"/>
        <w:left w:val="none" w:sz="0" w:space="0" w:color="auto"/>
        <w:bottom w:val="none" w:sz="0" w:space="0" w:color="auto"/>
        <w:right w:val="none" w:sz="0" w:space="0" w:color="auto"/>
      </w:divBdr>
    </w:div>
    <w:div w:id="1582107220">
      <w:bodyDiv w:val="1"/>
      <w:marLeft w:val="0"/>
      <w:marRight w:val="0"/>
      <w:marTop w:val="0"/>
      <w:marBottom w:val="0"/>
      <w:divBdr>
        <w:top w:val="none" w:sz="0" w:space="0" w:color="auto"/>
        <w:left w:val="none" w:sz="0" w:space="0" w:color="auto"/>
        <w:bottom w:val="none" w:sz="0" w:space="0" w:color="auto"/>
        <w:right w:val="none" w:sz="0" w:space="0" w:color="auto"/>
      </w:divBdr>
    </w:div>
    <w:div w:id="1602029720">
      <w:bodyDiv w:val="1"/>
      <w:marLeft w:val="0"/>
      <w:marRight w:val="0"/>
      <w:marTop w:val="0"/>
      <w:marBottom w:val="0"/>
      <w:divBdr>
        <w:top w:val="none" w:sz="0" w:space="0" w:color="auto"/>
        <w:left w:val="none" w:sz="0" w:space="0" w:color="auto"/>
        <w:bottom w:val="none" w:sz="0" w:space="0" w:color="auto"/>
        <w:right w:val="none" w:sz="0" w:space="0" w:color="auto"/>
      </w:divBdr>
    </w:div>
    <w:div w:id="1605922916">
      <w:bodyDiv w:val="1"/>
      <w:marLeft w:val="0"/>
      <w:marRight w:val="0"/>
      <w:marTop w:val="0"/>
      <w:marBottom w:val="0"/>
      <w:divBdr>
        <w:top w:val="none" w:sz="0" w:space="0" w:color="auto"/>
        <w:left w:val="none" w:sz="0" w:space="0" w:color="auto"/>
        <w:bottom w:val="none" w:sz="0" w:space="0" w:color="auto"/>
        <w:right w:val="none" w:sz="0" w:space="0" w:color="auto"/>
      </w:divBdr>
    </w:div>
    <w:div w:id="1621917492">
      <w:bodyDiv w:val="1"/>
      <w:marLeft w:val="0"/>
      <w:marRight w:val="0"/>
      <w:marTop w:val="0"/>
      <w:marBottom w:val="0"/>
      <w:divBdr>
        <w:top w:val="none" w:sz="0" w:space="0" w:color="auto"/>
        <w:left w:val="none" w:sz="0" w:space="0" w:color="auto"/>
        <w:bottom w:val="none" w:sz="0" w:space="0" w:color="auto"/>
        <w:right w:val="none" w:sz="0" w:space="0" w:color="auto"/>
      </w:divBdr>
    </w:div>
    <w:div w:id="1641883884">
      <w:bodyDiv w:val="1"/>
      <w:marLeft w:val="0"/>
      <w:marRight w:val="0"/>
      <w:marTop w:val="0"/>
      <w:marBottom w:val="0"/>
      <w:divBdr>
        <w:top w:val="none" w:sz="0" w:space="0" w:color="auto"/>
        <w:left w:val="none" w:sz="0" w:space="0" w:color="auto"/>
        <w:bottom w:val="none" w:sz="0" w:space="0" w:color="auto"/>
        <w:right w:val="none" w:sz="0" w:space="0" w:color="auto"/>
      </w:divBdr>
    </w:div>
    <w:div w:id="1677925976">
      <w:bodyDiv w:val="1"/>
      <w:marLeft w:val="0"/>
      <w:marRight w:val="0"/>
      <w:marTop w:val="0"/>
      <w:marBottom w:val="0"/>
      <w:divBdr>
        <w:top w:val="none" w:sz="0" w:space="0" w:color="auto"/>
        <w:left w:val="none" w:sz="0" w:space="0" w:color="auto"/>
        <w:bottom w:val="none" w:sz="0" w:space="0" w:color="auto"/>
        <w:right w:val="none" w:sz="0" w:space="0" w:color="auto"/>
      </w:divBdr>
    </w:div>
    <w:div w:id="1687167777">
      <w:bodyDiv w:val="1"/>
      <w:marLeft w:val="0"/>
      <w:marRight w:val="0"/>
      <w:marTop w:val="0"/>
      <w:marBottom w:val="0"/>
      <w:divBdr>
        <w:top w:val="none" w:sz="0" w:space="0" w:color="auto"/>
        <w:left w:val="none" w:sz="0" w:space="0" w:color="auto"/>
        <w:bottom w:val="none" w:sz="0" w:space="0" w:color="auto"/>
        <w:right w:val="none" w:sz="0" w:space="0" w:color="auto"/>
      </w:divBdr>
    </w:div>
    <w:div w:id="1703094688">
      <w:bodyDiv w:val="1"/>
      <w:marLeft w:val="0"/>
      <w:marRight w:val="0"/>
      <w:marTop w:val="0"/>
      <w:marBottom w:val="0"/>
      <w:divBdr>
        <w:top w:val="none" w:sz="0" w:space="0" w:color="auto"/>
        <w:left w:val="none" w:sz="0" w:space="0" w:color="auto"/>
        <w:bottom w:val="none" w:sz="0" w:space="0" w:color="auto"/>
        <w:right w:val="none" w:sz="0" w:space="0" w:color="auto"/>
      </w:divBdr>
    </w:div>
    <w:div w:id="1704553161">
      <w:bodyDiv w:val="1"/>
      <w:marLeft w:val="0"/>
      <w:marRight w:val="0"/>
      <w:marTop w:val="0"/>
      <w:marBottom w:val="0"/>
      <w:divBdr>
        <w:top w:val="none" w:sz="0" w:space="0" w:color="auto"/>
        <w:left w:val="none" w:sz="0" w:space="0" w:color="auto"/>
        <w:bottom w:val="none" w:sz="0" w:space="0" w:color="auto"/>
        <w:right w:val="none" w:sz="0" w:space="0" w:color="auto"/>
      </w:divBdr>
    </w:div>
    <w:div w:id="1734810395">
      <w:bodyDiv w:val="1"/>
      <w:marLeft w:val="0"/>
      <w:marRight w:val="0"/>
      <w:marTop w:val="0"/>
      <w:marBottom w:val="0"/>
      <w:divBdr>
        <w:top w:val="none" w:sz="0" w:space="0" w:color="auto"/>
        <w:left w:val="none" w:sz="0" w:space="0" w:color="auto"/>
        <w:bottom w:val="none" w:sz="0" w:space="0" w:color="auto"/>
        <w:right w:val="none" w:sz="0" w:space="0" w:color="auto"/>
      </w:divBdr>
    </w:div>
    <w:div w:id="1743677780">
      <w:bodyDiv w:val="1"/>
      <w:marLeft w:val="0"/>
      <w:marRight w:val="0"/>
      <w:marTop w:val="0"/>
      <w:marBottom w:val="0"/>
      <w:divBdr>
        <w:top w:val="none" w:sz="0" w:space="0" w:color="auto"/>
        <w:left w:val="none" w:sz="0" w:space="0" w:color="auto"/>
        <w:bottom w:val="none" w:sz="0" w:space="0" w:color="auto"/>
        <w:right w:val="none" w:sz="0" w:space="0" w:color="auto"/>
      </w:divBdr>
    </w:div>
    <w:div w:id="1745183000">
      <w:bodyDiv w:val="1"/>
      <w:marLeft w:val="0"/>
      <w:marRight w:val="0"/>
      <w:marTop w:val="0"/>
      <w:marBottom w:val="0"/>
      <w:divBdr>
        <w:top w:val="none" w:sz="0" w:space="0" w:color="auto"/>
        <w:left w:val="none" w:sz="0" w:space="0" w:color="auto"/>
        <w:bottom w:val="none" w:sz="0" w:space="0" w:color="auto"/>
        <w:right w:val="none" w:sz="0" w:space="0" w:color="auto"/>
      </w:divBdr>
    </w:div>
    <w:div w:id="1758672649">
      <w:bodyDiv w:val="1"/>
      <w:marLeft w:val="0"/>
      <w:marRight w:val="0"/>
      <w:marTop w:val="0"/>
      <w:marBottom w:val="0"/>
      <w:divBdr>
        <w:top w:val="none" w:sz="0" w:space="0" w:color="auto"/>
        <w:left w:val="none" w:sz="0" w:space="0" w:color="auto"/>
        <w:bottom w:val="none" w:sz="0" w:space="0" w:color="auto"/>
        <w:right w:val="none" w:sz="0" w:space="0" w:color="auto"/>
      </w:divBdr>
    </w:div>
    <w:div w:id="1760758937">
      <w:bodyDiv w:val="1"/>
      <w:marLeft w:val="0"/>
      <w:marRight w:val="0"/>
      <w:marTop w:val="0"/>
      <w:marBottom w:val="0"/>
      <w:divBdr>
        <w:top w:val="none" w:sz="0" w:space="0" w:color="auto"/>
        <w:left w:val="none" w:sz="0" w:space="0" w:color="auto"/>
        <w:bottom w:val="none" w:sz="0" w:space="0" w:color="auto"/>
        <w:right w:val="none" w:sz="0" w:space="0" w:color="auto"/>
      </w:divBdr>
    </w:div>
    <w:div w:id="1761443282">
      <w:bodyDiv w:val="1"/>
      <w:marLeft w:val="0"/>
      <w:marRight w:val="0"/>
      <w:marTop w:val="0"/>
      <w:marBottom w:val="0"/>
      <w:divBdr>
        <w:top w:val="none" w:sz="0" w:space="0" w:color="auto"/>
        <w:left w:val="none" w:sz="0" w:space="0" w:color="auto"/>
        <w:bottom w:val="none" w:sz="0" w:space="0" w:color="auto"/>
        <w:right w:val="none" w:sz="0" w:space="0" w:color="auto"/>
      </w:divBdr>
    </w:div>
    <w:div w:id="1793744447">
      <w:bodyDiv w:val="1"/>
      <w:marLeft w:val="0"/>
      <w:marRight w:val="0"/>
      <w:marTop w:val="0"/>
      <w:marBottom w:val="0"/>
      <w:divBdr>
        <w:top w:val="none" w:sz="0" w:space="0" w:color="auto"/>
        <w:left w:val="none" w:sz="0" w:space="0" w:color="auto"/>
        <w:bottom w:val="none" w:sz="0" w:space="0" w:color="auto"/>
        <w:right w:val="none" w:sz="0" w:space="0" w:color="auto"/>
      </w:divBdr>
    </w:div>
    <w:div w:id="1834642967">
      <w:bodyDiv w:val="1"/>
      <w:marLeft w:val="0"/>
      <w:marRight w:val="0"/>
      <w:marTop w:val="0"/>
      <w:marBottom w:val="0"/>
      <w:divBdr>
        <w:top w:val="none" w:sz="0" w:space="0" w:color="auto"/>
        <w:left w:val="none" w:sz="0" w:space="0" w:color="auto"/>
        <w:bottom w:val="none" w:sz="0" w:space="0" w:color="auto"/>
        <w:right w:val="none" w:sz="0" w:space="0" w:color="auto"/>
      </w:divBdr>
    </w:div>
    <w:div w:id="1836918639">
      <w:bodyDiv w:val="1"/>
      <w:marLeft w:val="0"/>
      <w:marRight w:val="0"/>
      <w:marTop w:val="0"/>
      <w:marBottom w:val="0"/>
      <w:divBdr>
        <w:top w:val="none" w:sz="0" w:space="0" w:color="auto"/>
        <w:left w:val="none" w:sz="0" w:space="0" w:color="auto"/>
        <w:bottom w:val="none" w:sz="0" w:space="0" w:color="auto"/>
        <w:right w:val="none" w:sz="0" w:space="0" w:color="auto"/>
      </w:divBdr>
    </w:div>
    <w:div w:id="1850635986">
      <w:bodyDiv w:val="1"/>
      <w:marLeft w:val="0"/>
      <w:marRight w:val="0"/>
      <w:marTop w:val="0"/>
      <w:marBottom w:val="0"/>
      <w:divBdr>
        <w:top w:val="none" w:sz="0" w:space="0" w:color="auto"/>
        <w:left w:val="none" w:sz="0" w:space="0" w:color="auto"/>
        <w:bottom w:val="none" w:sz="0" w:space="0" w:color="auto"/>
        <w:right w:val="none" w:sz="0" w:space="0" w:color="auto"/>
      </w:divBdr>
    </w:div>
    <w:div w:id="1851482344">
      <w:bodyDiv w:val="1"/>
      <w:marLeft w:val="0"/>
      <w:marRight w:val="0"/>
      <w:marTop w:val="0"/>
      <w:marBottom w:val="0"/>
      <w:divBdr>
        <w:top w:val="none" w:sz="0" w:space="0" w:color="auto"/>
        <w:left w:val="none" w:sz="0" w:space="0" w:color="auto"/>
        <w:bottom w:val="none" w:sz="0" w:space="0" w:color="auto"/>
        <w:right w:val="none" w:sz="0" w:space="0" w:color="auto"/>
      </w:divBdr>
    </w:div>
    <w:div w:id="1870070532">
      <w:bodyDiv w:val="1"/>
      <w:marLeft w:val="0"/>
      <w:marRight w:val="0"/>
      <w:marTop w:val="0"/>
      <w:marBottom w:val="0"/>
      <w:divBdr>
        <w:top w:val="none" w:sz="0" w:space="0" w:color="auto"/>
        <w:left w:val="none" w:sz="0" w:space="0" w:color="auto"/>
        <w:bottom w:val="none" w:sz="0" w:space="0" w:color="auto"/>
        <w:right w:val="none" w:sz="0" w:space="0" w:color="auto"/>
      </w:divBdr>
    </w:div>
    <w:div w:id="1875380819">
      <w:bodyDiv w:val="1"/>
      <w:marLeft w:val="0"/>
      <w:marRight w:val="0"/>
      <w:marTop w:val="0"/>
      <w:marBottom w:val="0"/>
      <w:divBdr>
        <w:top w:val="none" w:sz="0" w:space="0" w:color="auto"/>
        <w:left w:val="none" w:sz="0" w:space="0" w:color="auto"/>
        <w:bottom w:val="none" w:sz="0" w:space="0" w:color="auto"/>
        <w:right w:val="none" w:sz="0" w:space="0" w:color="auto"/>
      </w:divBdr>
    </w:div>
    <w:div w:id="1882471092">
      <w:bodyDiv w:val="1"/>
      <w:marLeft w:val="0"/>
      <w:marRight w:val="0"/>
      <w:marTop w:val="0"/>
      <w:marBottom w:val="0"/>
      <w:divBdr>
        <w:top w:val="none" w:sz="0" w:space="0" w:color="auto"/>
        <w:left w:val="none" w:sz="0" w:space="0" w:color="auto"/>
        <w:bottom w:val="none" w:sz="0" w:space="0" w:color="auto"/>
        <w:right w:val="none" w:sz="0" w:space="0" w:color="auto"/>
      </w:divBdr>
    </w:div>
    <w:div w:id="1892183328">
      <w:bodyDiv w:val="1"/>
      <w:marLeft w:val="0"/>
      <w:marRight w:val="0"/>
      <w:marTop w:val="0"/>
      <w:marBottom w:val="0"/>
      <w:divBdr>
        <w:top w:val="none" w:sz="0" w:space="0" w:color="auto"/>
        <w:left w:val="none" w:sz="0" w:space="0" w:color="auto"/>
        <w:bottom w:val="none" w:sz="0" w:space="0" w:color="auto"/>
        <w:right w:val="none" w:sz="0" w:space="0" w:color="auto"/>
      </w:divBdr>
    </w:div>
    <w:div w:id="1936547404">
      <w:bodyDiv w:val="1"/>
      <w:marLeft w:val="0"/>
      <w:marRight w:val="0"/>
      <w:marTop w:val="0"/>
      <w:marBottom w:val="0"/>
      <w:divBdr>
        <w:top w:val="none" w:sz="0" w:space="0" w:color="auto"/>
        <w:left w:val="none" w:sz="0" w:space="0" w:color="auto"/>
        <w:bottom w:val="none" w:sz="0" w:space="0" w:color="auto"/>
        <w:right w:val="none" w:sz="0" w:space="0" w:color="auto"/>
      </w:divBdr>
    </w:div>
    <w:div w:id="1938974295">
      <w:bodyDiv w:val="1"/>
      <w:marLeft w:val="0"/>
      <w:marRight w:val="0"/>
      <w:marTop w:val="0"/>
      <w:marBottom w:val="0"/>
      <w:divBdr>
        <w:top w:val="none" w:sz="0" w:space="0" w:color="auto"/>
        <w:left w:val="none" w:sz="0" w:space="0" w:color="auto"/>
        <w:bottom w:val="none" w:sz="0" w:space="0" w:color="auto"/>
        <w:right w:val="none" w:sz="0" w:space="0" w:color="auto"/>
      </w:divBdr>
    </w:div>
    <w:div w:id="1951163679">
      <w:bodyDiv w:val="1"/>
      <w:marLeft w:val="0"/>
      <w:marRight w:val="0"/>
      <w:marTop w:val="0"/>
      <w:marBottom w:val="0"/>
      <w:divBdr>
        <w:top w:val="none" w:sz="0" w:space="0" w:color="auto"/>
        <w:left w:val="none" w:sz="0" w:space="0" w:color="auto"/>
        <w:bottom w:val="none" w:sz="0" w:space="0" w:color="auto"/>
        <w:right w:val="none" w:sz="0" w:space="0" w:color="auto"/>
      </w:divBdr>
    </w:div>
    <w:div w:id="1955360646">
      <w:bodyDiv w:val="1"/>
      <w:marLeft w:val="0"/>
      <w:marRight w:val="0"/>
      <w:marTop w:val="0"/>
      <w:marBottom w:val="0"/>
      <w:divBdr>
        <w:top w:val="none" w:sz="0" w:space="0" w:color="auto"/>
        <w:left w:val="none" w:sz="0" w:space="0" w:color="auto"/>
        <w:bottom w:val="none" w:sz="0" w:space="0" w:color="auto"/>
        <w:right w:val="none" w:sz="0" w:space="0" w:color="auto"/>
      </w:divBdr>
    </w:div>
    <w:div w:id="2019850565">
      <w:bodyDiv w:val="1"/>
      <w:marLeft w:val="0"/>
      <w:marRight w:val="0"/>
      <w:marTop w:val="0"/>
      <w:marBottom w:val="0"/>
      <w:divBdr>
        <w:top w:val="none" w:sz="0" w:space="0" w:color="auto"/>
        <w:left w:val="none" w:sz="0" w:space="0" w:color="auto"/>
        <w:bottom w:val="none" w:sz="0" w:space="0" w:color="auto"/>
        <w:right w:val="none" w:sz="0" w:space="0" w:color="auto"/>
      </w:divBdr>
    </w:div>
    <w:div w:id="2026054320">
      <w:bodyDiv w:val="1"/>
      <w:marLeft w:val="0"/>
      <w:marRight w:val="0"/>
      <w:marTop w:val="0"/>
      <w:marBottom w:val="0"/>
      <w:divBdr>
        <w:top w:val="none" w:sz="0" w:space="0" w:color="auto"/>
        <w:left w:val="none" w:sz="0" w:space="0" w:color="auto"/>
        <w:bottom w:val="none" w:sz="0" w:space="0" w:color="auto"/>
        <w:right w:val="none" w:sz="0" w:space="0" w:color="auto"/>
      </w:divBdr>
    </w:div>
    <w:div w:id="2031486179">
      <w:bodyDiv w:val="1"/>
      <w:marLeft w:val="0"/>
      <w:marRight w:val="0"/>
      <w:marTop w:val="0"/>
      <w:marBottom w:val="0"/>
      <w:divBdr>
        <w:top w:val="none" w:sz="0" w:space="0" w:color="auto"/>
        <w:left w:val="none" w:sz="0" w:space="0" w:color="auto"/>
        <w:bottom w:val="none" w:sz="0" w:space="0" w:color="auto"/>
        <w:right w:val="none" w:sz="0" w:space="0" w:color="auto"/>
      </w:divBdr>
    </w:div>
    <w:div w:id="2039626081">
      <w:bodyDiv w:val="1"/>
      <w:marLeft w:val="0"/>
      <w:marRight w:val="0"/>
      <w:marTop w:val="0"/>
      <w:marBottom w:val="0"/>
      <w:divBdr>
        <w:top w:val="none" w:sz="0" w:space="0" w:color="auto"/>
        <w:left w:val="none" w:sz="0" w:space="0" w:color="auto"/>
        <w:bottom w:val="none" w:sz="0" w:space="0" w:color="auto"/>
        <w:right w:val="none" w:sz="0" w:space="0" w:color="auto"/>
      </w:divBdr>
    </w:div>
    <w:div w:id="2042702037">
      <w:bodyDiv w:val="1"/>
      <w:marLeft w:val="0"/>
      <w:marRight w:val="0"/>
      <w:marTop w:val="0"/>
      <w:marBottom w:val="0"/>
      <w:divBdr>
        <w:top w:val="none" w:sz="0" w:space="0" w:color="auto"/>
        <w:left w:val="none" w:sz="0" w:space="0" w:color="auto"/>
        <w:bottom w:val="none" w:sz="0" w:space="0" w:color="auto"/>
        <w:right w:val="none" w:sz="0" w:space="0" w:color="auto"/>
      </w:divBdr>
    </w:div>
    <w:div w:id="2046321133">
      <w:bodyDiv w:val="1"/>
      <w:marLeft w:val="0"/>
      <w:marRight w:val="0"/>
      <w:marTop w:val="0"/>
      <w:marBottom w:val="0"/>
      <w:divBdr>
        <w:top w:val="none" w:sz="0" w:space="0" w:color="auto"/>
        <w:left w:val="none" w:sz="0" w:space="0" w:color="auto"/>
        <w:bottom w:val="none" w:sz="0" w:space="0" w:color="auto"/>
        <w:right w:val="none" w:sz="0" w:space="0" w:color="auto"/>
      </w:divBdr>
    </w:div>
    <w:div w:id="2050491300">
      <w:bodyDiv w:val="1"/>
      <w:marLeft w:val="0"/>
      <w:marRight w:val="0"/>
      <w:marTop w:val="0"/>
      <w:marBottom w:val="0"/>
      <w:divBdr>
        <w:top w:val="none" w:sz="0" w:space="0" w:color="auto"/>
        <w:left w:val="none" w:sz="0" w:space="0" w:color="auto"/>
        <w:bottom w:val="none" w:sz="0" w:space="0" w:color="auto"/>
        <w:right w:val="none" w:sz="0" w:space="0" w:color="auto"/>
      </w:divBdr>
    </w:div>
    <w:div w:id="2073969182">
      <w:bodyDiv w:val="1"/>
      <w:marLeft w:val="0"/>
      <w:marRight w:val="0"/>
      <w:marTop w:val="0"/>
      <w:marBottom w:val="0"/>
      <w:divBdr>
        <w:top w:val="none" w:sz="0" w:space="0" w:color="auto"/>
        <w:left w:val="none" w:sz="0" w:space="0" w:color="auto"/>
        <w:bottom w:val="none" w:sz="0" w:space="0" w:color="auto"/>
        <w:right w:val="none" w:sz="0" w:space="0" w:color="auto"/>
      </w:divBdr>
    </w:div>
    <w:div w:id="2079746827">
      <w:bodyDiv w:val="1"/>
      <w:marLeft w:val="0"/>
      <w:marRight w:val="0"/>
      <w:marTop w:val="0"/>
      <w:marBottom w:val="0"/>
      <w:divBdr>
        <w:top w:val="none" w:sz="0" w:space="0" w:color="auto"/>
        <w:left w:val="none" w:sz="0" w:space="0" w:color="auto"/>
        <w:bottom w:val="none" w:sz="0" w:space="0" w:color="auto"/>
        <w:right w:val="none" w:sz="0" w:space="0" w:color="auto"/>
      </w:divBdr>
    </w:div>
    <w:div w:id="20923105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22427/NTP-DATA-002-00600-0002-000-0" TargetMode="External"/><Relationship Id="rId21" Type="http://schemas.openxmlformats.org/officeDocument/2006/relationships/hyperlink" Target="https://pypi.python.org/pypi/bmds" TargetMode="External"/><Relationship Id="rId42" Type="http://schemas.openxmlformats.org/officeDocument/2006/relationships/hyperlink" Target="http://dx.doi.org/10.2307/2528930" TargetMode="External"/><Relationship Id="rId47" Type="http://schemas.openxmlformats.org/officeDocument/2006/relationships/hyperlink" Target="http://dx.doi.org/10.2307/2333011" TargetMode="External"/><Relationship Id="rId63" Type="http://schemas.openxmlformats.org/officeDocument/2006/relationships/image" Target="media/image3.jpeg"/><Relationship Id="rId68" Type="http://schemas.openxmlformats.org/officeDocument/2006/relationships/image" Target="media/image7.emf"/><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niehs.nih.gov/research/atniehs/dtt/assoc/reports/niehs-reports/index.cfm" TargetMode="External"/><Relationship Id="rId29" Type="http://schemas.openxmlformats.org/officeDocument/2006/relationships/hyperlink" Target="https://comptox.epa.gov/dashboard/chemical/details/DTXSID50469320" TargetMode="External"/><Relationship Id="rId11" Type="http://schemas.openxmlformats.org/officeDocument/2006/relationships/footer" Target="footer1.xml"/><Relationship Id="rId24" Type="http://schemas.openxmlformats.org/officeDocument/2006/relationships/footer" Target="footer4.xml"/><Relationship Id="rId32" Type="http://schemas.openxmlformats.org/officeDocument/2006/relationships/hyperlink" Target="https://doi.org/10.1002/etc.4890" TargetMode="External"/><Relationship Id="rId37" Type="http://schemas.openxmlformats.org/officeDocument/2006/relationships/hyperlink" Target="https://doi.org/10.1093/toxsci/kfaa081" TargetMode="External"/><Relationship Id="rId40" Type="http://schemas.openxmlformats.org/officeDocument/2006/relationships/hyperlink" Target="https://doi.org/10.1080/00032719.2021.1967969" TargetMode="External"/><Relationship Id="rId45" Type="http://schemas.openxmlformats.org/officeDocument/2006/relationships/hyperlink" Target="http://dx.doi.org/10.2307/2529789" TargetMode="External"/><Relationship Id="rId53" Type="http://schemas.openxmlformats.org/officeDocument/2006/relationships/hyperlink" Target="https://doi.org/10.22427/NIEHS-09" TargetMode="External"/><Relationship Id="rId58" Type="http://schemas.openxmlformats.org/officeDocument/2006/relationships/hyperlink" Target="https://www.ncbi.nlm.nih.gov/gene/" TargetMode="External"/><Relationship Id="rId66" Type="http://schemas.openxmlformats.org/officeDocument/2006/relationships/image" Target="media/image6.png"/><Relationship Id="rId5" Type="http://schemas.openxmlformats.org/officeDocument/2006/relationships/numbering" Target="numbering.xml"/><Relationship Id="rId61" Type="http://schemas.openxmlformats.org/officeDocument/2006/relationships/image" Target="media/image1.jpeg"/><Relationship Id="rId19" Type="http://schemas.openxmlformats.org/officeDocument/2006/relationships/header" Target="header2.xml"/><Relationship Id="rId14" Type="http://schemas.openxmlformats.org/officeDocument/2006/relationships/hyperlink" Target="https://www.niehs.nih.gov/" TargetMode="External"/><Relationship Id="rId22" Type="http://schemas.openxmlformats.org/officeDocument/2006/relationships/hyperlink" Target="https://github.com/auerbachs/BMDExpress-2/releases" TargetMode="External"/><Relationship Id="rId27" Type="http://schemas.openxmlformats.org/officeDocument/2006/relationships/hyperlink" Target="https://doi.org/10.22427/NTP-DATA-002-00600-0002-000-0" TargetMode="External"/><Relationship Id="rId30" Type="http://schemas.openxmlformats.org/officeDocument/2006/relationships/hyperlink" Target="https://pubchem.ncbi.nlm.nih.gov/compound/11603678" TargetMode="External"/><Relationship Id="rId35" Type="http://schemas.openxmlformats.org/officeDocument/2006/relationships/hyperlink" Target="https://comptox.epa.gov/dashboard/chemical/exposure-predictions/DTXSID50469320" TargetMode="External"/><Relationship Id="rId43" Type="http://schemas.openxmlformats.org/officeDocument/2006/relationships/hyperlink" Target="http://dx.doi.org/10.2307/2556164" TargetMode="External"/><Relationship Id="rId48" Type="http://schemas.openxmlformats.org/officeDocument/2006/relationships/hyperlink" Target="https://www.epa.gov/sites/production/files/2015-01/documents/benchmark_dose_guidance.pdf" TargetMode="External"/><Relationship Id="rId56" Type="http://schemas.openxmlformats.org/officeDocument/2006/relationships/hyperlink" Target="https://rgd.mcw.edu/" TargetMode="External"/><Relationship Id="rId64" Type="http://schemas.openxmlformats.org/officeDocument/2006/relationships/image" Target="media/image4.jpeg"/><Relationship Id="rId69" Type="http://schemas.openxmlformats.org/officeDocument/2006/relationships/footer" Target="footer7.xml"/><Relationship Id="rId8" Type="http://schemas.openxmlformats.org/officeDocument/2006/relationships/webSettings" Target="webSettings.xml"/><Relationship Id="rId51" Type="http://schemas.openxmlformats.org/officeDocument/2006/relationships/hyperlink" Target="https://doi.org/10.22427/NIEHS-07" TargetMode="External"/><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yperlink" Target="https://pubmed.ncbi.nlm.nih.gov/" TargetMode="External"/><Relationship Id="rId25" Type="http://schemas.openxmlformats.org/officeDocument/2006/relationships/hyperlink" Target="https://doi.org/10.22427/NTP-DATA-002-00600-0002-000-0" TargetMode="External"/><Relationship Id="rId33" Type="http://schemas.openxmlformats.org/officeDocument/2006/relationships/hyperlink" Target="https://doi.org/10.1016/j.envres.2019.108648" TargetMode="External"/><Relationship Id="rId38" Type="http://schemas.openxmlformats.org/officeDocument/2006/relationships/hyperlink" Target="https://doi.org/10.1289/EHP8495" TargetMode="External"/><Relationship Id="rId46" Type="http://schemas.openxmlformats.org/officeDocument/2006/relationships/hyperlink" Target="http://dx.doi.org/10.1080/00401706.1964.10490181" TargetMode="External"/><Relationship Id="rId59" Type="http://schemas.openxmlformats.org/officeDocument/2006/relationships/hyperlink" Target="http://dx.doi.org/10.1093/toxsci/kfm092" TargetMode="External"/><Relationship Id="rId67" Type="http://schemas.openxmlformats.org/officeDocument/2006/relationships/footer" Target="footer6.xml"/><Relationship Id="rId20" Type="http://schemas.openxmlformats.org/officeDocument/2006/relationships/footer" Target="footer3.xml"/><Relationship Id="rId41" Type="http://schemas.openxmlformats.org/officeDocument/2006/relationships/hyperlink" Target="https://doi.org/10.1186/gb-2009-10-3-r25" TargetMode="External"/><Relationship Id="rId54" Type="http://schemas.openxmlformats.org/officeDocument/2006/relationships/hyperlink" Target="https://doi.org/10.22427/NIEHS-DATA-NIEHS-10" TargetMode="External"/><Relationship Id="rId62" Type="http://schemas.openxmlformats.org/officeDocument/2006/relationships/image" Target="media/image2.jpeg"/><Relationship Id="rId7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niehs.nih.gov/research/atniehs/dtt/index.cfm" TargetMode="External"/><Relationship Id="rId23" Type="http://schemas.openxmlformats.org/officeDocument/2006/relationships/hyperlink" Target="https://doi.org/10.22427/NIEHS-DATA-NIEHS-10" TargetMode="External"/><Relationship Id="rId28" Type="http://schemas.openxmlformats.org/officeDocument/2006/relationships/hyperlink" Target="https://doi.org/10.22427/NTP-DATA-002-00600-0002-000-0" TargetMode="External"/><Relationship Id="rId36" Type="http://schemas.openxmlformats.org/officeDocument/2006/relationships/hyperlink" Target="https://comptox.epa.gov/dashboard/chemical/executive-summary/DTXSID50469320" TargetMode="External"/><Relationship Id="rId49" Type="http://schemas.openxmlformats.org/officeDocument/2006/relationships/hyperlink" Target="http://dx.doi.org/10.1289/ehp.1307539" TargetMode="External"/><Relationship Id="rId57" Type="http://schemas.openxmlformats.org/officeDocument/2006/relationships/hyperlink" Target="https://www.uniprot.org/uniprot/" TargetMode="External"/><Relationship Id="rId10" Type="http://schemas.openxmlformats.org/officeDocument/2006/relationships/endnotes" Target="endnotes.xml"/><Relationship Id="rId31" Type="http://schemas.openxmlformats.org/officeDocument/2006/relationships/hyperlink" Target="https://echa.europa.eu/substance-information/-/substanceinfo/100.250.649" TargetMode="External"/><Relationship Id="rId44" Type="http://schemas.openxmlformats.org/officeDocument/2006/relationships/hyperlink" Target="http://dx.doi.org/10.1080/01621459.1955.10501294" TargetMode="External"/><Relationship Id="rId52" Type="http://schemas.openxmlformats.org/officeDocument/2006/relationships/hyperlink" Target="https://doi.org/10.22427/NIEHS-08" TargetMode="External"/><Relationship Id="rId60" Type="http://schemas.openxmlformats.org/officeDocument/2006/relationships/footer" Target="footer5.xml"/><Relationship Id="rId65"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doi.org/10.22427/NTP-RR-8" TargetMode="External"/><Relationship Id="rId39" Type="http://schemas.openxmlformats.org/officeDocument/2006/relationships/hyperlink" Target="https://doi.org/10.1186/s13321-018-0263-1" TargetMode="External"/><Relationship Id="rId34" Type="http://schemas.openxmlformats.org/officeDocument/2006/relationships/hyperlink" Target="https://doi.org/10.1021/acs.jafc.6b04683" TargetMode="External"/><Relationship Id="rId50" Type="http://schemas.openxmlformats.org/officeDocument/2006/relationships/hyperlink" Target="https://doi.org/10.1186/1471-2105-9-s9-s10" TargetMode="External"/><Relationship Id="rId55" Type="http://schemas.openxmlformats.org/officeDocument/2006/relationships/hyperlink" Target="http://geneontology.org/" TargetMode="External"/><Relationship Id="rId73" Type="http://schemas.openxmlformats.org/officeDocument/2006/relationships/header" Target="header3.xml"/><Relationship Id="rId74" Type="http://schemas.openxmlformats.org/officeDocument/2006/relationships/footer" Target="footer8.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58498\Downloads\NTP%20Template%2011-04-21%20(2)%20(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FA8DF46429AB14DB7B9B7103DC5D292" ma:contentTypeVersion="14" ma:contentTypeDescription="Create a new document." ma:contentTypeScope="" ma:versionID="a504f50587eaa5ddc4e5d89792f3a189">
  <xsd:schema xmlns:xsd="http://www.w3.org/2001/XMLSchema" xmlns:xs="http://www.w3.org/2001/XMLSchema" xmlns:p="http://schemas.microsoft.com/office/2006/metadata/properties" xmlns:ns2="dd3697e1-ace8-4676-9d05-dcae697b1c51" xmlns:ns3="3795b092-1627-4b40-a8a2-894e6ef55312" targetNamespace="http://schemas.microsoft.com/office/2006/metadata/properties" ma:root="true" ma:fieldsID="5ddd8eda15f9440b1abb5cff367f5e02" ns2:_="" ns3:_="">
    <xsd:import namespace="dd3697e1-ace8-4676-9d05-dcae697b1c51"/>
    <xsd:import namespace="3795b092-1627-4b40-a8a2-894e6ef5531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3697e1-ace8-4676-9d05-dcae697b1c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LengthInSeconds" ma:index="15"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ce9f98e-9ad5-43de-b59a-72d7e946aae0"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3795b092-1627-4b40-a8a2-894e6ef5531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0eebd5df-08b2-4d5a-9c66-eaa67d3c20b2}" ma:internalName="TaxCatchAll" ma:showField="CatchAllData" ma:web="3795b092-1627-4b40-a8a2-894e6ef553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3795b092-1627-4b40-a8a2-894e6ef55312">
      <UserInfo>
        <DisplayName/>
        <AccountId xsi:nil="true"/>
        <AccountType/>
      </UserInfo>
    </SharedWithUsers>
    <TaxCatchAll xmlns="3795b092-1627-4b40-a8a2-894e6ef55312" xsi:nil="true"/>
    <lcf76f155ced4ddcb4097134ff3c332f xmlns="dd3697e1-ace8-4676-9d05-dcae697b1c51">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EDF070CD-7915-4535-ACC6-3B77A3034C16}">
  <ds:schemaRefs>
    <ds:schemaRef ds:uri="http://schemas.microsoft.com/sharepoint/v3/contenttype/forms"/>
  </ds:schemaRefs>
</ds:datastoreItem>
</file>

<file path=customXml/itemProps2.xml><?xml version="1.0" encoding="utf-8"?>
<ds:datastoreItem xmlns:ds="http://schemas.openxmlformats.org/officeDocument/2006/customXml" ds:itemID="{69138A7E-873B-4296-99B4-745208FD6711}"/>
</file>

<file path=customXml/itemProps3.xml><?xml version="1.0" encoding="utf-8"?>
<ds:datastoreItem xmlns:ds="http://schemas.openxmlformats.org/officeDocument/2006/customXml" ds:itemID="{30E4935F-54E4-4955-B450-0261E60BCA8A}">
  <ds:schemaRefs>
    <ds:schemaRef ds:uri="http://schemas.openxmlformats.org/package/2006/metadata/core-properties"/>
    <ds:schemaRef ds:uri="http://schemas.microsoft.com/office/2006/metadata/properties"/>
    <ds:schemaRef ds:uri="http://www.w3.org/XML/1998/namespace"/>
    <ds:schemaRef ds:uri="http://purl.org/dc/terms/"/>
    <ds:schemaRef ds:uri="http://schemas.microsoft.com/office/2006/documentManagement/types"/>
    <ds:schemaRef ds:uri="http://purl.org/dc/dcmitype/"/>
    <ds:schemaRef ds:uri="http://schemas.microsoft.com/office/infopath/2007/PartnerControls"/>
    <ds:schemaRef ds:uri="3795b092-1627-4b40-a8a2-894e6ef55312"/>
    <ds:schemaRef ds:uri="dd3697e1-ace8-4676-9d05-dcae697b1c51"/>
    <ds:schemaRef ds:uri="http://purl.org/dc/elements/1.1/"/>
  </ds:schemaRefs>
</ds:datastoreItem>
</file>

<file path=customXml/itemProps4.xml><?xml version="1.0" encoding="utf-8"?>
<ds:datastoreItem xmlns:ds="http://schemas.openxmlformats.org/officeDocument/2006/customXml" ds:itemID="{127D6E07-209A-4173-B9CD-4E27C7C8D215}">
  <ds:schemaRefs>
    <ds:schemaRef ds:uri="http://schemas.openxmlformats.org/officeDocument/2006/bibliography"/>
  </ds:schemaRefs>
</ds:datastoreItem>
</file>

<file path=docMetadata/LabelInfo.xml><?xml version="1.0" encoding="utf-8"?>
<clbl:labelList xmlns:clbl="http://schemas.microsoft.com/office/2020/mipLabelMetadata">
  <clbl:label id="{cf90b97b-be46-4a00-9700-81ce4ff1b7f6}" enabled="0" method="" siteId="{cf90b97b-be46-4a00-9700-81ce4ff1b7f6}" removed="1"/>
</clbl:labelList>
</file>

<file path=docProps/app.xml><?xml version="1.0" encoding="utf-8"?>
<Properties xmlns="http://schemas.openxmlformats.org/officeDocument/2006/extended-properties" xmlns:vt="http://schemas.openxmlformats.org/officeDocument/2006/docPropsVTypes">
  <Template>NTP Template 11-04-21 (2) (1).dot</Template>
  <TotalTime>318</TotalTime>
  <Pages>78</Pages>
  <Words>32163</Words>
  <Characters>183335</Characters>
  <Application>Microsoft Office Word</Application>
  <DocSecurity>0</DocSecurity>
  <Lines>1527</Lines>
  <Paragraphs>430</Paragraphs>
  <ScaleCrop>false</ScaleCrop>
  <HeadingPairs>
    <vt:vector size="2" baseType="variant">
      <vt:variant>
        <vt:lpstr>Title</vt:lpstr>
      </vt:variant>
      <vt:variant>
        <vt:i4>1</vt:i4>
      </vt:variant>
    </vt:vector>
  </HeadingPairs>
  <TitlesOfParts>
    <vt:vector size="1" baseType="lpstr">
      <vt:lpstr>Article_Title</vt:lpstr>
    </vt:vector>
  </TitlesOfParts>
  <Company>Inera Inc.</Company>
  <LinksUpToDate>false</LinksUpToDate>
  <CharactersWithSpaces>215068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Article_Title</dc:title>
  <dc:subject/>
  <dc:creator>Shapiro, Andy (NIH/NIEHS) [E]</dc:creator>
  <cp:keywords/>
  <dc:description/>
  <cp:lastModifiedBy>Ukpabi, Nkoli</cp:lastModifiedBy>
  <cp:revision>4</cp:revision>
  <cp:lastPrinted>2018-11-28T00:53:00Z</cp:lastPrinted>
  <dcterms:created xsi:type="dcterms:W3CDTF">2023-03-10T23:09:00Z</dcterms:created>
  <dcterms:modified xsi:type="dcterms:W3CDTF">2023-03-13T13:58:00Z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0x0101004FA8DF46429AB14DB7B9B7103DC5D292</vt:lpwstr>
  </property>
  <property fmtid="{D5CDD505-2E9C-101B-9397-08002B2CF9AE}" pid="3" name="Order">
    <vt:r8>1171200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y fmtid="{D5CDD505-2E9C-101B-9397-08002B2CF9AE}" pid="7" name="MediaServiceImageTags">
    <vt:lpwstr/>
  </property>
</Properties>
</file>