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02633" w14:textId="77777777" w:rsidR="00897A12" w:rsidRPr="00897A12" w:rsidRDefault="00897A12" w:rsidP="00897A1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97A12">
        <w:rPr>
          <w:rFonts w:ascii="Calibri" w:eastAsia="Times New Roman" w:hAnsi="Calibri" w:cs="Calibri"/>
          <w:color w:val="000000"/>
          <w:sz w:val="22"/>
          <w:szCs w:val="22"/>
        </w:rPr>
        <w:t>New comments from Reviewer1:</w:t>
      </w:r>
    </w:p>
    <w:p w14:paraId="06F65463" w14:textId="77777777" w:rsidR="00897A12" w:rsidRPr="00897A12" w:rsidRDefault="00897A12" w:rsidP="00897A1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97A12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331015FC" w14:textId="49D0BEB7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 xml:space="preserve">The paper somewhat improved, but it is still difficult to read by someone not directly involved in this project. My recommendation is to </w:t>
      </w:r>
      <w:r w:rsidRPr="004B7B3A">
        <w:rPr>
          <w:rFonts w:ascii="Trebuchet MS" w:eastAsia="Times New Roman" w:hAnsi="Trebuchet MS" w:cs="Calibri"/>
          <w:color w:val="3E3D40"/>
          <w:sz w:val="18"/>
          <w:szCs w:val="18"/>
          <w:highlight w:val="yellow"/>
        </w:rPr>
        <w:t>focus on Abstract and Introduction to clearly describe the key ideas</w:t>
      </w: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. Then the rest of the paper can be more easily understood. Specifically, when I read abstract, the meaning or purpose of the following terms is unclear to me:</w:t>
      </w:r>
    </w:p>
    <w:p w14:paraId="1490E5A4" w14:textId="7376A5DA" w:rsidR="004B7B3A" w:rsidRPr="004B7B3A" w:rsidRDefault="004B7B3A" w:rsidP="00897A12">
      <w:pPr>
        <w:spacing w:before="195" w:line="270" w:lineRule="atLeast"/>
        <w:rPr>
          <w:rFonts w:ascii="Times New Roman" w:eastAsia="Times New Roman" w:hAnsi="Times New Roman" w:cs="Times New Roman"/>
          <w:color w:val="0000CC"/>
        </w:rPr>
      </w:pPr>
      <w:r w:rsidRPr="004B7B3A">
        <w:rPr>
          <w:rFonts w:ascii="Times New Roman" w:eastAsia="Times New Roman" w:hAnsi="Times New Roman" w:cs="Times New Roman"/>
          <w:color w:val="0000CC"/>
        </w:rPr>
        <w:t>We thank reviewer’s commen</w:t>
      </w:r>
      <w:r>
        <w:rPr>
          <w:rFonts w:ascii="Times New Roman" w:eastAsia="Times New Roman" w:hAnsi="Times New Roman" w:cs="Times New Roman"/>
          <w:color w:val="0000CC"/>
        </w:rPr>
        <w:t>ts</w:t>
      </w:r>
      <w:r w:rsidRPr="004B7B3A">
        <w:rPr>
          <w:rFonts w:ascii="Times New Roman" w:eastAsia="Times New Roman" w:hAnsi="Times New Roman" w:cs="Times New Roman"/>
          <w:color w:val="0000CC"/>
        </w:rPr>
        <w:t xml:space="preserve"> and have revised the abstract and introduction based on the reviewer’s suggestions. We hope that the revised abstract and introduction will be</w:t>
      </w:r>
      <w:r w:rsidR="00027720">
        <w:rPr>
          <w:rFonts w:ascii="Times New Roman" w:eastAsia="Times New Roman" w:hAnsi="Times New Roman" w:cs="Times New Roman"/>
          <w:color w:val="0000CC"/>
        </w:rPr>
        <w:t xml:space="preserve"> </w:t>
      </w:r>
      <w:r w:rsidRPr="004B7B3A">
        <w:rPr>
          <w:rFonts w:ascii="Times New Roman" w:eastAsia="Times New Roman" w:hAnsi="Times New Roman" w:cs="Times New Roman"/>
          <w:color w:val="0000CC"/>
        </w:rPr>
        <w:t>clear</w:t>
      </w:r>
      <w:r w:rsidR="00027720">
        <w:rPr>
          <w:rFonts w:ascii="Times New Roman" w:eastAsia="Times New Roman" w:hAnsi="Times New Roman" w:cs="Times New Roman"/>
          <w:color w:val="0000CC"/>
        </w:rPr>
        <w:t>er</w:t>
      </w:r>
      <w:r w:rsidRPr="004B7B3A">
        <w:rPr>
          <w:rFonts w:ascii="Times New Roman" w:eastAsia="Times New Roman" w:hAnsi="Times New Roman" w:cs="Times New Roman"/>
          <w:color w:val="0000CC"/>
        </w:rPr>
        <w:t xml:space="preserve"> to describe our key ideas</w:t>
      </w:r>
    </w:p>
    <w:p w14:paraId="0B282AFC" w14:textId="2AC65C96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- line 30: a model system (a biological system?), a human tissue (omit this term completely?), a T-score calculation (too generic, T-score of what?)</w:t>
      </w:r>
    </w:p>
    <w:p w14:paraId="16DAC042" w14:textId="5828ACDC" w:rsidR="00634C8D" w:rsidRPr="004B7B3A" w:rsidRDefault="005E6F9A" w:rsidP="00897A12">
      <w:pPr>
        <w:spacing w:before="195" w:line="270" w:lineRule="atLeast"/>
        <w:rPr>
          <w:rFonts w:ascii="Calibri" w:eastAsia="Times New Roman" w:hAnsi="Calibri" w:cs="Calibri"/>
          <w:color w:val="0000CC"/>
          <w:sz w:val="22"/>
          <w:szCs w:val="22"/>
        </w:rPr>
      </w:pPr>
      <w:r>
        <w:rPr>
          <w:rFonts w:ascii="Times New Roman" w:eastAsia="Times New Roman" w:hAnsi="Times New Roman" w:cs="Times New Roman"/>
          <w:color w:val="2E74B5" w:themeColor="accent5" w:themeShade="BF"/>
        </w:rPr>
        <w:t>We have address</w:t>
      </w:r>
      <w:r w:rsidR="00634C8D">
        <w:rPr>
          <w:rFonts w:ascii="Times New Roman" w:eastAsia="Times New Roman" w:hAnsi="Times New Roman" w:cs="Times New Roman"/>
          <w:color w:val="2E74B5" w:themeColor="accent5" w:themeShade="BF"/>
        </w:rPr>
        <w:t>e</w:t>
      </w:r>
      <w:r w:rsidR="001B16E9">
        <w:rPr>
          <w:rFonts w:ascii="Times New Roman" w:eastAsia="Times New Roman" w:hAnsi="Times New Roman" w:cs="Times New Roman"/>
          <w:color w:val="2E74B5" w:themeColor="accent5" w:themeShade="BF"/>
        </w:rPr>
        <w:t xml:space="preserve">d 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them </w:t>
      </w:r>
      <w:r w:rsidR="001B16E9">
        <w:rPr>
          <w:rFonts w:ascii="Times New Roman" w:eastAsia="Times New Roman" w:hAnsi="Times New Roman" w:cs="Times New Roman"/>
          <w:color w:val="2E74B5" w:themeColor="accent5" w:themeShade="BF"/>
        </w:rPr>
        <w:t>accordingly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 in the newly revised abstract</w:t>
      </w:r>
      <w:r>
        <w:rPr>
          <w:rFonts w:ascii="Times New Roman" w:eastAsia="Times New Roman" w:hAnsi="Times New Roman" w:cs="Times New Roman"/>
          <w:color w:val="0000CC"/>
        </w:rPr>
        <w:t>.</w:t>
      </w:r>
    </w:p>
    <w:p w14:paraId="1F05AF22" w14:textId="01237927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- line 31: complex human system (complex human biology?), </w:t>
      </w:r>
    </w:p>
    <w:p w14:paraId="48EB86CA" w14:textId="19EFC5EF" w:rsidR="001B16E9" w:rsidRPr="00897A12" w:rsidRDefault="00CC5F02" w:rsidP="00897A12">
      <w:pPr>
        <w:spacing w:before="195" w:line="270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Yes, it was meant for the complex </w:t>
      </w:r>
      <w:r w:rsidR="00FD2DEF">
        <w:rPr>
          <w:rFonts w:ascii="Times New Roman" w:eastAsia="Times New Roman" w:hAnsi="Times New Roman" w:cs="Times New Roman"/>
          <w:color w:val="2E74B5" w:themeColor="accent5" w:themeShade="BF"/>
        </w:rPr>
        <w:t>human biological system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>.</w:t>
      </w:r>
    </w:p>
    <w:p w14:paraId="381C7DEC" w14:textId="75631DDF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- line 33: specimen (in expression assay?)</w:t>
      </w:r>
    </w:p>
    <w:p w14:paraId="767DDDBC" w14:textId="02E30F5C" w:rsidR="00690248" w:rsidRPr="00897A12" w:rsidRDefault="00CC5F02" w:rsidP="00897A12">
      <w:pPr>
        <w:spacing w:before="195" w:line="270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2E74B5" w:themeColor="accent5" w:themeShade="BF"/>
        </w:rPr>
        <w:t>Yes, specimen can be human tissues as study object in the experiment</w:t>
      </w:r>
      <w:r w:rsidR="00690248">
        <w:rPr>
          <w:rFonts w:ascii="Times New Roman" w:eastAsia="Times New Roman" w:hAnsi="Times New Roman" w:cs="Times New Roman"/>
          <w:color w:val="2E74B5" w:themeColor="accent5" w:themeShade="BF"/>
        </w:rPr>
        <w:t>.</w:t>
      </w:r>
    </w:p>
    <w:p w14:paraId="3817A705" w14:textId="03D0981C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 xml:space="preserve"> - line 36: </w:t>
      </w:r>
      <w:r w:rsidRPr="004B7B3A">
        <w:rPr>
          <w:rFonts w:ascii="Trebuchet MS" w:eastAsia="Times New Roman" w:hAnsi="Trebuchet MS" w:cs="Calibri"/>
          <w:color w:val="3E3D40"/>
          <w:sz w:val="18"/>
          <w:szCs w:val="18"/>
          <w:highlight w:val="yellow"/>
        </w:rPr>
        <w:t>T-score (of what?)</w:t>
      </w:r>
    </w:p>
    <w:p w14:paraId="7468134E" w14:textId="32F376BB" w:rsidR="00CC5992" w:rsidRPr="00897A12" w:rsidRDefault="00CC5F02" w:rsidP="00897A12">
      <w:pPr>
        <w:spacing w:before="195" w:line="270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T-score is what was calculated from the gene expression matrix between two groups, essentially two-tailed inverse of the </w:t>
      </w:r>
      <w:r w:rsidRPr="00757905">
        <w:rPr>
          <w:rFonts w:ascii="Times New Roman" w:eastAsia="Times New Roman" w:hAnsi="Times New Roman" w:cs="Times New Roman"/>
          <w:i/>
          <w:iCs/>
          <w:color w:val="2E74B5" w:themeColor="accent5" w:themeShade="BF"/>
        </w:rPr>
        <w:t>t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>-distribution (details in method)</w:t>
      </w:r>
      <w:r w:rsidR="00CC5992">
        <w:rPr>
          <w:rFonts w:ascii="Times New Roman" w:eastAsia="Times New Roman" w:hAnsi="Times New Roman" w:cs="Times New Roman"/>
          <w:color w:val="2E74B5" w:themeColor="accent5" w:themeShade="BF"/>
        </w:rPr>
        <w:t>.</w:t>
      </w:r>
    </w:p>
    <w:p w14:paraId="7E6F2DF3" w14:textId="7A2D9EA2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- line 39: If the SEM is limited to 3 nodes, it would be useful to make a comment here whether it is too limiting, or what other applications can be considered, and whether 2 input and 1 output variable are always assumed</w:t>
      </w:r>
    </w:p>
    <w:p w14:paraId="432B99DF" w14:textId="0E769FFB" w:rsidR="00387822" w:rsidRPr="00897A12" w:rsidRDefault="00043753" w:rsidP="00897A12">
      <w:pPr>
        <w:spacing w:before="195" w:line="270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Yes, a 3-node SEM model is the most popular choice. </w:t>
      </w:r>
      <w:r w:rsidR="005D1FF3">
        <w:rPr>
          <w:rFonts w:ascii="Times New Roman" w:eastAsia="Times New Roman" w:hAnsi="Times New Roman" w:cs="Times New Roman"/>
          <w:color w:val="2E74B5" w:themeColor="accent5" w:themeShade="BF"/>
        </w:rPr>
        <w:t xml:space="preserve">There are many 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other </w:t>
      </w:r>
      <w:r w:rsidR="005D1FF3">
        <w:rPr>
          <w:rFonts w:ascii="Times New Roman" w:eastAsia="Times New Roman" w:hAnsi="Times New Roman" w:cs="Times New Roman"/>
          <w:color w:val="2E74B5" w:themeColor="accent5" w:themeShade="BF"/>
        </w:rPr>
        <w:t>SEM models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 with more nodes</w:t>
      </w:r>
      <w:r w:rsidR="005D1FF3">
        <w:rPr>
          <w:rFonts w:ascii="Times New Roman" w:eastAsia="Times New Roman" w:hAnsi="Times New Roman" w:cs="Times New Roman"/>
          <w:color w:val="2E74B5" w:themeColor="accent5" w:themeShade="BF"/>
        </w:rPr>
        <w:t xml:space="preserve"> that fit different hypotheses. In our practice, we focus on </w:t>
      </w:r>
      <w:r w:rsidR="004B7B3A">
        <w:rPr>
          <w:rFonts w:ascii="Times New Roman" w:eastAsia="Times New Roman" w:hAnsi="Times New Roman" w:cs="Times New Roman"/>
          <w:color w:val="2E74B5" w:themeColor="accent5" w:themeShade="BF"/>
        </w:rPr>
        <w:t xml:space="preserve">a </w:t>
      </w:r>
      <w:r w:rsidR="005D1FF3">
        <w:rPr>
          <w:rFonts w:ascii="Times New Roman" w:eastAsia="Times New Roman" w:hAnsi="Times New Roman" w:cs="Times New Roman"/>
          <w:color w:val="2E74B5" w:themeColor="accent5" w:themeShade="BF"/>
        </w:rPr>
        <w:t xml:space="preserve">3-node SEM model 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to test our hypotheses and explore potential relationship among other “factors”, which are represented as the variables/nodes in the SEM model. </w:t>
      </w:r>
    </w:p>
    <w:p w14:paraId="0A42B9E4" w14:textId="0B4AD195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 xml:space="preserve">- line 43: not sure if removing 'in silico' would </w:t>
      </w:r>
      <w:proofErr w:type="gramStart"/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actually improve</w:t>
      </w:r>
      <w:proofErr w:type="gramEnd"/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 xml:space="preserve"> the clarity of this sentence</w:t>
      </w:r>
    </w:p>
    <w:p w14:paraId="6BA45D1A" w14:textId="21BDDDC4" w:rsidR="0086445D" w:rsidRDefault="00046752" w:rsidP="0086445D">
      <w:pPr>
        <w:spacing w:before="195" w:line="270" w:lineRule="atLeast"/>
        <w:rPr>
          <w:rFonts w:ascii="Times New Roman" w:eastAsia="Times New Roman" w:hAnsi="Times New Roman" w:cs="Times New Roman"/>
          <w:color w:val="2E74B5" w:themeColor="accent5" w:themeShade="BF"/>
        </w:rPr>
      </w:pPr>
      <w:r>
        <w:rPr>
          <w:rFonts w:ascii="Times New Roman" w:eastAsia="Times New Roman" w:hAnsi="Times New Roman" w:cs="Times New Roman"/>
          <w:color w:val="2E74B5" w:themeColor="accent5" w:themeShade="BF"/>
        </w:rPr>
        <w:t>We chose the word “</w:t>
      </w:r>
      <w:r w:rsidRPr="00046752">
        <w:rPr>
          <w:rFonts w:ascii="Times New Roman" w:eastAsia="Times New Roman" w:hAnsi="Times New Roman" w:cs="Times New Roman"/>
          <w:i/>
          <w:iCs/>
          <w:color w:val="2E74B5" w:themeColor="accent5" w:themeShade="BF"/>
        </w:rPr>
        <w:t>in silico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” </w:t>
      </w:r>
      <w:r w:rsidR="0086445D" w:rsidRPr="0086445D">
        <w:rPr>
          <w:rFonts w:ascii="Times New Roman" w:eastAsia="Times New Roman" w:hAnsi="Times New Roman" w:cs="Times New Roman"/>
          <w:color w:val="2E74B5" w:themeColor="accent5" w:themeShade="BF"/>
        </w:rPr>
        <w:t>in the manuscript referr</w:t>
      </w:r>
      <w:r w:rsidR="0086445D">
        <w:rPr>
          <w:rFonts w:ascii="Times New Roman" w:eastAsia="Times New Roman" w:hAnsi="Times New Roman" w:cs="Times New Roman"/>
          <w:color w:val="2E74B5" w:themeColor="accent5" w:themeShade="BF"/>
        </w:rPr>
        <w:t>ing</w:t>
      </w:r>
      <w:r w:rsidR="0086445D" w:rsidRPr="0086445D">
        <w:rPr>
          <w:rFonts w:ascii="Times New Roman" w:eastAsia="Times New Roman" w:hAnsi="Times New Roman" w:cs="Times New Roman"/>
          <w:color w:val="2E74B5" w:themeColor="accent5" w:themeShade="BF"/>
        </w:rPr>
        <w:t xml:space="preserve"> to it as computational and mathematical modeling.</w:t>
      </w:r>
    </w:p>
    <w:p w14:paraId="3CE227FC" w14:textId="77777777" w:rsidR="00897A12" w:rsidRPr="00897A12" w:rsidRDefault="00897A12" w:rsidP="0086445D">
      <w:pPr>
        <w:spacing w:before="195" w:line="270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To illustrate further, I am looking at the supplementary file. </w:t>
      </w:r>
    </w:p>
    <w:p w14:paraId="4B24C550" w14:textId="76DD8B23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 xml:space="preserve">-  page 1: 'in the SEMIPs project' more clear would be 'in the proposed SEMIPs method' and 'we tested the relationship among 3 variables assuming a three-node SEM model' and it would be better to clarify what variables are assumed; next sentence says 'each of these factors' but it is unclear what factors are meant, since no factor was mentioned previously; and again, T-score is mentioned, but it is unclear what </w:t>
      </w:r>
      <w:proofErr w:type="spellStart"/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quanitity</w:t>
      </w:r>
      <w:proofErr w:type="spellEnd"/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 xml:space="preserve"> the T-score is calculated for </w:t>
      </w:r>
    </w:p>
    <w:p w14:paraId="2C2FAAE3" w14:textId="58E34601" w:rsidR="000F2516" w:rsidRPr="00897A12" w:rsidRDefault="004B7B3A" w:rsidP="00897A12">
      <w:pPr>
        <w:spacing w:before="195" w:line="270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2E74B5" w:themeColor="accent5" w:themeShade="BF"/>
        </w:rPr>
        <w:t>We have revised the text according to the suggestions.</w:t>
      </w:r>
    </w:p>
    <w:p w14:paraId="5CB274F0" w14:textId="2942EB59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lastRenderedPageBreak/>
        <w:t>Furthermore, in Figure 1, where is the SEM considered? It may be useful to emphasize it.</w:t>
      </w:r>
    </w:p>
    <w:p w14:paraId="074B9060" w14:textId="720FB27C" w:rsidR="00D21D52" w:rsidRPr="00897A12" w:rsidRDefault="004B7B3A" w:rsidP="00897A12">
      <w:pPr>
        <w:spacing w:before="195" w:line="270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2E74B5" w:themeColor="accent5" w:themeShade="BF"/>
        </w:rPr>
        <w:t>We</w:t>
      </w:r>
      <w:r w:rsidR="00D21D52" w:rsidRPr="001246F3">
        <w:rPr>
          <w:rFonts w:ascii="Times New Roman" w:eastAsia="Times New Roman" w:hAnsi="Times New Roman" w:cs="Times New Roman"/>
          <w:color w:val="2E74B5" w:themeColor="accent5" w:themeShade="BF"/>
        </w:rPr>
        <w:t xml:space="preserve"> </w:t>
      </w:r>
      <w:proofErr w:type="gramStart"/>
      <w:r w:rsidR="00D21D52" w:rsidRPr="001246F3">
        <w:rPr>
          <w:rFonts w:ascii="Times New Roman" w:eastAsia="Times New Roman" w:hAnsi="Times New Roman" w:cs="Times New Roman"/>
          <w:color w:val="2E74B5" w:themeColor="accent5" w:themeShade="BF"/>
        </w:rPr>
        <w:t xml:space="preserve">made 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revisions </w:t>
      </w:r>
      <w:r w:rsidR="00D21D52" w:rsidRPr="001246F3">
        <w:rPr>
          <w:rFonts w:ascii="Times New Roman" w:eastAsia="Times New Roman" w:hAnsi="Times New Roman" w:cs="Times New Roman"/>
          <w:color w:val="2E74B5" w:themeColor="accent5" w:themeShade="BF"/>
        </w:rPr>
        <w:t>to</w:t>
      </w:r>
      <w:proofErr w:type="gramEnd"/>
      <w:r w:rsidR="00D21D52" w:rsidRPr="001246F3">
        <w:rPr>
          <w:rFonts w:ascii="Times New Roman" w:eastAsia="Times New Roman" w:hAnsi="Times New Roman" w:cs="Times New Roman"/>
          <w:color w:val="2E74B5" w:themeColor="accent5" w:themeShade="BF"/>
        </w:rPr>
        <w:t xml:space="preserve"> 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>F</w:t>
      </w:r>
      <w:r w:rsidR="00D21D52" w:rsidRPr="001246F3">
        <w:rPr>
          <w:rFonts w:ascii="Times New Roman" w:eastAsia="Times New Roman" w:hAnsi="Times New Roman" w:cs="Times New Roman"/>
          <w:color w:val="2E74B5" w:themeColor="accent5" w:themeShade="BF"/>
        </w:rPr>
        <w:t xml:space="preserve">igure </w:t>
      </w:r>
      <w:r w:rsidR="00D21D52">
        <w:rPr>
          <w:rFonts w:ascii="Times New Roman" w:eastAsia="Times New Roman" w:hAnsi="Times New Roman" w:cs="Times New Roman"/>
          <w:color w:val="2E74B5" w:themeColor="accent5" w:themeShade="BF"/>
        </w:rPr>
        <w:t>1 by enclosing the SEM model with a green rectangle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>.</w:t>
      </w:r>
      <w:r w:rsidR="00D21D52" w:rsidRPr="001246F3">
        <w:rPr>
          <w:rFonts w:ascii="Times New Roman" w:eastAsia="Times New Roman" w:hAnsi="Times New Roman" w:cs="Times New Roman"/>
          <w:color w:val="2E74B5" w:themeColor="accent5" w:themeShade="BF"/>
        </w:rPr>
        <w:t xml:space="preserve"> 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We also revised the </w:t>
      </w:r>
      <w:r w:rsidR="00D21D52" w:rsidRPr="001246F3">
        <w:rPr>
          <w:rFonts w:ascii="Times New Roman" w:eastAsia="Times New Roman" w:hAnsi="Times New Roman" w:cs="Times New Roman"/>
          <w:color w:val="2E74B5" w:themeColor="accent5" w:themeShade="BF"/>
        </w:rPr>
        <w:t>legend</w:t>
      </w:r>
      <w:r w:rsidR="00D21D52">
        <w:rPr>
          <w:rFonts w:ascii="Times New Roman" w:eastAsia="Times New Roman" w:hAnsi="Times New Roman" w:cs="Times New Roman"/>
          <w:color w:val="2E74B5" w:themeColor="accent5" w:themeShade="BF"/>
        </w:rPr>
        <w:t xml:space="preserve"> accordingly by “</w:t>
      </w:r>
      <w:r w:rsidR="00D21D52" w:rsidRPr="00D21D52">
        <w:rPr>
          <w:rFonts w:ascii="Times New Roman" w:eastAsia="Times New Roman" w:hAnsi="Times New Roman" w:cs="Times New Roman"/>
          <w:color w:val="2E74B5" w:themeColor="accent5" w:themeShade="BF"/>
        </w:rPr>
        <w:t xml:space="preserve">through a </w:t>
      </w:r>
      <w:r w:rsidR="00387822">
        <w:rPr>
          <w:rFonts w:ascii="Times New Roman" w:eastAsia="Times New Roman" w:hAnsi="Times New Roman" w:cs="Times New Roman"/>
          <w:color w:val="2E74B5" w:themeColor="accent5" w:themeShade="BF"/>
        </w:rPr>
        <w:t>3</w:t>
      </w:r>
      <w:r w:rsidR="00D21D52" w:rsidRPr="00D21D52">
        <w:rPr>
          <w:rFonts w:ascii="Times New Roman" w:eastAsia="Times New Roman" w:hAnsi="Times New Roman" w:cs="Times New Roman"/>
          <w:color w:val="2E74B5" w:themeColor="accent5" w:themeShade="BF"/>
        </w:rPr>
        <w:t>-node SEM model indicated by the green rectangle.</w:t>
      </w:r>
      <w:r w:rsidR="00D21D52">
        <w:rPr>
          <w:rFonts w:ascii="Times New Roman" w:eastAsia="Times New Roman" w:hAnsi="Times New Roman" w:cs="Times New Roman"/>
          <w:color w:val="2E74B5" w:themeColor="accent5" w:themeShade="BF"/>
        </w:rPr>
        <w:t>”</w:t>
      </w:r>
    </w:p>
    <w:p w14:paraId="453D0416" w14:textId="3B2AEB80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 xml:space="preserve">In Figure 3, what are the white circles </w:t>
      </w:r>
      <w:proofErr w:type="spellStart"/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overlaping</w:t>
      </w:r>
      <w:proofErr w:type="spellEnd"/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 xml:space="preserve"> labels?</w:t>
      </w:r>
    </w:p>
    <w:p w14:paraId="128EE899" w14:textId="5AAA053E" w:rsidR="00195076" w:rsidRDefault="00195076" w:rsidP="00897A12">
      <w:pPr>
        <w:spacing w:before="195" w:line="270" w:lineRule="atLeast"/>
        <w:rPr>
          <w:rFonts w:ascii="Times New Roman" w:eastAsia="Times New Roman" w:hAnsi="Times New Roman" w:cs="Times New Roman"/>
          <w:color w:val="2E74B5" w:themeColor="accent5" w:themeShade="BF"/>
        </w:rPr>
      </w:pPr>
      <w:r w:rsidRPr="001246F3">
        <w:rPr>
          <w:rFonts w:ascii="Times New Roman" w:hAnsi="Times New Roman" w:cs="Times New Roman"/>
          <w:color w:val="2E74B5" w:themeColor="accent5" w:themeShade="BF"/>
        </w:rPr>
        <w:t xml:space="preserve">The while circles </w:t>
      </w:r>
      <w:r>
        <w:rPr>
          <w:rFonts w:ascii="Times New Roman" w:hAnsi="Times New Roman" w:cs="Times New Roman"/>
          <w:color w:val="2E74B5" w:themeColor="accent5" w:themeShade="BF"/>
        </w:rPr>
        <w:t xml:space="preserve">were used to </w:t>
      </w:r>
      <w:r w:rsidRPr="001246F3">
        <w:rPr>
          <w:rFonts w:ascii="Times New Roman" w:hAnsi="Times New Roman" w:cs="Times New Roman"/>
          <w:color w:val="2E74B5" w:themeColor="accent5" w:themeShade="BF"/>
        </w:rPr>
        <w:t>represent targeted subset</w:t>
      </w:r>
      <w:r>
        <w:rPr>
          <w:rFonts w:ascii="Times New Roman" w:hAnsi="Times New Roman" w:cs="Times New Roman"/>
          <w:color w:val="2E74B5" w:themeColor="accent5" w:themeShade="BF"/>
        </w:rPr>
        <w:t>s</w:t>
      </w:r>
      <w:r w:rsidRPr="001246F3">
        <w:rPr>
          <w:rFonts w:ascii="Times New Roman" w:hAnsi="Times New Roman" w:cs="Times New Roman"/>
          <w:color w:val="2E74B5" w:themeColor="accent5" w:themeShade="BF"/>
        </w:rPr>
        <w:t xml:space="preserve"> of genes to be eliminated in both bootstrap simulations.</w:t>
      </w:r>
    </w:p>
    <w:p w14:paraId="78995DF8" w14:textId="06893198" w:rsidR="00344190" w:rsidRPr="00897A12" w:rsidRDefault="004B7B3A" w:rsidP="00897A12">
      <w:pPr>
        <w:spacing w:before="195" w:line="270" w:lineRule="atLeast"/>
        <w:rPr>
          <w:rFonts w:ascii="Times New Roman" w:eastAsia="Times New Roman" w:hAnsi="Times New Roman" w:cs="Times New Roman"/>
          <w:color w:val="2E74B5" w:themeColor="accent5" w:themeShade="BF"/>
        </w:rPr>
      </w:pPr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We have </w:t>
      </w:r>
      <w:r w:rsidR="00BE6E25">
        <w:rPr>
          <w:rFonts w:ascii="Times New Roman" w:eastAsia="Times New Roman" w:hAnsi="Times New Roman" w:cs="Times New Roman"/>
          <w:color w:val="2E74B5" w:themeColor="accent5" w:themeShade="BF"/>
        </w:rPr>
        <w:t xml:space="preserve">modified the figure 3 and revised </w:t>
      </w:r>
      <w:r w:rsidR="00344190" w:rsidRPr="001246F3">
        <w:rPr>
          <w:rFonts w:ascii="Times New Roman" w:eastAsia="Times New Roman" w:hAnsi="Times New Roman" w:cs="Times New Roman"/>
          <w:color w:val="2E74B5" w:themeColor="accent5" w:themeShade="BF"/>
        </w:rPr>
        <w:t>the figure 3 legend</w:t>
      </w:r>
      <w:r w:rsidR="00BE6E25">
        <w:rPr>
          <w:rFonts w:ascii="Times New Roman" w:eastAsia="Times New Roman" w:hAnsi="Times New Roman" w:cs="Times New Roman"/>
          <w:color w:val="2E74B5" w:themeColor="accent5" w:themeShade="BF"/>
        </w:rPr>
        <w:t xml:space="preserve"> to address this comment accordingly.</w:t>
      </w:r>
      <w:r w:rsidR="00344190" w:rsidRPr="001246F3">
        <w:rPr>
          <w:rFonts w:ascii="Times New Roman" w:eastAsia="Times New Roman" w:hAnsi="Times New Roman" w:cs="Times New Roman"/>
          <w:color w:val="2E74B5" w:themeColor="accent5" w:themeShade="BF"/>
        </w:rPr>
        <w:t xml:space="preserve"> </w:t>
      </w:r>
    </w:p>
    <w:p w14:paraId="50D2A538" w14:textId="6A7B4129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Figure 4 makes it clear what 3-variable SEM looks like, perhaps the general version of this model should be shown and explained earlier in the manuscript.</w:t>
      </w:r>
    </w:p>
    <w:p w14:paraId="578CDCD1" w14:textId="731B6176" w:rsidR="00580A2F" w:rsidRPr="00897A12" w:rsidRDefault="004B7B3A" w:rsidP="00580A2F">
      <w:pPr>
        <w:spacing w:before="195" w:line="270" w:lineRule="atLeast"/>
        <w:rPr>
          <w:rFonts w:ascii="Times New Roman" w:eastAsia="Times New Roman" w:hAnsi="Times New Roman" w:cs="Times New Roman"/>
          <w:color w:val="2E74B5" w:themeColor="accent5" w:themeShade="BF"/>
        </w:rPr>
      </w:pPr>
      <w:r>
        <w:rPr>
          <w:rFonts w:ascii="Times New Roman" w:eastAsia="Times New Roman" w:hAnsi="Times New Roman" w:cs="Times New Roman"/>
          <w:color w:val="2E74B5" w:themeColor="accent5" w:themeShade="BF"/>
        </w:rPr>
        <w:t>We have revised</w:t>
      </w:r>
      <w:r w:rsidR="00DD357B">
        <w:rPr>
          <w:rFonts w:ascii="Times New Roman" w:eastAsia="Times New Roman" w:hAnsi="Times New Roman" w:cs="Times New Roman"/>
          <w:color w:val="2E74B5" w:themeColor="accent5" w:themeShade="BF"/>
        </w:rPr>
        <w:t xml:space="preserve"> </w:t>
      </w:r>
      <w:r w:rsidR="00580A2F" w:rsidRPr="001246F3">
        <w:rPr>
          <w:rFonts w:ascii="Times New Roman" w:eastAsia="Times New Roman" w:hAnsi="Times New Roman" w:cs="Times New Roman"/>
          <w:color w:val="2E74B5" w:themeColor="accent5" w:themeShade="BF"/>
        </w:rPr>
        <w:t xml:space="preserve">the figure </w:t>
      </w:r>
      <w:r w:rsidR="00580A2F">
        <w:rPr>
          <w:rFonts w:ascii="Times New Roman" w:eastAsia="Times New Roman" w:hAnsi="Times New Roman" w:cs="Times New Roman"/>
          <w:color w:val="2E74B5" w:themeColor="accent5" w:themeShade="BF"/>
        </w:rPr>
        <w:t>4</w:t>
      </w:r>
      <w:r w:rsidR="00580A2F" w:rsidRPr="001246F3">
        <w:rPr>
          <w:rFonts w:ascii="Times New Roman" w:eastAsia="Times New Roman" w:hAnsi="Times New Roman" w:cs="Times New Roman"/>
          <w:color w:val="2E74B5" w:themeColor="accent5" w:themeShade="BF"/>
        </w:rPr>
        <w:t xml:space="preserve"> legend 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for clarity: </w:t>
      </w:r>
      <w:r w:rsidR="00580A2F" w:rsidRPr="001246F3">
        <w:rPr>
          <w:rFonts w:ascii="Times New Roman" w:eastAsia="Times New Roman" w:hAnsi="Times New Roman" w:cs="Times New Roman"/>
          <w:color w:val="2E74B5" w:themeColor="accent5" w:themeShade="BF"/>
        </w:rPr>
        <w:t>“</w:t>
      </w:r>
      <w:r w:rsidR="00580A2F" w:rsidRPr="00580A2F">
        <w:rPr>
          <w:rFonts w:ascii="Times New Roman" w:hAnsi="Times New Roman" w:cs="Times New Roman"/>
          <w:color w:val="2E74B5" w:themeColor="accent5" w:themeShade="BF"/>
        </w:rPr>
        <w:t>M</w:t>
      </w:r>
      <w:r w:rsidR="00BE6E25">
        <w:rPr>
          <w:rFonts w:ascii="Times New Roman" w:hAnsi="Times New Roman" w:cs="Times New Roman"/>
          <w:color w:val="2E74B5" w:themeColor="accent5" w:themeShade="BF"/>
        </w:rPr>
        <w:t>ajor m</w:t>
      </w:r>
      <w:r w:rsidR="00580A2F" w:rsidRPr="00580A2F">
        <w:rPr>
          <w:rFonts w:ascii="Times New Roman" w:hAnsi="Times New Roman" w:cs="Times New Roman"/>
          <w:color w:val="2E74B5" w:themeColor="accent5" w:themeShade="BF"/>
        </w:rPr>
        <w:t>odel fit</w:t>
      </w:r>
      <w:r w:rsidR="00BE6E25">
        <w:rPr>
          <w:rFonts w:ascii="Times New Roman" w:hAnsi="Times New Roman" w:cs="Times New Roman"/>
          <w:color w:val="2E74B5" w:themeColor="accent5" w:themeShade="BF"/>
        </w:rPr>
        <w:t>ting</w:t>
      </w:r>
      <w:r w:rsidR="00580A2F" w:rsidRPr="00580A2F">
        <w:rPr>
          <w:rFonts w:ascii="Times New Roman" w:hAnsi="Times New Roman" w:cs="Times New Roman"/>
          <w:color w:val="2E74B5" w:themeColor="accent5" w:themeShade="BF"/>
        </w:rPr>
        <w:t xml:space="preserve"> statistics for the joint regulation of SOX17 gene expression by GATA2 and PGR in the GEO GSE58144 dataset </w:t>
      </w:r>
      <w:r>
        <w:rPr>
          <w:rFonts w:ascii="Times New Roman" w:hAnsi="Times New Roman" w:cs="Times New Roman"/>
          <w:color w:val="2E74B5" w:themeColor="accent5" w:themeShade="BF"/>
        </w:rPr>
        <w:t xml:space="preserve">was </w:t>
      </w:r>
      <w:r w:rsidR="00580A2F" w:rsidRPr="00580A2F">
        <w:rPr>
          <w:rFonts w:ascii="Times New Roman" w:hAnsi="Times New Roman" w:cs="Times New Roman"/>
          <w:color w:val="2E74B5" w:themeColor="accent5" w:themeShade="BF"/>
        </w:rPr>
        <w:t xml:space="preserve">illustrated in the </w:t>
      </w:r>
      <w:r w:rsidR="00387822">
        <w:rPr>
          <w:rFonts w:ascii="Times New Roman" w:hAnsi="Times New Roman" w:cs="Times New Roman"/>
          <w:color w:val="2E74B5" w:themeColor="accent5" w:themeShade="BF"/>
        </w:rPr>
        <w:t>3</w:t>
      </w:r>
      <w:r w:rsidR="00580A2F" w:rsidRPr="00580A2F">
        <w:rPr>
          <w:rFonts w:ascii="Times New Roman" w:hAnsi="Times New Roman" w:cs="Times New Roman"/>
          <w:color w:val="2E74B5" w:themeColor="accent5" w:themeShade="BF"/>
        </w:rPr>
        <w:t xml:space="preserve">-node SEM. Two exogenous variables </w:t>
      </w:r>
      <w:r>
        <w:rPr>
          <w:rFonts w:ascii="Times New Roman" w:hAnsi="Times New Roman" w:cs="Times New Roman"/>
          <w:color w:val="2E74B5" w:themeColor="accent5" w:themeShade="BF"/>
        </w:rPr>
        <w:t>were</w:t>
      </w:r>
      <w:r w:rsidRPr="00580A2F">
        <w:rPr>
          <w:rFonts w:ascii="Times New Roman" w:hAnsi="Times New Roman" w:cs="Times New Roman"/>
          <w:color w:val="2E74B5" w:themeColor="accent5" w:themeShade="BF"/>
        </w:rPr>
        <w:t xml:space="preserve"> </w:t>
      </w:r>
      <w:r w:rsidR="00580A2F" w:rsidRPr="00580A2F">
        <w:rPr>
          <w:rFonts w:ascii="Times New Roman" w:hAnsi="Times New Roman" w:cs="Times New Roman"/>
          <w:color w:val="2E74B5" w:themeColor="accent5" w:themeShade="BF"/>
        </w:rPr>
        <w:t xml:space="preserve">“Gene Signature of GATA2 Direct Downstream Targets” and “PGR Gene Signature” respectively, and one endogenous variable </w:t>
      </w:r>
      <w:r>
        <w:rPr>
          <w:rFonts w:ascii="Times New Roman" w:hAnsi="Times New Roman" w:cs="Times New Roman"/>
          <w:color w:val="2E74B5" w:themeColor="accent5" w:themeShade="BF"/>
        </w:rPr>
        <w:t>was</w:t>
      </w:r>
      <w:r w:rsidRPr="00580A2F">
        <w:rPr>
          <w:rFonts w:ascii="Times New Roman" w:hAnsi="Times New Roman" w:cs="Times New Roman"/>
          <w:color w:val="2E74B5" w:themeColor="accent5" w:themeShade="BF"/>
        </w:rPr>
        <w:t xml:space="preserve"> </w:t>
      </w:r>
      <w:r w:rsidR="00580A2F" w:rsidRPr="00580A2F">
        <w:rPr>
          <w:rFonts w:ascii="Times New Roman" w:hAnsi="Times New Roman" w:cs="Times New Roman"/>
          <w:color w:val="2E74B5" w:themeColor="accent5" w:themeShade="BF"/>
        </w:rPr>
        <w:t>“SOX17 Expression Levels”.</w:t>
      </w:r>
      <w:r w:rsidR="00580A2F" w:rsidRPr="001246F3">
        <w:rPr>
          <w:rFonts w:ascii="Times New Roman" w:eastAsia="Times New Roman" w:hAnsi="Times New Roman" w:cs="Times New Roman"/>
          <w:color w:val="2E74B5" w:themeColor="accent5" w:themeShade="BF"/>
        </w:rPr>
        <w:t>”</w:t>
      </w:r>
    </w:p>
    <w:p w14:paraId="157FAB79" w14:textId="77777777" w:rsidR="00580A2F" w:rsidRPr="00897A12" w:rsidRDefault="00580A2F" w:rsidP="00897A12">
      <w:pPr>
        <w:spacing w:before="195" w:line="270" w:lineRule="atLeast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5503D3DF" w14:textId="77777777" w:rsidR="00827999" w:rsidRDefault="00827999"/>
    <w:sectPr w:rsidR="00827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12"/>
    <w:rsid w:val="00027720"/>
    <w:rsid w:val="00043753"/>
    <w:rsid w:val="00046752"/>
    <w:rsid w:val="000D4DA4"/>
    <w:rsid w:val="000F2516"/>
    <w:rsid w:val="000F253E"/>
    <w:rsid w:val="001246F3"/>
    <w:rsid w:val="00130566"/>
    <w:rsid w:val="00195076"/>
    <w:rsid w:val="001B16E9"/>
    <w:rsid w:val="0027237D"/>
    <w:rsid w:val="002934F3"/>
    <w:rsid w:val="00344190"/>
    <w:rsid w:val="00387822"/>
    <w:rsid w:val="003A3712"/>
    <w:rsid w:val="004B7B3A"/>
    <w:rsid w:val="00580A2F"/>
    <w:rsid w:val="005D1FF3"/>
    <w:rsid w:val="005D66BB"/>
    <w:rsid w:val="005E2EBE"/>
    <w:rsid w:val="005E6F9A"/>
    <w:rsid w:val="00634C8D"/>
    <w:rsid w:val="00690248"/>
    <w:rsid w:val="006F7E20"/>
    <w:rsid w:val="00757905"/>
    <w:rsid w:val="007D0191"/>
    <w:rsid w:val="008248E3"/>
    <w:rsid w:val="00827999"/>
    <w:rsid w:val="0086445D"/>
    <w:rsid w:val="00895BAA"/>
    <w:rsid w:val="00897A12"/>
    <w:rsid w:val="008B67FD"/>
    <w:rsid w:val="00A74652"/>
    <w:rsid w:val="00BE6E25"/>
    <w:rsid w:val="00CC5992"/>
    <w:rsid w:val="00CC5F02"/>
    <w:rsid w:val="00D21D52"/>
    <w:rsid w:val="00D509A9"/>
    <w:rsid w:val="00DD357B"/>
    <w:rsid w:val="00E00472"/>
    <w:rsid w:val="00FC244D"/>
    <w:rsid w:val="00FD2DEF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C835"/>
  <w15:chartTrackingRefBased/>
  <w15:docId w15:val="{7DE947BB-DB2A-6C4C-A453-5FC91B3D8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B7B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7B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7B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7B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7B3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7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9B836-7309-4899-A65A-122270BEC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Jianying (NIH/NIEHS) [C]</dc:creator>
  <cp:keywords/>
  <dc:description/>
  <cp:lastModifiedBy>Li, Jianying (NIH/NIEHS) [C]</cp:lastModifiedBy>
  <cp:revision>6</cp:revision>
  <dcterms:created xsi:type="dcterms:W3CDTF">2021-10-28T13:16:00Z</dcterms:created>
  <dcterms:modified xsi:type="dcterms:W3CDTF">2021-10-28T13:18:00Z</dcterms:modified>
</cp:coreProperties>
</file>