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ABF7" w14:textId="78FEB331" w:rsidR="00C27F78" w:rsidRDefault="00C27F78" w:rsidP="00994984">
      <w:pPr>
        <w:pStyle w:val="AuthorList"/>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xml:space="preserve">, </w:t>
      </w:r>
      <w:proofErr w:type="gramStart"/>
      <w:r>
        <w:rPr>
          <w:color w:val="000000"/>
        </w:rPr>
        <w:t>i.e.</w:t>
      </w:r>
      <w:proofErr w:type="gramEnd"/>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w:t>
      </w:r>
      <w:r>
        <w:lastRenderedPageBreak/>
        <w:t>through the significantly changed gene set. Such an information was projected into another system via gene orthologues and the activities of genes of interest will be calculated by</w:t>
      </w:r>
      <w:r w:rsidR="00B3431B">
        <w:t xml:space="preserve"> a two-</w:t>
      </w:r>
      <w:proofErr w:type="gramStart"/>
      <w:r w:rsidR="00B3431B">
        <w:t xml:space="preserve">side </w:t>
      </w:r>
      <w:r>
        <w:t xml:space="preserve"> </w:t>
      </w:r>
      <w:r w:rsidRPr="00E41667">
        <w:rPr>
          <w:color w:val="000000"/>
        </w:rPr>
        <w:t>t</w:t>
      </w:r>
      <w:proofErr w:type="gramEnd"/>
      <w:r w:rsidRPr="00E41667">
        <w:rPr>
          <w:color w:val="000000"/>
        </w:rPr>
        <w: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The application will conduct the analysis and produce inferred activity results reflected as T scores that can be used in subsequent downstream analyses.</w:t>
      </w:r>
    </w:p>
    <w:p w14:paraId="74BC7DA6" w14:textId="014137C4"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w:t>
      </w:r>
      <w:r w:rsidRPr="00C84EE8">
        <w:rPr>
          <w:lang w:eastAsia="en-US"/>
        </w:rPr>
        <w:lastRenderedPageBreak/>
        <w:t xml:space="preserve">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This feature involves bootstrapping simulation, it needs multicore hardware and can take more times depending on how many iterations users choose.</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8"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DA70959" w14:textId="57097FBC"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A biological hypothesis is tested in a model animal model (mouse) on relationship between two interacting factors (Fac1 &amp; Fac2) and their endpoints. The hypothesis is translated to another species (</w:t>
      </w:r>
      <w:proofErr w:type="gramStart"/>
      <w:r w:rsidR="00321121" w:rsidRPr="00321121">
        <w:t>i.e.</w:t>
      </w:r>
      <w:proofErr w:type="gramEnd"/>
      <w:r w:rsidR="00321121" w:rsidRPr="00321121">
        <w:t xml:space="preserv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model. These workflow steps are shown within the dotted rectangle on the right side of Figure </w:t>
      </w:r>
      <w:r w:rsidR="00321121">
        <w:t xml:space="preserve">1 with </w:t>
      </w:r>
      <w:r w:rsidR="00321121">
        <w:lastRenderedPageBreak/>
        <w:t xml:space="preserve">three major </w:t>
      </w:r>
      <w:r w:rsidR="006D60EC">
        <w:t>features implemented in the SEMPIPs App as the function tabs when the Shiny App is launched (Figure 2).</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w:t>
      </w:r>
      <w:proofErr w:type="gramStart"/>
      <w:r w:rsidR="006D60EC">
        <w:t xml:space="preserve">uploading </w:t>
      </w:r>
      <w:r w:rsidR="006D60EC" w:rsidRPr="00465DB5">
        <w:t>:</w:t>
      </w:r>
      <w:proofErr w:type="gramEnd"/>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proofErr w:type="gramStart"/>
      <w:r w:rsidR="00472115">
        <w:t>i.e.</w:t>
      </w:r>
      <w:proofErr w:type="gramEnd"/>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especially those important statistics will provide valuable information to the hypothesis of interest, which can be further validated from the bench experiment. Sometime, the results can help researchers to proposed new hypothesis</w:t>
      </w:r>
      <w:r w:rsidR="00197909">
        <w:t>.</w:t>
      </w:r>
    </w:p>
    <w:p w14:paraId="00279135" w14:textId="4937BA59" w:rsidR="00AD3C19" w:rsidRDefault="00B40490" w:rsidP="00A704FB">
      <w:pPr>
        <w:spacing w:before="240" w:line="480" w:lineRule="auto"/>
      </w:pPr>
      <w:r>
        <w:lastRenderedPageBreak/>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w:t>
      </w:r>
      <w:proofErr w:type="gramStart"/>
      <w:r w:rsidRPr="00E41667">
        <w:rPr>
          <w:color w:val="333333"/>
          <w:shd w:val="clear" w:color="auto" w:fill="FFFFFF"/>
        </w:rPr>
        <w:t>GATA2</w:t>
      </w:r>
      <w:proofErr w:type="gramEnd"/>
      <w:r w:rsidRPr="00E41667">
        <w:rPr>
          <w:color w:val="333333"/>
          <w:shd w:val="clear" w:color="auto" w:fill="FFFFFF"/>
        </w:rPr>
        <w:t xml:space="preserve">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t>
      </w:r>
      <w:r w:rsidRPr="00E41667">
        <w:lastRenderedPageBreak/>
        <w:t xml:space="preserve">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w:t>
      </w:r>
      <w:r w:rsidRPr="00E32876">
        <w:rPr>
          <w:lang w:eastAsia="en-US"/>
        </w:rPr>
        <w:lastRenderedPageBreak/>
        <w:t xml:space="preserve">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2DBC4980" w14:textId="61C2EC95" w:rsidR="003D38CE" w:rsidRPr="0088513A" w:rsidRDefault="00E32876" w:rsidP="00994984">
      <w:pPr>
        <w:spacing w:after="160" w:line="480" w:lineRule="auto"/>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sectPr w:rsidR="003D38CE" w:rsidRPr="0088513A"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19FE0" w14:textId="77777777" w:rsidR="005F00D4" w:rsidRDefault="005F00D4" w:rsidP="00117666">
      <w:r>
        <w:separator/>
      </w:r>
    </w:p>
  </w:endnote>
  <w:endnote w:type="continuationSeparator" w:id="0">
    <w:p w14:paraId="52223046" w14:textId="77777777" w:rsidR="005F00D4" w:rsidRDefault="005F00D4"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14CB0" w14:textId="77777777" w:rsidR="005F00D4" w:rsidRDefault="005F00D4" w:rsidP="00117666">
      <w:r>
        <w:separator/>
      </w:r>
    </w:p>
  </w:footnote>
  <w:footnote w:type="continuationSeparator" w:id="0">
    <w:p w14:paraId="71D6CA17" w14:textId="77777777" w:rsidR="005F00D4" w:rsidRDefault="005F00D4"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50AE"/>
    <w:rsid w:val="00147395"/>
    <w:rsid w:val="00150DC7"/>
    <w:rsid w:val="001552C9"/>
    <w:rsid w:val="00177D84"/>
    <w:rsid w:val="001964EF"/>
    <w:rsid w:val="00197909"/>
    <w:rsid w:val="001B1A2C"/>
    <w:rsid w:val="001C1BB8"/>
    <w:rsid w:val="001D44B3"/>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16628"/>
    <w:rsid w:val="00321121"/>
    <w:rsid w:val="003544FB"/>
    <w:rsid w:val="00357DBA"/>
    <w:rsid w:val="00365D63"/>
    <w:rsid w:val="0036793B"/>
    <w:rsid w:val="00372682"/>
    <w:rsid w:val="00376CC5"/>
    <w:rsid w:val="0039693B"/>
    <w:rsid w:val="003B0809"/>
    <w:rsid w:val="003D2F2D"/>
    <w:rsid w:val="003D38CE"/>
    <w:rsid w:val="00401590"/>
    <w:rsid w:val="00406D4D"/>
    <w:rsid w:val="00410F17"/>
    <w:rsid w:val="00422C94"/>
    <w:rsid w:val="00463E3D"/>
    <w:rsid w:val="004645AE"/>
    <w:rsid w:val="00472115"/>
    <w:rsid w:val="0048335C"/>
    <w:rsid w:val="004A7FB2"/>
    <w:rsid w:val="004C3419"/>
    <w:rsid w:val="004D3E33"/>
    <w:rsid w:val="004F7DE7"/>
    <w:rsid w:val="005018F9"/>
    <w:rsid w:val="005250F2"/>
    <w:rsid w:val="00543A0C"/>
    <w:rsid w:val="005A1D84"/>
    <w:rsid w:val="005A70EA"/>
    <w:rsid w:val="005C3963"/>
    <w:rsid w:val="005D1840"/>
    <w:rsid w:val="005D35E4"/>
    <w:rsid w:val="005D7910"/>
    <w:rsid w:val="005F00D4"/>
    <w:rsid w:val="00617719"/>
    <w:rsid w:val="0062154F"/>
    <w:rsid w:val="00631A8C"/>
    <w:rsid w:val="00640423"/>
    <w:rsid w:val="00651CA2"/>
    <w:rsid w:val="00653D60"/>
    <w:rsid w:val="00660D05"/>
    <w:rsid w:val="00671D9A"/>
    <w:rsid w:val="006728BF"/>
    <w:rsid w:val="00673952"/>
    <w:rsid w:val="00681821"/>
    <w:rsid w:val="00686C9D"/>
    <w:rsid w:val="00697B78"/>
    <w:rsid w:val="006B2D5B"/>
    <w:rsid w:val="006B7D14"/>
    <w:rsid w:val="006D2395"/>
    <w:rsid w:val="006D5B93"/>
    <w:rsid w:val="006D60EC"/>
    <w:rsid w:val="00721D81"/>
    <w:rsid w:val="00725A7D"/>
    <w:rsid w:val="0073085C"/>
    <w:rsid w:val="00733784"/>
    <w:rsid w:val="00746505"/>
    <w:rsid w:val="00747B76"/>
    <w:rsid w:val="00790BB3"/>
    <w:rsid w:val="00792043"/>
    <w:rsid w:val="00797EDD"/>
    <w:rsid w:val="007B0322"/>
    <w:rsid w:val="007B2409"/>
    <w:rsid w:val="007C0E3F"/>
    <w:rsid w:val="007C206C"/>
    <w:rsid w:val="007C5729"/>
    <w:rsid w:val="00802544"/>
    <w:rsid w:val="008111E4"/>
    <w:rsid w:val="0081301C"/>
    <w:rsid w:val="008159AC"/>
    <w:rsid w:val="00817DD6"/>
    <w:rsid w:val="00824EFC"/>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4984"/>
    <w:rsid w:val="009955FF"/>
    <w:rsid w:val="009A1FC1"/>
    <w:rsid w:val="009D259D"/>
    <w:rsid w:val="00A50D9D"/>
    <w:rsid w:val="00A53000"/>
    <w:rsid w:val="00A545C6"/>
    <w:rsid w:val="00A652D0"/>
    <w:rsid w:val="00A65F72"/>
    <w:rsid w:val="00A704FB"/>
    <w:rsid w:val="00A75F87"/>
    <w:rsid w:val="00A95D8B"/>
    <w:rsid w:val="00AA6E92"/>
    <w:rsid w:val="00AC0270"/>
    <w:rsid w:val="00AC3EA3"/>
    <w:rsid w:val="00AC792D"/>
    <w:rsid w:val="00AD3C19"/>
    <w:rsid w:val="00AE1361"/>
    <w:rsid w:val="00AE6AD9"/>
    <w:rsid w:val="00B009B7"/>
    <w:rsid w:val="00B3431B"/>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02E1"/>
    <w:rsid w:val="00D80D99"/>
    <w:rsid w:val="00D9503C"/>
    <w:rsid w:val="00DA5174"/>
    <w:rsid w:val="00DD73EF"/>
    <w:rsid w:val="00DE23E8"/>
    <w:rsid w:val="00E0128B"/>
    <w:rsid w:val="00E077CE"/>
    <w:rsid w:val="00E32876"/>
    <w:rsid w:val="00E64E17"/>
    <w:rsid w:val="00E70589"/>
    <w:rsid w:val="00E72D66"/>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EHS/SEMIP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5</TotalTime>
  <Pages>7</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7</cp:revision>
  <cp:lastPrinted>2013-10-03T12:51:00Z</cp:lastPrinted>
  <dcterms:created xsi:type="dcterms:W3CDTF">2021-06-09T14:30:00Z</dcterms:created>
  <dcterms:modified xsi:type="dcterms:W3CDTF">2021-06-09T14:37:00Z</dcterms:modified>
</cp:coreProperties>
</file>