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68" w:rsidRPr="00C26368" w:rsidRDefault="00C26368" w:rsidP="00C26368">
      <w:pPr>
        <w:jc w:val="center"/>
        <w:rPr>
          <w:b/>
          <w:sz w:val="28"/>
          <w:szCs w:val="28"/>
        </w:rPr>
      </w:pPr>
      <w:r w:rsidRPr="00C26368">
        <w:rPr>
          <w:b/>
          <w:sz w:val="28"/>
          <w:szCs w:val="28"/>
        </w:rPr>
        <w:t>A Guided Tour of the CoT-NIEM IEPD</w:t>
      </w:r>
      <w:r w:rsidRPr="00C26368">
        <w:rPr>
          <w:b/>
          <w:sz w:val="28"/>
          <w:szCs w:val="28"/>
        </w:rPr>
        <w:br/>
      </w:r>
    </w:p>
    <w:p w:rsidR="007865DB" w:rsidRDefault="00CF51C7" w:rsidP="00CF51C7">
      <w:pPr>
        <w:pStyle w:val="ListParagraph"/>
        <w:numPr>
          <w:ilvl w:val="0"/>
          <w:numId w:val="7"/>
        </w:numPr>
        <w:contextualSpacing w:val="0"/>
      </w:pPr>
      <w:r>
        <w:t xml:space="preserve">Start with </w:t>
      </w:r>
      <w:r w:rsidRPr="00CF51C7">
        <w:rPr>
          <w:rFonts w:ascii="Courier New" w:hAnsi="Courier New" w:cs="Courier New"/>
          <w:sz w:val="20"/>
          <w:szCs w:val="20"/>
        </w:rPr>
        <w:t>master-document.txt</w:t>
      </w:r>
      <w:r>
        <w:t>, which explains the purpose of the CoT-NIEM information exchange package description (IEPD).</w:t>
      </w:r>
    </w:p>
    <w:p w:rsidR="00CF51C7" w:rsidRDefault="00CF51C7" w:rsidP="00CF51C7">
      <w:pPr>
        <w:pStyle w:val="ListParagraph"/>
        <w:numPr>
          <w:ilvl w:val="0"/>
          <w:numId w:val="7"/>
        </w:numPr>
        <w:contextualSpacing w:val="0"/>
      </w:pPr>
      <w:r>
        <w:t xml:space="preserve">Next look at the sample XML documents in </w:t>
      </w:r>
      <w:r w:rsidRPr="00D30E43">
        <w:rPr>
          <w:rFonts w:ascii="Courier New" w:hAnsi="Courier New" w:cs="Courier New"/>
          <w:sz w:val="20"/>
          <w:szCs w:val="20"/>
        </w:rPr>
        <w:t>iep-samples</w:t>
      </w:r>
      <w:r>
        <w:t xml:space="preserve">.  </w:t>
      </w:r>
      <w:r w:rsidRPr="00D30E43">
        <w:rPr>
          <w:rFonts w:ascii="Courier New" w:hAnsi="Courier New" w:cs="Courier New"/>
          <w:sz w:val="20"/>
          <w:szCs w:val="20"/>
        </w:rPr>
        <w:t>cot-iep1.xml</w:t>
      </w:r>
      <w:r>
        <w:t xml:space="preserve"> is a CoT-NIEM information exchange package (IEP) that exercises all of the components.  </w:t>
      </w:r>
      <w:r w:rsidRPr="00D30E43">
        <w:rPr>
          <w:rFonts w:ascii="Courier New" w:hAnsi="Courier New" w:cs="Courier New"/>
          <w:sz w:val="20"/>
          <w:szCs w:val="20"/>
        </w:rPr>
        <w:t xml:space="preserve">cot-2.0-msg.xml </w:t>
      </w:r>
      <w:r>
        <w:t>is the equivalent information in CoT 2.0 syntax.</w:t>
      </w:r>
    </w:p>
    <w:p w:rsidR="00CF51C7" w:rsidRDefault="00CF51C7" w:rsidP="00CF51C7">
      <w:pPr>
        <w:pStyle w:val="ListParagraph"/>
        <w:numPr>
          <w:ilvl w:val="0"/>
          <w:numId w:val="7"/>
        </w:numPr>
        <w:contextualSpacing w:val="0"/>
      </w:pPr>
      <w:r>
        <w:t xml:space="preserve">Now look at </w:t>
      </w:r>
      <w:r w:rsidRPr="00D30E43">
        <w:rPr>
          <w:rFonts w:ascii="Courier New" w:hAnsi="Courier New" w:cs="Courier New"/>
          <w:sz w:val="20"/>
          <w:szCs w:val="20"/>
        </w:rPr>
        <w:t>extension/milops-future.xsd</w:t>
      </w:r>
      <w:r>
        <w:t xml:space="preserve">.  </w:t>
      </w:r>
      <w:r w:rsidR="00557F45">
        <w:t xml:space="preserve">This is a subset of a hypothetical future MilOps domain reference schema. </w:t>
      </w:r>
      <w:r w:rsidR="00F167D6">
        <w:t>There are about 60 new data components</w:t>
      </w:r>
      <w:r w:rsidR="007F7D5B">
        <w:t xml:space="preserve">.  With these you have the basis of a generic what-where-when event message, which can be customized into a CoT equivalent or into something else.  Look at </w:t>
      </w:r>
      <w:r w:rsidR="007F7D5B" w:rsidRPr="00D30E43">
        <w:rPr>
          <w:rFonts w:ascii="Courier New" w:hAnsi="Courier New" w:cs="Courier New"/>
          <w:sz w:val="20"/>
          <w:szCs w:val="20"/>
        </w:rPr>
        <w:t>iep-samples/milops-event.xml</w:t>
      </w:r>
      <w:r w:rsidR="007F7D5B">
        <w:t xml:space="preserve"> to see </w:t>
      </w:r>
      <w:r w:rsidR="00604D31">
        <w:t>a</w:t>
      </w:r>
      <w:r w:rsidR="007F7D5B">
        <w:t xml:space="preserve"> generic MilOps event message.</w:t>
      </w:r>
    </w:p>
    <w:p w:rsidR="007F7D5B" w:rsidRDefault="00D30E43" w:rsidP="00CF51C7">
      <w:pPr>
        <w:pStyle w:val="ListParagraph"/>
        <w:numPr>
          <w:ilvl w:val="0"/>
          <w:numId w:val="7"/>
        </w:numPr>
        <w:contextualSpacing w:val="0"/>
      </w:pPr>
      <w:r>
        <w:t xml:space="preserve">Finally, look at </w:t>
      </w:r>
      <w:r w:rsidRPr="00C26368">
        <w:rPr>
          <w:rFonts w:ascii="Courier New" w:hAnsi="Courier New" w:cs="Courier New"/>
          <w:sz w:val="20"/>
          <w:szCs w:val="20"/>
        </w:rPr>
        <w:t>extension/cot-niem.xsd</w:t>
      </w:r>
      <w:r>
        <w:t xml:space="preserve">.  This is an extension schema defining CoT-NIEM data components which we </w:t>
      </w:r>
      <w:r w:rsidR="00604D31">
        <w:t>do not hope or expect</w:t>
      </w:r>
      <w:r>
        <w:t xml:space="preserve"> to find in the </w:t>
      </w:r>
      <w:r w:rsidR="00604D31">
        <w:t xml:space="preserve">future </w:t>
      </w:r>
      <w:r>
        <w:t>MilOps domain.</w:t>
      </w:r>
    </w:p>
    <w:p w:rsidR="00D30E43" w:rsidRDefault="0045670D" w:rsidP="00CF51C7">
      <w:pPr>
        <w:pStyle w:val="ListParagraph"/>
        <w:numPr>
          <w:ilvl w:val="0"/>
          <w:numId w:val="7"/>
        </w:numPr>
        <w:contextualSpacing w:val="0"/>
      </w:pPr>
      <w:r>
        <w:t>CoT-NIEM IEPD s</w:t>
      </w:r>
      <w:r w:rsidR="00D30E43">
        <w:t>tatistics:</w:t>
      </w:r>
    </w:p>
    <w:p w:rsidR="00D30E43" w:rsidRDefault="00D30E43" w:rsidP="00D30E43">
      <w:pPr>
        <w:pStyle w:val="ListParagraph"/>
        <w:numPr>
          <w:ilvl w:val="1"/>
          <w:numId w:val="7"/>
        </w:numPr>
        <w:tabs>
          <w:tab w:val="decimal" w:pos="6120"/>
        </w:tabs>
      </w:pPr>
      <w:r>
        <w:t>Components reused from NIEM Core</w:t>
      </w:r>
      <w:r>
        <w:tab/>
        <w:t>69</w:t>
      </w:r>
    </w:p>
    <w:p w:rsidR="00D30E43" w:rsidRDefault="00D30E43" w:rsidP="00D30E43">
      <w:pPr>
        <w:pStyle w:val="ListParagraph"/>
        <w:numPr>
          <w:ilvl w:val="1"/>
          <w:numId w:val="7"/>
        </w:numPr>
        <w:tabs>
          <w:tab w:val="decimal" w:pos="6120"/>
        </w:tabs>
      </w:pPr>
      <w:r>
        <w:t>Components reused from MilOps-Future</w:t>
      </w:r>
      <w:r>
        <w:tab/>
        <w:t>58</w:t>
      </w:r>
    </w:p>
    <w:p w:rsidR="00D30E43" w:rsidRDefault="00D30E43" w:rsidP="00D30E43">
      <w:pPr>
        <w:pStyle w:val="ListParagraph"/>
        <w:numPr>
          <w:ilvl w:val="1"/>
          <w:numId w:val="7"/>
        </w:numPr>
        <w:tabs>
          <w:tab w:val="decimal" w:pos="6120"/>
        </w:tabs>
      </w:pPr>
      <w:r>
        <w:t>Components created specially for CoT-NIEM</w:t>
      </w:r>
      <w:r>
        <w:tab/>
        <w:t>79</w:t>
      </w:r>
    </w:p>
    <w:p w:rsidR="00D30E43" w:rsidRDefault="00D30E43" w:rsidP="00D30E43">
      <w:pPr>
        <w:pStyle w:val="ListParagraph"/>
        <w:numPr>
          <w:ilvl w:val="1"/>
          <w:numId w:val="7"/>
        </w:numPr>
        <w:tabs>
          <w:tab w:val="decimal" w:pos="6120"/>
        </w:tabs>
      </w:pPr>
      <w:r>
        <w:t>Extensions of core components</w:t>
      </w:r>
      <w:r>
        <w:tab/>
        <w:t>5</w:t>
      </w:r>
    </w:p>
    <w:p w:rsidR="00D30E43" w:rsidRDefault="00D30E43" w:rsidP="00D30E43">
      <w:pPr>
        <w:pStyle w:val="ListParagraph"/>
        <w:numPr>
          <w:ilvl w:val="1"/>
          <w:numId w:val="7"/>
        </w:numPr>
        <w:tabs>
          <w:tab w:val="decimal" w:pos="6120"/>
        </w:tabs>
        <w:contextualSpacing w:val="0"/>
      </w:pPr>
      <w:r>
        <w:t>Substitutions for core components</w:t>
      </w:r>
      <w:r>
        <w:tab/>
        <w:t>11</w:t>
      </w:r>
    </w:p>
    <w:p w:rsidR="00D30E43" w:rsidRDefault="00604D31" w:rsidP="00D30E43">
      <w:r>
        <w:t>Other t</w:t>
      </w:r>
      <w:r w:rsidR="0045670D">
        <w:t xml:space="preserve">hings worth </w:t>
      </w:r>
      <w:r w:rsidR="00C946FF">
        <w:t>observing</w:t>
      </w:r>
      <w:r w:rsidR="0045670D">
        <w:t>:</w:t>
      </w:r>
    </w:p>
    <w:p w:rsidR="00642EB0" w:rsidRDefault="00642EB0" w:rsidP="00C946FF">
      <w:pPr>
        <w:pStyle w:val="ListParagraph"/>
        <w:numPr>
          <w:ilvl w:val="0"/>
          <w:numId w:val="7"/>
        </w:numPr>
        <w:contextualSpacing w:val="0"/>
      </w:pPr>
      <w:r>
        <w:t xml:space="preserve">Values for </w:t>
      </w:r>
      <w:r w:rsidRPr="00642EB0">
        <w:rPr>
          <w:rFonts w:ascii="Courier New" w:hAnsi="Courier New" w:cs="Courier New"/>
          <w:sz w:val="20"/>
          <w:szCs w:val="20"/>
        </w:rPr>
        <w:t>cot:EventTypeCode</w:t>
      </w:r>
      <w:r>
        <w:t xml:space="preserve"> are drawn from a taxonomy described in </w:t>
      </w:r>
      <w:r w:rsidRPr="00642EB0">
        <w:rPr>
          <w:rFonts w:ascii="Courier New" w:hAnsi="Courier New" w:cs="Courier New"/>
          <w:sz w:val="20"/>
          <w:szCs w:val="20"/>
        </w:rPr>
        <w:t>extension/event-type-code.owl</w:t>
      </w:r>
      <w:r>
        <w:t xml:space="preserve">.  The classes in that OWL taxonomy are mapped to the classes in </w:t>
      </w:r>
      <w:r w:rsidRPr="00642EB0">
        <w:rPr>
          <w:rFonts w:ascii="Courier New" w:hAnsi="Courier New" w:cs="Courier New"/>
          <w:sz w:val="20"/>
          <w:szCs w:val="20"/>
        </w:rPr>
        <w:t>extension/milstd-2525C-sym.owl</w:t>
      </w:r>
      <w:r w:rsidRPr="00642EB0">
        <w:t>.</w:t>
      </w:r>
      <w:r>
        <w:t xml:space="preserve"> This illustrates what is needed to use OWL taxonomies in NIEM messages.</w:t>
      </w:r>
    </w:p>
    <w:p w:rsidR="00C946FF" w:rsidRDefault="00C946FF" w:rsidP="00C946FF">
      <w:pPr>
        <w:pStyle w:val="ListParagraph"/>
        <w:numPr>
          <w:ilvl w:val="0"/>
          <w:numId w:val="7"/>
        </w:numPr>
        <w:contextualSpacing w:val="0"/>
      </w:pPr>
      <w:r>
        <w:t xml:space="preserve">The business rules for CoT-NIEM IEPs in </w:t>
      </w:r>
      <w:r w:rsidRPr="00C26368">
        <w:rPr>
          <w:rFonts w:ascii="Courier New" w:hAnsi="Courier New" w:cs="Courier New"/>
          <w:sz w:val="20"/>
          <w:szCs w:val="20"/>
        </w:rPr>
        <w:t>schematron/business-rules.sch</w:t>
      </w:r>
      <w:r>
        <w:t>.  These define additional constraints that would be difficult or impossible to define in XML Schema.</w:t>
      </w:r>
    </w:p>
    <w:p w:rsidR="00C946FF" w:rsidRDefault="00C946FF" w:rsidP="00C946FF">
      <w:pPr>
        <w:pStyle w:val="ListParagraph"/>
        <w:numPr>
          <w:ilvl w:val="0"/>
          <w:numId w:val="7"/>
        </w:numPr>
        <w:contextualSpacing w:val="0"/>
      </w:pPr>
      <w:r>
        <w:t xml:space="preserve">The schematron business rules attached to data components within a reference schema in </w:t>
      </w:r>
      <w:r w:rsidRPr="00C26368">
        <w:rPr>
          <w:rFonts w:ascii="Courier New" w:hAnsi="Courier New" w:cs="Courier New"/>
          <w:sz w:val="20"/>
          <w:szCs w:val="20"/>
        </w:rPr>
        <w:t>milops-future.xsd</w:t>
      </w:r>
      <w:r>
        <w:t>.  The missing context for each rule (</w:t>
      </w:r>
      <w:r w:rsidRPr="00C26368">
        <w:rPr>
          <w:rFonts w:ascii="Courier New" w:hAnsi="Courier New" w:cs="Courier New"/>
          <w:sz w:val="20"/>
          <w:szCs w:val="20"/>
        </w:rPr>
        <w:t>sch:pattern</w:t>
      </w:r>
      <w:r>
        <w:t xml:space="preserve">, </w:t>
      </w:r>
      <w:r w:rsidRPr="00C26368">
        <w:rPr>
          <w:rFonts w:ascii="Courier New" w:hAnsi="Courier New" w:cs="Courier New"/>
          <w:sz w:val="20"/>
          <w:szCs w:val="20"/>
        </w:rPr>
        <w:t>sch:rule</w:t>
      </w:r>
      <w:r>
        <w:t xml:space="preserve">, etc.) can be automatically generated from the reference schema.  To see what that completed context would look like, examine </w:t>
      </w:r>
      <w:r w:rsidRPr="00C26368">
        <w:rPr>
          <w:rFonts w:ascii="Courier New" w:hAnsi="Courier New" w:cs="Courier New"/>
          <w:sz w:val="20"/>
          <w:szCs w:val="20"/>
        </w:rPr>
        <w:t>schematron/schema-rules.sch</w:t>
      </w:r>
    </w:p>
    <w:p w:rsidR="00C946FF" w:rsidRDefault="00C946FF" w:rsidP="00C946FF">
      <w:pPr>
        <w:pStyle w:val="ListParagraph"/>
        <w:numPr>
          <w:ilvl w:val="0"/>
          <w:numId w:val="7"/>
        </w:numPr>
        <w:contextualSpacing w:val="0"/>
      </w:pPr>
      <w:r>
        <w:t xml:space="preserve">The way that </w:t>
      </w:r>
      <w:r w:rsidRPr="00C26368">
        <w:rPr>
          <w:rFonts w:ascii="Courier New" w:hAnsi="Courier New" w:cs="Courier New"/>
          <w:sz w:val="20"/>
          <w:szCs w:val="20"/>
        </w:rPr>
        <w:t>cot-niem.xsd</w:t>
      </w:r>
      <w:r>
        <w:t xml:space="preserve"> first restricts, then extends the generic </w:t>
      </w:r>
      <w:r w:rsidRPr="00C26368">
        <w:rPr>
          <w:rFonts w:ascii="Courier New" w:hAnsi="Courier New" w:cs="Courier New"/>
          <w:sz w:val="20"/>
          <w:szCs w:val="20"/>
        </w:rPr>
        <w:t>EventType</w:t>
      </w:r>
      <w:r>
        <w:t xml:space="preserve"> in </w:t>
      </w:r>
      <w:r w:rsidRPr="00C26368">
        <w:rPr>
          <w:rFonts w:ascii="Courier New" w:hAnsi="Courier New" w:cs="Courier New"/>
          <w:sz w:val="20"/>
          <w:szCs w:val="20"/>
        </w:rPr>
        <w:t>milops-future</w:t>
      </w:r>
      <w:r>
        <w:t xml:space="preserve">.  See how CoT-NIEM imposes its own (more restrictive) </w:t>
      </w:r>
      <w:r w:rsidRPr="00C26368">
        <w:rPr>
          <w:rFonts w:ascii="Courier New" w:hAnsi="Courier New" w:cs="Courier New"/>
          <w:sz w:val="20"/>
          <w:szCs w:val="20"/>
        </w:rPr>
        <w:t>EventID</w:t>
      </w:r>
      <w:r>
        <w:t xml:space="preserve"> and </w:t>
      </w:r>
      <w:r w:rsidRPr="00C26368">
        <w:rPr>
          <w:rFonts w:ascii="Courier New" w:hAnsi="Courier New" w:cs="Courier New"/>
          <w:sz w:val="20"/>
          <w:szCs w:val="20"/>
        </w:rPr>
        <w:t>EventTypeCode</w:t>
      </w:r>
      <w:r>
        <w:t>.</w:t>
      </w:r>
      <w:bookmarkStart w:id="0" w:name="_GoBack"/>
      <w:bookmarkEnd w:id="0"/>
    </w:p>
    <w:p w:rsidR="00C26368" w:rsidRDefault="00C26368" w:rsidP="00C946FF">
      <w:pPr>
        <w:pStyle w:val="ListParagraph"/>
        <w:numPr>
          <w:ilvl w:val="0"/>
          <w:numId w:val="7"/>
        </w:numPr>
        <w:contextualSpacing w:val="0"/>
      </w:pPr>
      <w:r>
        <w:lastRenderedPageBreak/>
        <w:t xml:space="preserve">The use of the </w:t>
      </w:r>
      <w:r w:rsidRPr="00604D31">
        <w:rPr>
          <w:rFonts w:ascii="Courier New" w:hAnsi="Courier New" w:cs="Courier New"/>
          <w:sz w:val="20"/>
          <w:szCs w:val="20"/>
        </w:rPr>
        <w:t>xs:any</w:t>
      </w:r>
      <w:r>
        <w:t xml:space="preserve"> wildcard in </w:t>
      </w:r>
      <w:r w:rsidRPr="00604D31">
        <w:rPr>
          <w:rFonts w:ascii="Courier New" w:hAnsi="Courier New" w:cs="Courier New"/>
          <w:sz w:val="20"/>
          <w:szCs w:val="20"/>
        </w:rPr>
        <w:t>cot:EventCommunityExtensions</w:t>
      </w:r>
      <w:r>
        <w:t xml:space="preserve">.  This is allowed by the NDR and is essential to lossless round-trip translation.  It does require making a subset of </w:t>
      </w:r>
      <w:r w:rsidRPr="000301A8">
        <w:rPr>
          <w:rFonts w:ascii="Courier New" w:hAnsi="Courier New" w:cs="Courier New"/>
          <w:sz w:val="20"/>
          <w:szCs w:val="20"/>
        </w:rPr>
        <w:t>structures.xsd</w:t>
      </w:r>
      <w:r>
        <w:t xml:space="preserve"> for </w:t>
      </w:r>
      <w:r w:rsidR="00371768">
        <w:t>the IEPD, which also is allowed (but not presently supported by SSGT).</w:t>
      </w:r>
    </w:p>
    <w:p w:rsidR="00C946FF" w:rsidRDefault="00C946FF" w:rsidP="00C946FF">
      <w:pPr>
        <w:pStyle w:val="ListParagraph"/>
        <w:numPr>
          <w:ilvl w:val="0"/>
          <w:numId w:val="7"/>
        </w:numPr>
        <w:contextualSpacing w:val="0"/>
      </w:pPr>
      <w:r>
        <w:t xml:space="preserve">The customized schemas for EXI encoding, </w:t>
      </w:r>
      <w:r w:rsidRPr="00C26368">
        <w:rPr>
          <w:rFonts w:ascii="Courier New" w:hAnsi="Courier New" w:cs="Courier New"/>
          <w:sz w:val="20"/>
          <w:szCs w:val="20"/>
        </w:rPr>
        <w:t>xsd-exi/xs.xsd</w:t>
      </w:r>
      <w:r>
        <w:t xml:space="preserve"> and </w:t>
      </w:r>
      <w:r w:rsidRPr="00C26368">
        <w:rPr>
          <w:rFonts w:ascii="Courier New" w:hAnsi="Courier New" w:cs="Courier New"/>
          <w:sz w:val="20"/>
          <w:szCs w:val="20"/>
        </w:rPr>
        <w:t>xsd-exi/gml.xsd</w:t>
      </w:r>
      <w:r>
        <w:t>. Thes</w:t>
      </w:r>
      <w:r w:rsidR="00C26368">
        <w:t xml:space="preserve">e </w:t>
      </w:r>
      <w:r>
        <w:t xml:space="preserve">permit more efficient encoding than the </w:t>
      </w:r>
      <w:r w:rsidR="00C26368">
        <w:t xml:space="preserve">stock schemas used for validation and conformance. The file </w:t>
      </w:r>
      <w:r w:rsidR="00C26368" w:rsidRPr="00C26368">
        <w:rPr>
          <w:rFonts w:ascii="Courier New" w:hAnsi="Courier New" w:cs="Courier New"/>
          <w:sz w:val="20"/>
          <w:szCs w:val="20"/>
        </w:rPr>
        <w:t>xml-catalog-exi.xml</w:t>
      </w:r>
      <w:r w:rsidR="00C26368">
        <w:t xml:space="preserve"> defines the exact schema set to be used when EXI encoding and decoding a CoT-NIEM IEP.  </w:t>
      </w:r>
    </w:p>
    <w:p w:rsidR="000301A8" w:rsidRDefault="000301A8" w:rsidP="000301A8">
      <w:r>
        <w:t>In the future:</w:t>
      </w:r>
    </w:p>
    <w:p w:rsidR="00642EB0" w:rsidRPr="007865DB" w:rsidRDefault="00642EB0" w:rsidP="00C946FF">
      <w:pPr>
        <w:pStyle w:val="ListParagraph"/>
        <w:numPr>
          <w:ilvl w:val="0"/>
          <w:numId w:val="7"/>
        </w:numPr>
        <w:contextualSpacing w:val="0"/>
      </w:pPr>
      <w:r>
        <w:t xml:space="preserve">I’d like to see SSGT modified so that everything it generates falls into the </w:t>
      </w:r>
      <w:r w:rsidRPr="000301A8">
        <w:rPr>
          <w:rFonts w:ascii="Courier New" w:hAnsi="Courier New" w:cs="Courier New"/>
          <w:sz w:val="20"/>
          <w:szCs w:val="20"/>
        </w:rPr>
        <w:t>niem</w:t>
      </w:r>
      <w:r>
        <w:t xml:space="preserve"> directory.  </w:t>
      </w:r>
      <w:r w:rsidR="000301A8">
        <w:t xml:space="preserve">That would require moving </w:t>
      </w:r>
      <w:r w:rsidR="000301A8" w:rsidRPr="000301A8">
        <w:rPr>
          <w:rFonts w:ascii="Courier New" w:hAnsi="Courier New" w:cs="Courier New"/>
          <w:sz w:val="20"/>
          <w:szCs w:val="20"/>
        </w:rPr>
        <w:t>wantlist.xml</w:t>
      </w:r>
      <w:r w:rsidR="000301A8">
        <w:t xml:space="preserve"> and </w:t>
      </w:r>
      <w:r w:rsidR="000301A8" w:rsidRPr="000301A8">
        <w:rPr>
          <w:rFonts w:ascii="Courier New" w:hAnsi="Courier New" w:cs="Courier New"/>
          <w:sz w:val="20"/>
          <w:szCs w:val="20"/>
        </w:rPr>
        <w:t>xml-catalog.xml</w:t>
      </w:r>
      <w:r w:rsidR="000301A8">
        <w:t xml:space="preserve"> into </w:t>
      </w:r>
      <w:r w:rsidR="000301A8" w:rsidRPr="000301A8">
        <w:rPr>
          <w:rFonts w:ascii="Courier New" w:hAnsi="Courier New" w:cs="Courier New"/>
          <w:sz w:val="20"/>
          <w:szCs w:val="20"/>
        </w:rPr>
        <w:t>niem</w:t>
      </w:r>
      <w:r w:rsidR="000301A8">
        <w:t xml:space="preserve">.  </w:t>
      </w:r>
      <w:r>
        <w:t xml:space="preserve">I’d </w:t>
      </w:r>
      <w:r w:rsidR="000301A8">
        <w:t xml:space="preserve">also </w:t>
      </w:r>
      <w:r>
        <w:t xml:space="preserve">like </w:t>
      </w:r>
      <w:r w:rsidR="000301A8">
        <w:t xml:space="preserve">a convention which says that </w:t>
      </w:r>
      <w:r>
        <w:t xml:space="preserve">everything in the </w:t>
      </w:r>
      <w:r w:rsidRPr="000301A8">
        <w:rPr>
          <w:rFonts w:ascii="Courier New" w:hAnsi="Courier New" w:cs="Courier New"/>
          <w:sz w:val="20"/>
          <w:szCs w:val="20"/>
        </w:rPr>
        <w:t>niem</w:t>
      </w:r>
      <w:r>
        <w:t xml:space="preserve"> directory </w:t>
      </w:r>
      <w:r w:rsidR="000301A8">
        <w:t>is</w:t>
      </w:r>
      <w:r>
        <w:t xml:space="preserve"> SSGT output</w:t>
      </w:r>
      <w:r w:rsidR="00371768">
        <w:t xml:space="preserve"> (presuming you are using SSGT)</w:t>
      </w:r>
      <w:r>
        <w:t>.</w:t>
      </w:r>
      <w:r w:rsidR="000301A8">
        <w:t xml:space="preserve">  If you want to manually muck around with a subset schema, then you copy it into another directory and adjust the catalog files.  I’ve done all that rearranging in this IEPD, so you can see what it would look like.</w:t>
      </w:r>
    </w:p>
    <w:sectPr w:rsidR="00642EB0" w:rsidRPr="007865D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9F7" w:rsidRDefault="00B329F7" w:rsidP="00642EB0">
      <w:pPr>
        <w:spacing w:after="0"/>
      </w:pPr>
      <w:r>
        <w:separator/>
      </w:r>
    </w:p>
  </w:endnote>
  <w:endnote w:type="continuationSeparator" w:id="0">
    <w:p w:rsidR="00B329F7" w:rsidRDefault="00B329F7" w:rsidP="00642E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EB0" w:rsidRPr="00642EB0" w:rsidRDefault="00642EB0">
    <w:pPr>
      <w:pStyle w:val="Footer"/>
      <w:rPr>
        <w:sz w:val="20"/>
        <w:szCs w:val="20"/>
      </w:rPr>
    </w:pPr>
    <w:r>
      <w:rPr>
        <w:sz w:val="20"/>
        <w:szCs w:val="20"/>
      </w:rPr>
      <w:t>Dr. Scott Renner | MITRE | sar@mitre.org | 24 March 2014</w:t>
    </w:r>
    <w:r>
      <w:rPr>
        <w:sz w:val="20"/>
        <w:szCs w:val="20"/>
      </w:rPr>
      <w:tab/>
    </w:r>
    <w:r w:rsidRPr="00642EB0">
      <w:rPr>
        <w:sz w:val="20"/>
        <w:szCs w:val="20"/>
      </w:rPr>
      <w:fldChar w:fldCharType="begin"/>
    </w:r>
    <w:r w:rsidRPr="00642EB0">
      <w:rPr>
        <w:sz w:val="20"/>
        <w:szCs w:val="20"/>
      </w:rPr>
      <w:instrText xml:space="preserve"> PAGE   \* MERGEFORMAT </w:instrText>
    </w:r>
    <w:r w:rsidRPr="00642EB0">
      <w:rPr>
        <w:sz w:val="20"/>
        <w:szCs w:val="20"/>
      </w:rPr>
      <w:fldChar w:fldCharType="separate"/>
    </w:r>
    <w:r w:rsidR="00DF20DE">
      <w:rPr>
        <w:noProof/>
        <w:sz w:val="20"/>
        <w:szCs w:val="20"/>
      </w:rPr>
      <w:t>1</w:t>
    </w:r>
    <w:r w:rsidRPr="00642EB0">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9F7" w:rsidRDefault="00B329F7" w:rsidP="00642EB0">
      <w:pPr>
        <w:spacing w:after="0"/>
      </w:pPr>
      <w:r>
        <w:separator/>
      </w:r>
    </w:p>
  </w:footnote>
  <w:footnote w:type="continuationSeparator" w:id="0">
    <w:p w:rsidR="00B329F7" w:rsidRDefault="00B329F7" w:rsidP="00642EB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7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B55341"/>
    <w:multiLevelType w:val="multilevel"/>
    <w:tmpl w:val="C2082C84"/>
    <w:styleLink w:val="SARList"/>
    <w:lvl w:ilvl="0">
      <w:start w:val="1"/>
      <w:numFmt w:val="decimal"/>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ADA75F3"/>
    <w:multiLevelType w:val="multilevel"/>
    <w:tmpl w:val="7C2C24BC"/>
    <w:lvl w:ilvl="0">
      <w:start w:val="1"/>
      <w:numFmt w:val="decimal"/>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lowerLetter"/>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right"/>
      <w:pPr>
        <w:ind w:left="3888" w:hanging="432"/>
      </w:pPr>
      <w:rPr>
        <w:rFonts w:hint="default"/>
      </w:rPr>
    </w:lvl>
  </w:abstractNum>
  <w:abstractNum w:abstractNumId="3">
    <w:nsid w:val="479F6F89"/>
    <w:multiLevelType w:val="hybridMultilevel"/>
    <w:tmpl w:val="2F36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51004"/>
    <w:multiLevelType w:val="multilevel"/>
    <w:tmpl w:val="5CF6DE5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B4D143C"/>
    <w:multiLevelType w:val="hybridMultilevel"/>
    <w:tmpl w:val="FC88AA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C43015"/>
    <w:multiLevelType w:val="multilevel"/>
    <w:tmpl w:val="1BEED3E6"/>
    <w:lvl w:ilvl="0">
      <w:start w:val="1"/>
      <w:numFmt w:val="decimal"/>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lowerLetter"/>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right"/>
      <w:pPr>
        <w:ind w:left="3888" w:hanging="432"/>
      </w:pPr>
      <w:rPr>
        <w:rFonts w:hint="default"/>
      </w:rPr>
    </w:lvl>
  </w:abstractNum>
  <w:num w:numId="1">
    <w:abstractNumId w:val="4"/>
  </w:num>
  <w:num w:numId="2">
    <w:abstractNumId w:val="0"/>
  </w:num>
  <w:num w:numId="3">
    <w:abstractNumId w:val="2"/>
  </w:num>
  <w:num w:numId="4">
    <w:abstractNumId w:val="2"/>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C7"/>
    <w:rsid w:val="0002012C"/>
    <w:rsid w:val="000301A8"/>
    <w:rsid w:val="00054E22"/>
    <w:rsid w:val="000A15B5"/>
    <w:rsid w:val="00331D2A"/>
    <w:rsid w:val="00371768"/>
    <w:rsid w:val="003958AD"/>
    <w:rsid w:val="0045670D"/>
    <w:rsid w:val="00557F45"/>
    <w:rsid w:val="00604D31"/>
    <w:rsid w:val="00642EB0"/>
    <w:rsid w:val="00767D72"/>
    <w:rsid w:val="007865DB"/>
    <w:rsid w:val="007F7D5B"/>
    <w:rsid w:val="00B329F7"/>
    <w:rsid w:val="00B6140F"/>
    <w:rsid w:val="00BF236F"/>
    <w:rsid w:val="00C26368"/>
    <w:rsid w:val="00C946FF"/>
    <w:rsid w:val="00CF51C7"/>
    <w:rsid w:val="00D30E43"/>
    <w:rsid w:val="00DF20DE"/>
    <w:rsid w:val="00F167D6"/>
    <w:rsid w:val="00F5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8"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2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8"/>
    <w:qFormat/>
    <w:rsid w:val="0002012C"/>
    <w:pPr>
      <w:contextualSpacing/>
    </w:pPr>
  </w:style>
  <w:style w:type="numbering" w:customStyle="1" w:styleId="SARList">
    <w:name w:val="SARList"/>
    <w:uiPriority w:val="99"/>
    <w:rsid w:val="00B6140F"/>
    <w:pPr>
      <w:numPr>
        <w:numId w:val="5"/>
      </w:numPr>
    </w:pPr>
  </w:style>
  <w:style w:type="paragraph" w:styleId="Header">
    <w:name w:val="header"/>
    <w:basedOn w:val="Normal"/>
    <w:link w:val="HeaderChar"/>
    <w:uiPriority w:val="99"/>
    <w:unhideWhenUsed/>
    <w:rsid w:val="00642EB0"/>
    <w:pPr>
      <w:tabs>
        <w:tab w:val="center" w:pos="4680"/>
        <w:tab w:val="right" w:pos="9360"/>
      </w:tabs>
      <w:spacing w:after="0"/>
    </w:pPr>
  </w:style>
  <w:style w:type="character" w:customStyle="1" w:styleId="HeaderChar">
    <w:name w:val="Header Char"/>
    <w:basedOn w:val="DefaultParagraphFont"/>
    <w:link w:val="Header"/>
    <w:uiPriority w:val="99"/>
    <w:rsid w:val="00642EB0"/>
    <w:rPr>
      <w:sz w:val="24"/>
    </w:rPr>
  </w:style>
  <w:style w:type="paragraph" w:styleId="Footer">
    <w:name w:val="footer"/>
    <w:basedOn w:val="Normal"/>
    <w:link w:val="FooterChar"/>
    <w:uiPriority w:val="99"/>
    <w:unhideWhenUsed/>
    <w:rsid w:val="00642EB0"/>
    <w:pPr>
      <w:tabs>
        <w:tab w:val="center" w:pos="4680"/>
        <w:tab w:val="right" w:pos="9360"/>
      </w:tabs>
      <w:spacing w:after="0"/>
    </w:pPr>
  </w:style>
  <w:style w:type="character" w:customStyle="1" w:styleId="FooterChar">
    <w:name w:val="Footer Char"/>
    <w:basedOn w:val="DefaultParagraphFont"/>
    <w:link w:val="Footer"/>
    <w:uiPriority w:val="99"/>
    <w:rsid w:val="00642EB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8"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2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8"/>
    <w:qFormat/>
    <w:rsid w:val="0002012C"/>
    <w:pPr>
      <w:contextualSpacing/>
    </w:pPr>
  </w:style>
  <w:style w:type="numbering" w:customStyle="1" w:styleId="SARList">
    <w:name w:val="SARList"/>
    <w:uiPriority w:val="99"/>
    <w:rsid w:val="00B6140F"/>
    <w:pPr>
      <w:numPr>
        <w:numId w:val="5"/>
      </w:numPr>
    </w:pPr>
  </w:style>
  <w:style w:type="paragraph" w:styleId="Header">
    <w:name w:val="header"/>
    <w:basedOn w:val="Normal"/>
    <w:link w:val="HeaderChar"/>
    <w:uiPriority w:val="99"/>
    <w:unhideWhenUsed/>
    <w:rsid w:val="00642EB0"/>
    <w:pPr>
      <w:tabs>
        <w:tab w:val="center" w:pos="4680"/>
        <w:tab w:val="right" w:pos="9360"/>
      </w:tabs>
      <w:spacing w:after="0"/>
    </w:pPr>
  </w:style>
  <w:style w:type="character" w:customStyle="1" w:styleId="HeaderChar">
    <w:name w:val="Header Char"/>
    <w:basedOn w:val="DefaultParagraphFont"/>
    <w:link w:val="Header"/>
    <w:uiPriority w:val="99"/>
    <w:rsid w:val="00642EB0"/>
    <w:rPr>
      <w:sz w:val="24"/>
    </w:rPr>
  </w:style>
  <w:style w:type="paragraph" w:styleId="Footer">
    <w:name w:val="footer"/>
    <w:basedOn w:val="Normal"/>
    <w:link w:val="FooterChar"/>
    <w:uiPriority w:val="99"/>
    <w:unhideWhenUsed/>
    <w:rsid w:val="00642EB0"/>
    <w:pPr>
      <w:tabs>
        <w:tab w:val="center" w:pos="4680"/>
        <w:tab w:val="right" w:pos="9360"/>
      </w:tabs>
      <w:spacing w:after="0"/>
    </w:pPr>
  </w:style>
  <w:style w:type="character" w:customStyle="1" w:styleId="FooterChar">
    <w:name w:val="Footer Char"/>
    <w:basedOn w:val="DefaultParagraphFont"/>
    <w:link w:val="Footer"/>
    <w:uiPriority w:val="99"/>
    <w:rsid w:val="00642EB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5</cp:revision>
  <dcterms:created xsi:type="dcterms:W3CDTF">2014-03-21T19:57:00Z</dcterms:created>
  <dcterms:modified xsi:type="dcterms:W3CDTF">2014-03-24T20:33:00Z</dcterms:modified>
</cp:coreProperties>
</file>