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765" w:rsidRDefault="005B5FE3">
      <w:pPr>
        <w:spacing w:before="80"/>
        <w:ind w:left="140"/>
        <w:rPr>
          <w:rFonts w:ascii="Cambria"/>
          <w:sz w:val="52"/>
        </w:rPr>
      </w:pPr>
      <w:r>
        <w:pict>
          <v:line id="_x0000_s1026" style="position:absolute;left:0;text-align:left;z-index:251657728;mso-wrap-distance-left:0;mso-wrap-distance-right:0;mso-position-horizontal-relative:page" from="70.55pt,39.05pt" to="541.45pt,39.05pt" strokecolor="#4f81bd" strokeweight=".96pt">
            <w10:wrap type="topAndBottom" anchorx="page"/>
          </v:line>
        </w:pict>
      </w:r>
      <w:r>
        <w:rPr>
          <w:rFonts w:ascii="Cambria"/>
          <w:color w:val="17365D"/>
          <w:sz w:val="52"/>
        </w:rPr>
        <w:t>NIEM Strategy</w:t>
      </w:r>
    </w:p>
    <w:p w:rsidR="00295765" w:rsidRDefault="00295765">
      <w:pPr>
        <w:pStyle w:val="BodyText"/>
        <w:rPr>
          <w:i/>
        </w:rPr>
      </w:pPr>
    </w:p>
    <w:p w:rsidR="00295765" w:rsidRDefault="00295765">
      <w:pPr>
        <w:pStyle w:val="BodyText"/>
        <w:spacing w:before="4"/>
        <w:rPr>
          <w:i/>
          <w:sz w:val="20"/>
        </w:rPr>
      </w:pPr>
    </w:p>
    <w:p w:rsidR="00295765" w:rsidRDefault="005B5FE3">
      <w:pPr>
        <w:pStyle w:val="Heading1"/>
      </w:pPr>
      <w:r>
        <w:rPr>
          <w:color w:val="365F91"/>
        </w:rPr>
        <w:t>Introductio</w:t>
      </w:r>
      <w:bookmarkStart w:id="0" w:name="Introduction"/>
      <w:bookmarkEnd w:id="0"/>
      <w:r>
        <w:rPr>
          <w:color w:val="365F91"/>
        </w:rPr>
        <w:t>n</w:t>
      </w:r>
    </w:p>
    <w:p w:rsidR="00295765" w:rsidRDefault="005B5FE3">
      <w:pPr>
        <w:pStyle w:val="BodyText"/>
        <w:spacing w:before="49" w:line="276" w:lineRule="auto"/>
        <w:ind w:left="139" w:right="137"/>
      </w:pPr>
      <w:r>
        <w:t>This document has been approved by the National Information Exchange Model (NIEM) Executive Steering Council (ESC) to communicate the NIEM program Fiscal Year 2011 – 2013 strategy. Inputs into this strategy document were gathered from each of three NIEM co</w:t>
      </w:r>
      <w:r>
        <w:t>mmittees, the State of NIEM report, the 2010 NIEM program plan, as well as open dialogue over the past year with the broader NIEM community to include, but not limited to, the February 2010 NIEM Town Hall, 2009 NIEM Training Event, and social media outlets</w:t>
      </w:r>
      <w:r>
        <w:t xml:space="preserve"> such as LinkedIn, Twitter and GovLoop. The audience includes current NIEM community members from all levels of government including federal, state, local and tribal partners as well as private industry and potential adopters.  As NIEM continues to evolves</w:t>
      </w:r>
      <w:r>
        <w:t>, this document is subject to change.</w:t>
      </w:r>
    </w:p>
    <w:p w:rsidR="00295765" w:rsidRDefault="00295765">
      <w:pPr>
        <w:pStyle w:val="BodyText"/>
      </w:pPr>
    </w:p>
    <w:p w:rsidR="00295765" w:rsidRDefault="00295765">
      <w:pPr>
        <w:pStyle w:val="BodyText"/>
        <w:spacing w:before="1"/>
        <w:rPr>
          <w:sz w:val="17"/>
        </w:rPr>
      </w:pPr>
    </w:p>
    <w:p w:rsidR="00295765" w:rsidRDefault="005B5FE3">
      <w:pPr>
        <w:pStyle w:val="Heading1"/>
      </w:pPr>
      <w:r>
        <w:rPr>
          <w:color w:val="365F91"/>
        </w:rPr>
        <w:t>NIEM Tenets</w:t>
      </w:r>
    </w:p>
    <w:p w:rsidR="00295765" w:rsidRDefault="00295765">
      <w:pPr>
        <w:pStyle w:val="BodyText"/>
        <w:spacing w:before="10"/>
        <w:rPr>
          <w:rFonts w:ascii="Cambria"/>
          <w:b/>
          <w:sz w:val="47"/>
        </w:rPr>
      </w:pPr>
    </w:p>
    <w:p w:rsidR="00295765" w:rsidRDefault="005B5FE3">
      <w:pPr>
        <w:pStyle w:val="ListParagraph"/>
        <w:numPr>
          <w:ilvl w:val="0"/>
          <w:numId w:val="2"/>
        </w:numPr>
        <w:tabs>
          <w:tab w:val="left" w:pos="500"/>
        </w:tabs>
        <w:ind w:hanging="359"/>
      </w:pPr>
      <w:r>
        <w:t>NIEM</w:t>
      </w:r>
      <w:r>
        <w:rPr>
          <w:spacing w:val="-2"/>
        </w:rPr>
        <w:t xml:space="preserve"> </w:t>
      </w:r>
      <w:r>
        <w:t>provides</w:t>
      </w:r>
      <w:r>
        <w:rPr>
          <w:spacing w:val="-5"/>
        </w:rPr>
        <w:t xml:space="preserve"> </w:t>
      </w:r>
      <w:r>
        <w:t>a</w:t>
      </w:r>
      <w:r>
        <w:rPr>
          <w:spacing w:val="-3"/>
        </w:rPr>
        <w:t xml:space="preserve"> </w:t>
      </w:r>
      <w:r>
        <w:t>common</w:t>
      </w:r>
      <w:r>
        <w:rPr>
          <w:spacing w:val="-5"/>
        </w:rPr>
        <w:t xml:space="preserve"> </w:t>
      </w:r>
      <w:r>
        <w:t>vocabulary</w:t>
      </w:r>
      <w:r>
        <w:rPr>
          <w:spacing w:val="-2"/>
        </w:rPr>
        <w:t xml:space="preserve"> </w:t>
      </w:r>
      <w:r>
        <w:t>and</w:t>
      </w:r>
      <w:r>
        <w:rPr>
          <w:spacing w:val="-4"/>
        </w:rPr>
        <w:t xml:space="preserve"> </w:t>
      </w:r>
      <w:r>
        <w:t>standardi</w:t>
      </w:r>
      <w:bookmarkStart w:id="1" w:name="NIEM_Tenets"/>
      <w:bookmarkEnd w:id="1"/>
      <w:r>
        <w:t>zed</w:t>
      </w:r>
      <w:r>
        <w:rPr>
          <w:spacing w:val="-4"/>
        </w:rPr>
        <w:t xml:space="preserve"> </w:t>
      </w:r>
      <w:r>
        <w:t>model</w:t>
      </w:r>
      <w:r>
        <w:rPr>
          <w:spacing w:val="-3"/>
        </w:rPr>
        <w:t xml:space="preserve"> </w:t>
      </w:r>
      <w:r>
        <w:t>for</w:t>
      </w:r>
      <w:r>
        <w:rPr>
          <w:spacing w:val="-5"/>
        </w:rPr>
        <w:t xml:space="preserve"> </w:t>
      </w:r>
      <w:r>
        <w:t>organizing</w:t>
      </w:r>
      <w:r>
        <w:rPr>
          <w:spacing w:val="-4"/>
        </w:rPr>
        <w:t xml:space="preserve"> </w:t>
      </w:r>
      <w:r>
        <w:t>and</w:t>
      </w:r>
      <w:r>
        <w:rPr>
          <w:spacing w:val="-4"/>
        </w:rPr>
        <w:t xml:space="preserve"> </w:t>
      </w:r>
      <w:r>
        <w:t>exchanging</w:t>
      </w:r>
      <w:r>
        <w:rPr>
          <w:spacing w:val="-4"/>
        </w:rPr>
        <w:t xml:space="preserve"> </w:t>
      </w:r>
      <w:r>
        <w:t>data.</w:t>
      </w:r>
    </w:p>
    <w:p w:rsidR="00295765" w:rsidRDefault="00295765">
      <w:pPr>
        <w:pStyle w:val="BodyText"/>
        <w:spacing w:before="5"/>
        <w:rPr>
          <w:sz w:val="19"/>
        </w:rPr>
      </w:pPr>
    </w:p>
    <w:p w:rsidR="00295765" w:rsidRDefault="005B5FE3">
      <w:pPr>
        <w:pStyle w:val="ListParagraph"/>
        <w:numPr>
          <w:ilvl w:val="0"/>
          <w:numId w:val="2"/>
        </w:numPr>
        <w:tabs>
          <w:tab w:val="left" w:pos="500"/>
        </w:tabs>
        <w:spacing w:line="278" w:lineRule="auto"/>
        <w:ind w:right="420"/>
      </w:pPr>
      <w:r>
        <w:t>NIEM is a data layer standard and intentionally does not address all of the necessary technologies needed for</w:t>
      </w:r>
      <w:r>
        <w:t xml:space="preserve"> information</w:t>
      </w:r>
      <w:r>
        <w:rPr>
          <w:spacing w:val="-14"/>
        </w:rPr>
        <w:t xml:space="preserve"> </w:t>
      </w:r>
      <w:r>
        <w:t>sharing.</w:t>
      </w:r>
    </w:p>
    <w:p w:rsidR="00295765" w:rsidRDefault="005B5FE3">
      <w:pPr>
        <w:pStyle w:val="ListParagraph"/>
        <w:numPr>
          <w:ilvl w:val="0"/>
          <w:numId w:val="2"/>
        </w:numPr>
        <w:tabs>
          <w:tab w:val="left" w:pos="500"/>
        </w:tabs>
        <w:spacing w:before="194" w:line="276" w:lineRule="auto"/>
        <w:ind w:right="590"/>
      </w:pPr>
      <w:r>
        <w:t>NIEM defines national data exchange standards for information that is commonly shared across many communities of</w:t>
      </w:r>
      <w:r>
        <w:rPr>
          <w:spacing w:val="-10"/>
        </w:rPr>
        <w:t xml:space="preserve"> </w:t>
      </w:r>
      <w:r>
        <w:t>interest.</w:t>
      </w:r>
    </w:p>
    <w:p w:rsidR="00295765" w:rsidRDefault="00295765">
      <w:pPr>
        <w:pStyle w:val="BodyText"/>
        <w:spacing w:before="4"/>
        <w:rPr>
          <w:sz w:val="16"/>
        </w:rPr>
      </w:pPr>
    </w:p>
    <w:p w:rsidR="00295765" w:rsidRDefault="005B5FE3">
      <w:pPr>
        <w:pStyle w:val="ListParagraph"/>
        <w:numPr>
          <w:ilvl w:val="0"/>
          <w:numId w:val="2"/>
        </w:numPr>
        <w:tabs>
          <w:tab w:val="left" w:pos="500"/>
        </w:tabs>
        <w:spacing w:line="276" w:lineRule="auto"/>
        <w:ind w:right="234"/>
      </w:pPr>
      <w:r>
        <w:t>NIEM provides a way to create a linkage with existing standards, not to replace them, and a process by which data harmonization can</w:t>
      </w:r>
      <w:r>
        <w:rPr>
          <w:spacing w:val="-10"/>
        </w:rPr>
        <w:t xml:space="preserve"> </w:t>
      </w:r>
      <w:r>
        <w:t>occur.</w:t>
      </w:r>
    </w:p>
    <w:p w:rsidR="00295765" w:rsidRDefault="005B5FE3">
      <w:pPr>
        <w:pStyle w:val="ListParagraph"/>
        <w:numPr>
          <w:ilvl w:val="0"/>
          <w:numId w:val="2"/>
        </w:numPr>
        <w:tabs>
          <w:tab w:val="left" w:pos="500"/>
        </w:tabs>
        <w:spacing w:before="197" w:line="278" w:lineRule="auto"/>
        <w:ind w:right="918"/>
      </w:pPr>
      <w:r>
        <w:t>NIEM provides a mature lifecycle that is a repeatable, reusable process for business users to document information ex</w:t>
      </w:r>
      <w:r>
        <w:t>change</w:t>
      </w:r>
      <w:r>
        <w:rPr>
          <w:spacing w:val="-12"/>
        </w:rPr>
        <w:t xml:space="preserve"> </w:t>
      </w:r>
      <w:r>
        <w:t>requirements.</w:t>
      </w:r>
    </w:p>
    <w:p w:rsidR="00295765" w:rsidRDefault="005B5FE3">
      <w:pPr>
        <w:pStyle w:val="ListParagraph"/>
        <w:numPr>
          <w:ilvl w:val="0"/>
          <w:numId w:val="2"/>
        </w:numPr>
        <w:tabs>
          <w:tab w:val="left" w:pos="500"/>
        </w:tabs>
        <w:spacing w:before="195"/>
        <w:ind w:right="774"/>
      </w:pPr>
      <w:r>
        <w:t>NIEM is a grass roots effort with broad representation from all levels of government including federal, state, local, and tribal as well as private</w:t>
      </w:r>
      <w:r>
        <w:rPr>
          <w:spacing w:val="-25"/>
        </w:rPr>
        <w:t xml:space="preserve"> </w:t>
      </w:r>
      <w:r>
        <w:t>industry.</w:t>
      </w:r>
    </w:p>
    <w:p w:rsidR="00295765" w:rsidRDefault="00295765">
      <w:pPr>
        <w:pStyle w:val="BodyText"/>
      </w:pPr>
    </w:p>
    <w:p w:rsidR="00295765" w:rsidRDefault="005B5FE3">
      <w:pPr>
        <w:pStyle w:val="ListParagraph"/>
        <w:numPr>
          <w:ilvl w:val="0"/>
          <w:numId w:val="2"/>
        </w:numPr>
        <w:tabs>
          <w:tab w:val="left" w:pos="500"/>
        </w:tabs>
        <w:spacing w:line="276" w:lineRule="auto"/>
        <w:ind w:right="154"/>
      </w:pPr>
      <w:r>
        <w:t>NIEM strives to articulate the business, mission, and technical value, to me</w:t>
      </w:r>
      <w:r>
        <w:t>asure value and to deliver value at all levels of an</w:t>
      </w:r>
      <w:r>
        <w:rPr>
          <w:spacing w:val="-14"/>
        </w:rPr>
        <w:t xml:space="preserve"> </w:t>
      </w:r>
      <w:r>
        <w:t>organization.</w:t>
      </w:r>
    </w:p>
    <w:p w:rsidR="00295765" w:rsidRDefault="005B5FE3">
      <w:pPr>
        <w:pStyle w:val="ListParagraph"/>
        <w:numPr>
          <w:ilvl w:val="0"/>
          <w:numId w:val="2"/>
        </w:numPr>
        <w:tabs>
          <w:tab w:val="left" w:pos="500"/>
        </w:tabs>
        <w:spacing w:before="197" w:line="278" w:lineRule="auto"/>
        <w:ind w:right="476"/>
        <w:jc w:val="both"/>
      </w:pPr>
      <w:r>
        <w:t>NIEM</w:t>
      </w:r>
      <w:r>
        <w:rPr>
          <w:spacing w:val="-2"/>
        </w:rPr>
        <w:t xml:space="preserve"> </w:t>
      </w:r>
      <w:r>
        <w:t>seeks</w:t>
      </w:r>
      <w:r>
        <w:rPr>
          <w:spacing w:val="-4"/>
        </w:rPr>
        <w:t xml:space="preserve"> </w:t>
      </w:r>
      <w:r>
        <w:t>to</w:t>
      </w:r>
      <w:r>
        <w:rPr>
          <w:spacing w:val="-4"/>
        </w:rPr>
        <w:t xml:space="preserve"> </w:t>
      </w:r>
      <w:r>
        <w:t>engage</w:t>
      </w:r>
      <w:r>
        <w:rPr>
          <w:spacing w:val="-4"/>
        </w:rPr>
        <w:t xml:space="preserve"> </w:t>
      </w:r>
      <w:r>
        <w:t>existing</w:t>
      </w:r>
      <w:r>
        <w:rPr>
          <w:spacing w:val="-4"/>
        </w:rPr>
        <w:t xml:space="preserve"> </w:t>
      </w:r>
      <w:r>
        <w:t>and</w:t>
      </w:r>
      <w:r>
        <w:rPr>
          <w:spacing w:val="-4"/>
        </w:rPr>
        <w:t xml:space="preserve"> </w:t>
      </w:r>
      <w:r>
        <w:t>potential</w:t>
      </w:r>
      <w:r>
        <w:rPr>
          <w:spacing w:val="-5"/>
        </w:rPr>
        <w:t xml:space="preserve"> </w:t>
      </w:r>
      <w:r>
        <w:t>community</w:t>
      </w:r>
      <w:r>
        <w:rPr>
          <w:spacing w:val="-2"/>
        </w:rPr>
        <w:t xml:space="preserve"> </w:t>
      </w:r>
      <w:r>
        <w:t>stakeholders</w:t>
      </w:r>
      <w:r>
        <w:rPr>
          <w:spacing w:val="-4"/>
        </w:rPr>
        <w:t xml:space="preserve"> </w:t>
      </w:r>
      <w:r>
        <w:t>through</w:t>
      </w:r>
      <w:r>
        <w:rPr>
          <w:spacing w:val="-4"/>
        </w:rPr>
        <w:t xml:space="preserve"> </w:t>
      </w:r>
      <w:r>
        <w:t>use</w:t>
      </w:r>
      <w:r>
        <w:rPr>
          <w:spacing w:val="-2"/>
        </w:rPr>
        <w:t xml:space="preserve"> </w:t>
      </w:r>
      <w:r>
        <w:t>of</w:t>
      </w:r>
      <w:r>
        <w:rPr>
          <w:spacing w:val="-5"/>
        </w:rPr>
        <w:t xml:space="preserve"> </w:t>
      </w:r>
      <w:r>
        <w:t>governance committees, open forums, web technologies and other means to maintain growth and ensure all have</w:t>
      </w:r>
      <w:r>
        <w:t xml:space="preserve"> a voice in the evolution of the</w:t>
      </w:r>
      <w:r>
        <w:rPr>
          <w:spacing w:val="-16"/>
        </w:rPr>
        <w:t xml:space="preserve"> </w:t>
      </w:r>
      <w:r>
        <w:t>program.</w:t>
      </w:r>
    </w:p>
    <w:p w:rsidR="00295765" w:rsidRDefault="00295765">
      <w:pPr>
        <w:spacing w:line="278" w:lineRule="auto"/>
        <w:jc w:val="both"/>
        <w:sectPr w:rsidR="00295765">
          <w:footerReference w:type="default" r:id="rId7"/>
          <w:type w:val="continuous"/>
          <w:pgSz w:w="12240" w:h="15840"/>
          <w:pgMar w:top="1360" w:right="1300" w:bottom="1160" w:left="1300" w:header="720" w:footer="972" w:gutter="0"/>
          <w:pgNumType w:start="1"/>
          <w:cols w:space="720"/>
        </w:sectPr>
      </w:pPr>
    </w:p>
    <w:p w:rsidR="00295765" w:rsidRDefault="005B5FE3">
      <w:pPr>
        <w:pStyle w:val="Heading1"/>
        <w:spacing w:before="75"/>
        <w:ind w:left="100"/>
      </w:pPr>
      <w:bookmarkStart w:id="2" w:name="Strategic_Actions"/>
      <w:bookmarkStart w:id="3" w:name="Strategic_Goals"/>
      <w:bookmarkEnd w:id="2"/>
      <w:bookmarkEnd w:id="3"/>
      <w:r>
        <w:rPr>
          <w:color w:val="365F91"/>
        </w:rPr>
        <w:t>Strategic Goals</w:t>
      </w:r>
    </w:p>
    <w:p w:rsidR="00295765" w:rsidRDefault="005B5FE3">
      <w:pPr>
        <w:pStyle w:val="BodyText"/>
        <w:spacing w:before="51"/>
        <w:ind w:left="100"/>
      </w:pPr>
      <w:r>
        <w:t>Three strategic goals have been established to guide the NIEM program:</w:t>
      </w:r>
    </w:p>
    <w:p w:rsidR="00295765" w:rsidRDefault="00295765">
      <w:pPr>
        <w:pStyle w:val="BodyText"/>
        <w:spacing w:before="5"/>
        <w:rPr>
          <w:sz w:val="19"/>
        </w:rPr>
      </w:pPr>
    </w:p>
    <w:p w:rsidR="00295765" w:rsidRDefault="005B5FE3">
      <w:pPr>
        <w:pStyle w:val="Heading3"/>
        <w:numPr>
          <w:ilvl w:val="1"/>
          <w:numId w:val="2"/>
        </w:numPr>
        <w:tabs>
          <w:tab w:val="left" w:pos="821"/>
        </w:tabs>
      </w:pPr>
      <w:r>
        <w:t>Make NIEM more</w:t>
      </w:r>
      <w:r>
        <w:rPr>
          <w:spacing w:val="-11"/>
        </w:rPr>
        <w:t xml:space="preserve"> </w:t>
      </w:r>
      <w:r>
        <w:t>accessible</w:t>
      </w:r>
    </w:p>
    <w:p w:rsidR="00295765" w:rsidRDefault="00295765">
      <w:pPr>
        <w:pStyle w:val="BodyText"/>
        <w:rPr>
          <w:b/>
        </w:rPr>
      </w:pPr>
    </w:p>
    <w:p w:rsidR="00295765" w:rsidRDefault="005B5FE3">
      <w:pPr>
        <w:pStyle w:val="BodyText"/>
        <w:ind w:left="819" w:right="108"/>
      </w:pPr>
      <w:r>
        <w:t>Special emphasis is placed on reducing barriers to NIEM adoption.  This includes ensuring NIEM is accessible and understood across the domains at all levels of government and vertically within each domain to include executive and</w:t>
      </w:r>
      <w:r>
        <w:t xml:space="preserve"> budget decision makers as well as implementers and industry partners. This also includes making it easier to engage or ‘on-board’ with NIEM for new customers.</w:t>
      </w:r>
    </w:p>
    <w:p w:rsidR="00295765" w:rsidRDefault="00295765">
      <w:pPr>
        <w:pStyle w:val="BodyText"/>
      </w:pPr>
    </w:p>
    <w:p w:rsidR="00295765" w:rsidRDefault="005B5FE3">
      <w:pPr>
        <w:pStyle w:val="Heading3"/>
        <w:numPr>
          <w:ilvl w:val="1"/>
          <w:numId w:val="2"/>
        </w:numPr>
        <w:tabs>
          <w:tab w:val="left" w:pos="820"/>
        </w:tabs>
        <w:ind w:left="819" w:hanging="360"/>
      </w:pPr>
      <w:r>
        <w:t>Promote the enterprise view of information</w:t>
      </w:r>
      <w:r>
        <w:rPr>
          <w:spacing w:val="-17"/>
        </w:rPr>
        <w:t xml:space="preserve"> </w:t>
      </w:r>
      <w:r>
        <w:t>exchange</w:t>
      </w:r>
    </w:p>
    <w:p w:rsidR="00295765" w:rsidRDefault="00295765">
      <w:pPr>
        <w:pStyle w:val="BodyText"/>
        <w:spacing w:before="8"/>
        <w:rPr>
          <w:b/>
          <w:sz w:val="19"/>
        </w:rPr>
      </w:pPr>
    </w:p>
    <w:p w:rsidR="00295765" w:rsidRDefault="005B5FE3">
      <w:pPr>
        <w:pStyle w:val="BodyText"/>
        <w:ind w:left="819" w:right="99"/>
      </w:pPr>
      <w:r>
        <w:t>NIEM is an implementable framework consist</w:t>
      </w:r>
      <w:r>
        <w:t>ing of mature, repeatable, reusable processes and tools that align to an organization’s enterprise architecture. Through the use of NIEM elements contained within the core and applicable domains, architects are able to construct business concept models, th</w:t>
      </w:r>
      <w:r>
        <w:t>us enabling consistency and common language across the enterprise. NIEM provides a way to create a linkage with existing standards, not to replace them, and a process by which data harmonization can occur. As new technologies emerge, it is imperative for N</w:t>
      </w:r>
      <w:r>
        <w:t>IEM to seek alignment with external standards to ensure enterprise business requirements are met.</w:t>
      </w:r>
    </w:p>
    <w:p w:rsidR="00295765" w:rsidRDefault="005B5FE3">
      <w:pPr>
        <w:pStyle w:val="BodyText"/>
        <w:ind w:left="819"/>
      </w:pPr>
      <w:r>
        <w:t>The NIEM program strives to bridge the gap between business and technical stakeholders.</w:t>
      </w:r>
    </w:p>
    <w:p w:rsidR="00295765" w:rsidRDefault="00295765">
      <w:pPr>
        <w:pStyle w:val="BodyText"/>
        <w:spacing w:before="2"/>
      </w:pPr>
    </w:p>
    <w:p w:rsidR="00295765" w:rsidRDefault="005B5FE3">
      <w:pPr>
        <w:pStyle w:val="Heading3"/>
        <w:numPr>
          <w:ilvl w:val="1"/>
          <w:numId w:val="2"/>
        </w:numPr>
        <w:tabs>
          <w:tab w:val="left" w:pos="821"/>
        </w:tabs>
      </w:pPr>
      <w:r>
        <w:t>Build strong</w:t>
      </w:r>
      <w:r>
        <w:rPr>
          <w:spacing w:val="-9"/>
        </w:rPr>
        <w:t xml:space="preserve"> </w:t>
      </w:r>
      <w:r>
        <w:t>communities</w:t>
      </w:r>
    </w:p>
    <w:p w:rsidR="00295765" w:rsidRDefault="00295765">
      <w:pPr>
        <w:pStyle w:val="BodyText"/>
        <w:spacing w:before="5"/>
        <w:rPr>
          <w:b/>
          <w:sz w:val="19"/>
        </w:rPr>
      </w:pPr>
    </w:p>
    <w:p w:rsidR="00295765" w:rsidRDefault="005B5FE3">
      <w:pPr>
        <w:pStyle w:val="BodyText"/>
        <w:ind w:left="819" w:right="108"/>
      </w:pPr>
      <w:r>
        <w:t>Picture a community that spans all 50 state</w:t>
      </w:r>
      <w:r>
        <w:t>s. Imagine gaining consensus at all levels of government as well as with the private sector. This is the foundation on which NIEM is built. From its inception, NIEM was designed to help government and industry build bridges that span the wide array of IT s</w:t>
      </w:r>
      <w:r>
        <w:t>ystems operating in various organizations for the purpose of sharing information to improve the effectiveness and efficiency operations and deliver the best service to citizens. The NIEM program seeks to enable cross-domain and intra-domain exchanges. This</w:t>
      </w:r>
      <w:r>
        <w:t xml:space="preserve"> includes enhancing domain independence by enabling self-reliance, autonomy.   This includes the creation of communities, including virtual, around common problems and challenges, elevating best practices, contributing to the definition and implementation </w:t>
      </w:r>
      <w:r>
        <w:t>of reference information exchange package documents (IEPDs), promoting governance, fostering good NIEM citizenship. This includes partnering with our international partners, as for many of us, information sharing reaches beyond US boundaries.</w:t>
      </w:r>
    </w:p>
    <w:p w:rsidR="00295765" w:rsidRDefault="00295765">
      <w:pPr>
        <w:pStyle w:val="BodyText"/>
      </w:pPr>
    </w:p>
    <w:p w:rsidR="00295765" w:rsidRDefault="00295765">
      <w:pPr>
        <w:pStyle w:val="BodyText"/>
        <w:spacing w:before="1"/>
        <w:rPr>
          <w:sz w:val="20"/>
        </w:rPr>
      </w:pPr>
    </w:p>
    <w:p w:rsidR="00295765" w:rsidRDefault="005B5FE3">
      <w:pPr>
        <w:ind w:left="100"/>
        <w:rPr>
          <w:rFonts w:ascii="Cambria"/>
          <w:b/>
          <w:sz w:val="26"/>
        </w:rPr>
      </w:pPr>
      <w:r>
        <w:rPr>
          <w:rFonts w:ascii="Cambria"/>
          <w:b/>
          <w:color w:val="4F81BD"/>
          <w:sz w:val="26"/>
        </w:rPr>
        <w:t>Strategic Actions</w:t>
      </w:r>
    </w:p>
    <w:p w:rsidR="00295765" w:rsidRDefault="005B5FE3">
      <w:pPr>
        <w:pStyle w:val="BodyText"/>
        <w:spacing w:before="41"/>
        <w:ind w:left="100" w:right="202"/>
      </w:pPr>
      <w:r>
        <w:t>With the significant accomplishments that have led to the release of NIEM 2.1 and the many challenges that lay ahead with the continued adoption and use of NIEM, the goals of the NIEM program will be driven by actions, including but not l</w:t>
      </w:r>
      <w:r>
        <w:t>imited to:</w:t>
      </w:r>
    </w:p>
    <w:p w:rsidR="00295765" w:rsidRDefault="00295765">
      <w:pPr>
        <w:pStyle w:val="BodyText"/>
        <w:spacing w:before="11"/>
        <w:rPr>
          <w:sz w:val="21"/>
        </w:rPr>
      </w:pPr>
    </w:p>
    <w:p w:rsidR="00295765" w:rsidRDefault="005B5FE3">
      <w:pPr>
        <w:pStyle w:val="ListParagraph"/>
        <w:numPr>
          <w:ilvl w:val="0"/>
          <w:numId w:val="1"/>
        </w:numPr>
        <w:tabs>
          <w:tab w:val="left" w:pos="821"/>
        </w:tabs>
        <w:spacing w:before="1"/>
      </w:pPr>
      <w:r>
        <w:t>Educate the</w:t>
      </w:r>
      <w:r>
        <w:rPr>
          <w:spacing w:val="-6"/>
        </w:rPr>
        <w:t xml:space="preserve"> </w:t>
      </w:r>
      <w:r>
        <w:t>community</w:t>
      </w:r>
    </w:p>
    <w:p w:rsidR="00295765" w:rsidRDefault="005B5FE3">
      <w:pPr>
        <w:pStyle w:val="ListParagraph"/>
        <w:numPr>
          <w:ilvl w:val="1"/>
          <w:numId w:val="1"/>
        </w:numPr>
        <w:tabs>
          <w:tab w:val="left" w:pos="1179"/>
          <w:tab w:val="left" w:pos="1180"/>
        </w:tabs>
        <w:ind w:hanging="359"/>
      </w:pPr>
      <w:r>
        <w:t>Ensuring consistent and clear messaging of the definition of</w:t>
      </w:r>
      <w:r>
        <w:rPr>
          <w:spacing w:val="-28"/>
        </w:rPr>
        <w:t xml:space="preserve"> </w:t>
      </w:r>
      <w:r>
        <w:t>NIEM</w:t>
      </w:r>
    </w:p>
    <w:p w:rsidR="00295765" w:rsidRDefault="005B5FE3">
      <w:pPr>
        <w:pStyle w:val="ListParagraph"/>
        <w:numPr>
          <w:ilvl w:val="1"/>
          <w:numId w:val="1"/>
        </w:numPr>
        <w:tabs>
          <w:tab w:val="left" w:pos="1179"/>
          <w:tab w:val="left" w:pos="1180"/>
        </w:tabs>
        <w:ind w:right="695"/>
      </w:pPr>
      <w:r>
        <w:t>Ensuring understanding of information sharing and the role of NIEM in an information exchange and overall enterprise information</w:t>
      </w:r>
      <w:r>
        <w:rPr>
          <w:spacing w:val="-24"/>
        </w:rPr>
        <w:t xml:space="preserve"> </w:t>
      </w:r>
      <w:r>
        <w:t>architecture</w:t>
      </w:r>
    </w:p>
    <w:p w:rsidR="00295765" w:rsidRDefault="00295765">
      <w:pPr>
        <w:sectPr w:rsidR="00295765">
          <w:pgSz w:w="12240" w:h="15840"/>
          <w:pgMar w:top="1360" w:right="1340" w:bottom="1160" w:left="1340" w:header="0" w:footer="972" w:gutter="0"/>
          <w:cols w:space="720"/>
        </w:sectPr>
      </w:pPr>
    </w:p>
    <w:p w:rsidR="00295765" w:rsidRDefault="005B5FE3">
      <w:pPr>
        <w:pStyle w:val="ListParagraph"/>
        <w:numPr>
          <w:ilvl w:val="1"/>
          <w:numId w:val="1"/>
        </w:numPr>
        <w:tabs>
          <w:tab w:val="left" w:pos="1199"/>
          <w:tab w:val="left" w:pos="1200"/>
        </w:tabs>
        <w:spacing w:before="37"/>
        <w:ind w:left="1199" w:hanging="359"/>
      </w:pPr>
      <w:r>
        <w:t>Continually improving the effectiveness of NIEM training</w:t>
      </w:r>
      <w:r>
        <w:rPr>
          <w:spacing w:val="-28"/>
        </w:rPr>
        <w:t xml:space="preserve"> </w:t>
      </w:r>
      <w:r>
        <w:t>offerings</w:t>
      </w:r>
    </w:p>
    <w:p w:rsidR="00295765" w:rsidRDefault="005B5FE3">
      <w:pPr>
        <w:pStyle w:val="ListParagraph"/>
        <w:numPr>
          <w:ilvl w:val="1"/>
          <w:numId w:val="1"/>
        </w:numPr>
        <w:tabs>
          <w:tab w:val="left" w:pos="1199"/>
          <w:tab w:val="left" w:pos="1200"/>
        </w:tabs>
        <w:ind w:left="1199" w:hanging="359"/>
      </w:pPr>
      <w:r>
        <w:t>Developing a NIEM engagement model to communicate opportunities for</w:t>
      </w:r>
      <w:r>
        <w:rPr>
          <w:spacing w:val="-24"/>
        </w:rPr>
        <w:t xml:space="preserve"> </w:t>
      </w:r>
      <w:r>
        <w:t>involvement</w:t>
      </w:r>
    </w:p>
    <w:p w:rsidR="00295765" w:rsidRDefault="005B5FE3">
      <w:pPr>
        <w:pStyle w:val="ListParagraph"/>
        <w:numPr>
          <w:ilvl w:val="1"/>
          <w:numId w:val="1"/>
        </w:numPr>
        <w:tabs>
          <w:tab w:val="left" w:pos="1199"/>
          <w:tab w:val="left" w:pos="1200"/>
        </w:tabs>
        <w:ind w:left="1199" w:right="333" w:hanging="359"/>
      </w:pPr>
      <w:r>
        <w:t>Providing increased communications and outreach to the broader user base including our International</w:t>
      </w:r>
      <w:r>
        <w:rPr>
          <w:spacing w:val="-9"/>
        </w:rPr>
        <w:t xml:space="preserve"> </w:t>
      </w:r>
      <w:r>
        <w:t>Partners</w:t>
      </w:r>
    </w:p>
    <w:p w:rsidR="00295765" w:rsidRDefault="00295765">
      <w:pPr>
        <w:pStyle w:val="BodyText"/>
        <w:spacing w:before="10"/>
        <w:rPr>
          <w:sz w:val="21"/>
        </w:rPr>
      </w:pPr>
    </w:p>
    <w:p w:rsidR="00295765" w:rsidRDefault="005B5FE3">
      <w:pPr>
        <w:pStyle w:val="ListParagraph"/>
        <w:numPr>
          <w:ilvl w:val="0"/>
          <w:numId w:val="1"/>
        </w:numPr>
        <w:tabs>
          <w:tab w:val="left" w:pos="841"/>
        </w:tabs>
        <w:ind w:left="840"/>
      </w:pPr>
      <w:r>
        <w:t>Bridge the gap between business users and information</w:t>
      </w:r>
      <w:r>
        <w:rPr>
          <w:spacing w:val="-27"/>
        </w:rPr>
        <w:t xml:space="preserve"> </w:t>
      </w:r>
      <w:r>
        <w:t>technology</w:t>
      </w:r>
    </w:p>
    <w:p w:rsidR="00295765" w:rsidRDefault="005B5FE3">
      <w:pPr>
        <w:pStyle w:val="ListParagraph"/>
        <w:numPr>
          <w:ilvl w:val="1"/>
          <w:numId w:val="1"/>
        </w:numPr>
        <w:tabs>
          <w:tab w:val="left" w:pos="1200"/>
          <w:tab w:val="left" w:pos="1201"/>
        </w:tabs>
        <w:ind w:left="1200"/>
      </w:pPr>
      <w:r>
        <w:t>Enabling improved decision</w:t>
      </w:r>
      <w:r>
        <w:rPr>
          <w:spacing w:val="-11"/>
        </w:rPr>
        <w:t xml:space="preserve"> </w:t>
      </w:r>
      <w:r>
        <w:t>making</w:t>
      </w:r>
    </w:p>
    <w:p w:rsidR="00295765" w:rsidRDefault="005B5FE3">
      <w:pPr>
        <w:pStyle w:val="ListParagraph"/>
        <w:numPr>
          <w:ilvl w:val="1"/>
          <w:numId w:val="1"/>
        </w:numPr>
        <w:tabs>
          <w:tab w:val="left" w:pos="1199"/>
          <w:tab w:val="left" w:pos="1200"/>
        </w:tabs>
        <w:ind w:left="1199" w:hanging="359"/>
      </w:pPr>
      <w:r>
        <w:t>Maturing</w:t>
      </w:r>
      <w:r>
        <w:rPr>
          <w:spacing w:val="-4"/>
        </w:rPr>
        <w:t xml:space="preserve"> </w:t>
      </w:r>
      <w:r>
        <w:t>the</w:t>
      </w:r>
      <w:r>
        <w:rPr>
          <w:spacing w:val="-5"/>
        </w:rPr>
        <w:t xml:space="preserve"> </w:t>
      </w:r>
      <w:r>
        <w:t>data</w:t>
      </w:r>
      <w:r>
        <w:rPr>
          <w:spacing w:val="-3"/>
        </w:rPr>
        <w:t xml:space="preserve"> </w:t>
      </w:r>
      <w:r>
        <w:t>layer</w:t>
      </w:r>
      <w:r>
        <w:rPr>
          <w:spacing w:val="-3"/>
        </w:rPr>
        <w:t xml:space="preserve"> </w:t>
      </w:r>
      <w:r>
        <w:t>into</w:t>
      </w:r>
      <w:r>
        <w:rPr>
          <w:spacing w:val="-2"/>
        </w:rPr>
        <w:t xml:space="preserve"> </w:t>
      </w:r>
      <w:r>
        <w:t>the</w:t>
      </w:r>
      <w:r>
        <w:rPr>
          <w:spacing w:val="-5"/>
        </w:rPr>
        <w:t xml:space="preserve"> </w:t>
      </w:r>
      <w:r>
        <w:t>information</w:t>
      </w:r>
      <w:r>
        <w:rPr>
          <w:spacing w:val="-4"/>
        </w:rPr>
        <w:t xml:space="preserve"> </w:t>
      </w:r>
      <w:r>
        <w:t>layer</w:t>
      </w:r>
      <w:r>
        <w:rPr>
          <w:spacing w:val="-5"/>
        </w:rPr>
        <w:t xml:space="preserve"> </w:t>
      </w:r>
      <w:r>
        <w:t>of</w:t>
      </w:r>
      <w:r>
        <w:rPr>
          <w:spacing w:val="-6"/>
        </w:rPr>
        <w:t xml:space="preserve"> </w:t>
      </w:r>
      <w:r>
        <w:t>an</w:t>
      </w:r>
      <w:r>
        <w:rPr>
          <w:spacing w:val="-4"/>
        </w:rPr>
        <w:t xml:space="preserve"> </w:t>
      </w:r>
      <w:r>
        <w:t>enterprise</w:t>
      </w:r>
      <w:r>
        <w:rPr>
          <w:spacing w:val="-2"/>
        </w:rPr>
        <w:t xml:space="preserve"> </w:t>
      </w:r>
      <w:r>
        <w:t>architecture</w:t>
      </w:r>
      <w:r>
        <w:rPr>
          <w:spacing w:val="-5"/>
        </w:rPr>
        <w:t xml:space="preserve"> </w:t>
      </w:r>
      <w:r>
        <w:t>framework</w:t>
      </w:r>
    </w:p>
    <w:p w:rsidR="00295765" w:rsidRDefault="005B5FE3">
      <w:pPr>
        <w:pStyle w:val="ListParagraph"/>
        <w:numPr>
          <w:ilvl w:val="1"/>
          <w:numId w:val="1"/>
        </w:numPr>
        <w:tabs>
          <w:tab w:val="left" w:pos="1199"/>
          <w:tab w:val="left" w:pos="1200"/>
        </w:tabs>
        <w:ind w:left="1199"/>
      </w:pPr>
      <w:r>
        <w:t>Continued refinement of specifications, tools, and</w:t>
      </w:r>
      <w:r>
        <w:rPr>
          <w:spacing w:val="-24"/>
        </w:rPr>
        <w:t xml:space="preserve"> </w:t>
      </w:r>
      <w:r>
        <w:t>processes</w:t>
      </w:r>
    </w:p>
    <w:p w:rsidR="00295765" w:rsidRDefault="005B5FE3">
      <w:pPr>
        <w:pStyle w:val="ListParagraph"/>
        <w:numPr>
          <w:ilvl w:val="1"/>
          <w:numId w:val="1"/>
        </w:numPr>
        <w:tabs>
          <w:tab w:val="left" w:pos="1199"/>
          <w:tab w:val="left" w:pos="1200"/>
        </w:tabs>
        <w:ind w:left="1199"/>
      </w:pPr>
      <w:r>
        <w:t>Enhancement of NIEM to provide security and privacy</w:t>
      </w:r>
      <w:r>
        <w:rPr>
          <w:spacing w:val="-26"/>
        </w:rPr>
        <w:t xml:space="preserve"> </w:t>
      </w:r>
      <w:r>
        <w:t>frameworks</w:t>
      </w:r>
    </w:p>
    <w:p w:rsidR="00295765" w:rsidRDefault="00295765">
      <w:pPr>
        <w:pStyle w:val="BodyText"/>
        <w:spacing w:before="5"/>
        <w:rPr>
          <w:sz w:val="28"/>
        </w:rPr>
      </w:pPr>
    </w:p>
    <w:p w:rsidR="00295765" w:rsidRDefault="005B5FE3">
      <w:pPr>
        <w:pStyle w:val="ListParagraph"/>
        <w:numPr>
          <w:ilvl w:val="0"/>
          <w:numId w:val="1"/>
        </w:numPr>
        <w:tabs>
          <w:tab w:val="left" w:pos="840"/>
        </w:tabs>
        <w:spacing w:before="1"/>
        <w:ind w:left="839" w:hanging="360"/>
      </w:pPr>
      <w:r>
        <w:t>Foster domain</w:t>
      </w:r>
      <w:r>
        <w:rPr>
          <w:spacing w:val="-11"/>
        </w:rPr>
        <w:t xml:space="preserve"> </w:t>
      </w:r>
      <w:r>
        <w:t>leadership</w:t>
      </w:r>
    </w:p>
    <w:p w:rsidR="00295765" w:rsidRDefault="005B5FE3">
      <w:pPr>
        <w:pStyle w:val="ListParagraph"/>
        <w:numPr>
          <w:ilvl w:val="1"/>
          <w:numId w:val="1"/>
        </w:numPr>
        <w:tabs>
          <w:tab w:val="left" w:pos="1199"/>
          <w:tab w:val="left" w:pos="1200"/>
        </w:tabs>
        <w:ind w:left="1199"/>
      </w:pPr>
      <w:r>
        <w:t>Establish clear domain goals and</w:t>
      </w:r>
      <w:r>
        <w:rPr>
          <w:spacing w:val="-25"/>
        </w:rPr>
        <w:t xml:space="preserve"> </w:t>
      </w:r>
      <w:r>
        <w:t>responsibilities</w:t>
      </w:r>
    </w:p>
    <w:p w:rsidR="00295765" w:rsidRDefault="005B5FE3">
      <w:pPr>
        <w:pStyle w:val="ListParagraph"/>
        <w:numPr>
          <w:ilvl w:val="1"/>
          <w:numId w:val="1"/>
        </w:numPr>
        <w:tabs>
          <w:tab w:val="left" w:pos="1199"/>
          <w:tab w:val="left" w:pos="1200"/>
        </w:tabs>
        <w:ind w:left="1199"/>
      </w:pPr>
      <w:r>
        <w:t>Promote domain</w:t>
      </w:r>
      <w:r>
        <w:rPr>
          <w:spacing w:val="-13"/>
        </w:rPr>
        <w:t xml:space="preserve"> </w:t>
      </w:r>
      <w:r>
        <w:t>accountability</w:t>
      </w:r>
    </w:p>
    <w:p w:rsidR="00295765" w:rsidRDefault="005B5FE3">
      <w:pPr>
        <w:pStyle w:val="ListParagraph"/>
        <w:numPr>
          <w:ilvl w:val="1"/>
          <w:numId w:val="1"/>
        </w:numPr>
        <w:tabs>
          <w:tab w:val="left" w:pos="1199"/>
          <w:tab w:val="left" w:pos="1200"/>
        </w:tabs>
        <w:ind w:left="1199"/>
      </w:pPr>
      <w:r>
        <w:t>Encourage open communication and transparency throughout the NIEM</w:t>
      </w:r>
      <w:r>
        <w:rPr>
          <w:spacing w:val="-29"/>
        </w:rPr>
        <w:t xml:space="preserve"> </w:t>
      </w:r>
      <w:r>
        <w:t>community</w:t>
      </w:r>
    </w:p>
    <w:p w:rsidR="00295765" w:rsidRDefault="005B5FE3">
      <w:pPr>
        <w:pStyle w:val="ListParagraph"/>
        <w:numPr>
          <w:ilvl w:val="1"/>
          <w:numId w:val="1"/>
        </w:numPr>
        <w:tabs>
          <w:tab w:val="left" w:pos="1198"/>
          <w:tab w:val="left" w:pos="1200"/>
        </w:tabs>
        <w:ind w:left="1199"/>
      </w:pPr>
      <w:r>
        <w:t>Provide mec</w:t>
      </w:r>
      <w:r>
        <w:t>hanisms for the community</w:t>
      </w:r>
      <w:r>
        <w:rPr>
          <w:spacing w:val="-20"/>
        </w:rPr>
        <w:t xml:space="preserve"> </w:t>
      </w:r>
      <w:r>
        <w:t>collaboration</w:t>
      </w:r>
    </w:p>
    <w:p w:rsidR="00295765" w:rsidRDefault="00295765">
      <w:pPr>
        <w:pStyle w:val="BodyText"/>
      </w:pPr>
    </w:p>
    <w:p w:rsidR="00295765" w:rsidRDefault="005B5FE3">
      <w:pPr>
        <w:pStyle w:val="ListParagraph"/>
        <w:numPr>
          <w:ilvl w:val="0"/>
          <w:numId w:val="1"/>
        </w:numPr>
        <w:tabs>
          <w:tab w:val="left" w:pos="840"/>
        </w:tabs>
        <w:ind w:left="839" w:hanging="360"/>
      </w:pPr>
      <w:r>
        <w:t>Continually seek to improve the NIEM value</w:t>
      </w:r>
      <w:r>
        <w:rPr>
          <w:spacing w:val="-19"/>
        </w:rPr>
        <w:t xml:space="preserve"> </w:t>
      </w:r>
      <w:r>
        <w:t>proposition</w:t>
      </w:r>
    </w:p>
    <w:p w:rsidR="00295765" w:rsidRDefault="005B5FE3">
      <w:pPr>
        <w:pStyle w:val="ListParagraph"/>
        <w:numPr>
          <w:ilvl w:val="1"/>
          <w:numId w:val="1"/>
        </w:numPr>
        <w:tabs>
          <w:tab w:val="left" w:pos="1198"/>
          <w:tab w:val="left" w:pos="1200"/>
        </w:tabs>
        <w:ind w:left="1198" w:hanging="359"/>
      </w:pPr>
      <w:r>
        <w:t>Elevate</w:t>
      </w:r>
      <w:r>
        <w:rPr>
          <w:spacing w:val="-2"/>
        </w:rPr>
        <w:t xml:space="preserve"> </w:t>
      </w:r>
      <w:r>
        <w:t>and</w:t>
      </w:r>
      <w:r>
        <w:rPr>
          <w:spacing w:val="-4"/>
        </w:rPr>
        <w:t xml:space="preserve"> </w:t>
      </w:r>
      <w:r>
        <w:t>reward</w:t>
      </w:r>
      <w:r>
        <w:rPr>
          <w:spacing w:val="-6"/>
        </w:rPr>
        <w:t xml:space="preserve"> </w:t>
      </w:r>
      <w:r>
        <w:t>success</w:t>
      </w:r>
      <w:r>
        <w:rPr>
          <w:spacing w:val="-5"/>
        </w:rPr>
        <w:t xml:space="preserve"> </w:t>
      </w:r>
      <w:r>
        <w:t>stories</w:t>
      </w:r>
      <w:r>
        <w:rPr>
          <w:spacing w:val="-3"/>
        </w:rPr>
        <w:t xml:space="preserve"> </w:t>
      </w:r>
      <w:r>
        <w:t>through</w:t>
      </w:r>
      <w:r>
        <w:rPr>
          <w:spacing w:val="-4"/>
        </w:rPr>
        <w:t xml:space="preserve"> </w:t>
      </w:r>
      <w:r>
        <w:t>the</w:t>
      </w:r>
      <w:r>
        <w:rPr>
          <w:spacing w:val="-5"/>
        </w:rPr>
        <w:t xml:space="preserve"> </w:t>
      </w:r>
      <w:r>
        <w:t>Best</w:t>
      </w:r>
      <w:r>
        <w:rPr>
          <w:spacing w:val="-2"/>
        </w:rPr>
        <w:t xml:space="preserve"> </w:t>
      </w:r>
      <w:r>
        <w:t>of</w:t>
      </w:r>
      <w:r>
        <w:rPr>
          <w:spacing w:val="-6"/>
        </w:rPr>
        <w:t xml:space="preserve"> </w:t>
      </w:r>
      <w:r>
        <w:t>NIEM</w:t>
      </w:r>
      <w:r>
        <w:rPr>
          <w:spacing w:val="-2"/>
        </w:rPr>
        <w:t xml:space="preserve"> </w:t>
      </w:r>
      <w:r>
        <w:t>award</w:t>
      </w:r>
      <w:r>
        <w:rPr>
          <w:spacing w:val="-4"/>
        </w:rPr>
        <w:t xml:space="preserve"> </w:t>
      </w:r>
      <w:r>
        <w:t>nomination</w:t>
      </w:r>
      <w:r>
        <w:rPr>
          <w:spacing w:val="-4"/>
        </w:rPr>
        <w:t xml:space="preserve"> </w:t>
      </w:r>
      <w:r>
        <w:t>process</w:t>
      </w:r>
    </w:p>
    <w:p w:rsidR="00295765" w:rsidRDefault="005B5FE3">
      <w:pPr>
        <w:pStyle w:val="ListParagraph"/>
        <w:numPr>
          <w:ilvl w:val="1"/>
          <w:numId w:val="1"/>
        </w:numPr>
        <w:tabs>
          <w:tab w:val="left" w:pos="1198"/>
          <w:tab w:val="left" w:pos="1199"/>
        </w:tabs>
        <w:ind w:left="1198"/>
      </w:pPr>
      <w:r>
        <w:t>Advance the use of the NIEM cost</w:t>
      </w:r>
      <w:r>
        <w:rPr>
          <w:spacing w:val="-11"/>
        </w:rPr>
        <w:t xml:space="preserve"> </w:t>
      </w:r>
      <w:r>
        <w:t>model</w:t>
      </w:r>
    </w:p>
    <w:p w:rsidR="00295765" w:rsidRDefault="005B5FE3">
      <w:pPr>
        <w:pStyle w:val="ListParagraph"/>
        <w:numPr>
          <w:ilvl w:val="1"/>
          <w:numId w:val="1"/>
        </w:numPr>
        <w:tabs>
          <w:tab w:val="left" w:pos="1198"/>
          <w:tab w:val="left" w:pos="1199"/>
        </w:tabs>
        <w:spacing w:before="2" w:line="237" w:lineRule="auto"/>
        <w:ind w:left="1198" w:right="221"/>
      </w:pPr>
      <w:r>
        <w:t>Develop performance metrics organizations can utilize to track cost avoidance and impacts to</w:t>
      </w:r>
      <w:r>
        <w:rPr>
          <w:spacing w:val="-2"/>
        </w:rPr>
        <w:t xml:space="preserve"> </w:t>
      </w:r>
      <w:r>
        <w:t>mission</w:t>
      </w:r>
    </w:p>
    <w:p w:rsidR="00295765" w:rsidRDefault="005B5FE3">
      <w:pPr>
        <w:pStyle w:val="ListParagraph"/>
        <w:numPr>
          <w:ilvl w:val="1"/>
          <w:numId w:val="1"/>
        </w:numPr>
        <w:tabs>
          <w:tab w:val="left" w:pos="1198"/>
          <w:tab w:val="left" w:pos="1199"/>
        </w:tabs>
        <w:spacing w:before="1"/>
        <w:ind w:left="1198"/>
      </w:pPr>
      <w:r>
        <w:t>Assemble and provide ‘hard’ success stories to demonstrate value and</w:t>
      </w:r>
      <w:r>
        <w:rPr>
          <w:spacing w:val="-34"/>
        </w:rPr>
        <w:t xml:space="preserve"> </w:t>
      </w:r>
      <w:r>
        <w:t>accomplishments</w:t>
      </w:r>
    </w:p>
    <w:p w:rsidR="00295765" w:rsidRDefault="005B5FE3">
      <w:pPr>
        <w:pStyle w:val="ListParagraph"/>
        <w:numPr>
          <w:ilvl w:val="1"/>
          <w:numId w:val="1"/>
        </w:numPr>
        <w:tabs>
          <w:tab w:val="left" w:pos="1198"/>
          <w:tab w:val="left" w:pos="1199"/>
        </w:tabs>
        <w:ind w:left="1198" w:right="413"/>
      </w:pPr>
      <w:r>
        <w:t>Develop and publish new, updated outreach material for community membe</w:t>
      </w:r>
      <w:r>
        <w:t>rs to inform decision-makers in their organization about the benefits and use of NIEM, the value NIEM-conformance brings, and the justification on why to fund and implement</w:t>
      </w:r>
      <w:r>
        <w:rPr>
          <w:spacing w:val="-32"/>
        </w:rPr>
        <w:t xml:space="preserve"> </w:t>
      </w:r>
      <w:r>
        <w:t>NIEM</w:t>
      </w:r>
    </w:p>
    <w:p w:rsidR="00295765" w:rsidRDefault="00295765">
      <w:pPr>
        <w:pStyle w:val="BodyText"/>
        <w:spacing w:before="12"/>
        <w:rPr>
          <w:sz w:val="21"/>
        </w:rPr>
      </w:pPr>
    </w:p>
    <w:p w:rsidR="00295765" w:rsidRDefault="005B5FE3">
      <w:pPr>
        <w:pStyle w:val="BodyText"/>
        <w:ind w:left="118" w:right="184"/>
      </w:pPr>
      <w:r>
        <w:t xml:space="preserve">In order to track progress and define success in each of these areas defined </w:t>
      </w:r>
      <w:r>
        <w:t>above, the NIEM program maintains a detailed program plan to track measurable results that is revised on an annual basis for the upcoming fiscal year, with updates performed as needed.</w:t>
      </w:r>
    </w:p>
    <w:p w:rsidR="00295765" w:rsidRDefault="00295765">
      <w:pPr>
        <w:pStyle w:val="BodyText"/>
        <w:spacing w:before="9"/>
        <w:rPr>
          <w:sz w:val="16"/>
        </w:rPr>
      </w:pPr>
    </w:p>
    <w:p w:rsidR="00295765" w:rsidRDefault="005B5FE3">
      <w:pPr>
        <w:pStyle w:val="Heading2"/>
        <w:ind w:left="120"/>
      </w:pPr>
      <w:r>
        <w:rPr>
          <w:color w:val="4F81BD"/>
        </w:rPr>
        <w:t>Conclusion</w:t>
      </w:r>
    </w:p>
    <w:p w:rsidR="00295765" w:rsidRDefault="005B5FE3">
      <w:pPr>
        <w:pStyle w:val="BodyText"/>
        <w:spacing w:before="42"/>
        <w:ind w:left="120"/>
      </w:pPr>
      <w:r>
        <w:t>This document is part of the NIEM program’s effort to promo</w:t>
      </w:r>
      <w:r>
        <w:t>te transparency to all stakeho</w:t>
      </w:r>
      <w:bookmarkStart w:id="4" w:name="Conclusion"/>
      <w:bookmarkEnd w:id="4"/>
      <w:r>
        <w:t>lders and foster collaborative solutions. As such, it is being published as a public document. We welcome your inputs, suggestions, and ideas on how the NIEM program can evolve and better meet the needs of our community member</w:t>
      </w:r>
      <w:r>
        <w:t xml:space="preserve">s. If you have any comments, please send them to the NIEM Program Management Office at </w:t>
      </w:r>
      <w:hyperlink r:id="rId8">
        <w:r>
          <w:rPr>
            <w:color w:val="0000FF"/>
            <w:u w:val="single" w:color="0000FF"/>
          </w:rPr>
          <w:t>NIEMPMO@niem.gov</w:t>
        </w:r>
        <w:r>
          <w:t>.</w:t>
        </w:r>
      </w:hyperlink>
    </w:p>
    <w:sectPr w:rsidR="00295765">
      <w:pgSz w:w="12240" w:h="15840"/>
      <w:pgMar w:top="1400" w:right="1380" w:bottom="1160" w:left="1320" w:header="0" w:footer="9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FE3" w:rsidRDefault="005B5FE3">
      <w:r>
        <w:separator/>
      </w:r>
    </w:p>
  </w:endnote>
  <w:endnote w:type="continuationSeparator" w:id="0">
    <w:p w:rsidR="005B5FE3" w:rsidRDefault="005B5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765" w:rsidRDefault="005B5FE3">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84.7pt;margin-top:732.4pt;width:42.45pt;height:11pt;z-index:-251658752;mso-position-horizontal-relative:page;mso-position-vertical-relative:page" filled="f" stroked="f">
          <v:textbox inset="0,0,0,0">
            <w:txbxContent>
              <w:p w:rsidR="00295765" w:rsidRDefault="005B5FE3">
                <w:pPr>
                  <w:spacing w:line="203" w:lineRule="exact"/>
                  <w:ind w:left="20"/>
                  <w:rPr>
                    <w:sz w:val="18"/>
                  </w:rPr>
                </w:pPr>
                <w:r>
                  <w:rPr>
                    <w:sz w:val="18"/>
                  </w:rPr>
                  <w:t xml:space="preserve">Page </w:t>
                </w:r>
                <w:r>
                  <w:fldChar w:fldCharType="begin"/>
                </w:r>
                <w:r>
                  <w:rPr>
                    <w:sz w:val="18"/>
                  </w:rPr>
                  <w:instrText xml:space="preserve"> PAGE </w:instrText>
                </w:r>
                <w:r>
                  <w:fldChar w:fldCharType="separate"/>
                </w:r>
                <w:r w:rsidR="00D44245">
                  <w:rPr>
                    <w:noProof/>
                    <w:sz w:val="18"/>
                  </w:rPr>
                  <w:t>2</w:t>
                </w:r>
                <w:r>
                  <w:fldChar w:fldCharType="end"/>
                </w:r>
                <w:r>
                  <w:rPr>
                    <w:sz w:val="18"/>
                  </w:rPr>
                  <w:t xml:space="preserve"> of 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FE3" w:rsidRDefault="005B5FE3">
      <w:r>
        <w:separator/>
      </w:r>
    </w:p>
  </w:footnote>
  <w:footnote w:type="continuationSeparator" w:id="0">
    <w:p w:rsidR="005B5FE3" w:rsidRDefault="005B5F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9290B"/>
    <w:multiLevelType w:val="hybridMultilevel"/>
    <w:tmpl w:val="7F2C4122"/>
    <w:lvl w:ilvl="0" w:tplc="0896CB2E">
      <w:start w:val="1"/>
      <w:numFmt w:val="decimal"/>
      <w:lvlText w:val="%1."/>
      <w:lvlJc w:val="left"/>
      <w:pPr>
        <w:ind w:left="820" w:hanging="361"/>
        <w:jc w:val="left"/>
      </w:pPr>
      <w:rPr>
        <w:rFonts w:ascii="Calibri" w:eastAsia="Calibri" w:hAnsi="Calibri" w:cs="Calibri" w:hint="default"/>
        <w:w w:val="100"/>
        <w:sz w:val="22"/>
        <w:szCs w:val="22"/>
      </w:rPr>
    </w:lvl>
    <w:lvl w:ilvl="1" w:tplc="2F38F054">
      <w:numFmt w:val="bullet"/>
      <w:lvlText w:val="-"/>
      <w:lvlJc w:val="left"/>
      <w:pPr>
        <w:ind w:left="1179" w:hanging="360"/>
      </w:pPr>
      <w:rPr>
        <w:rFonts w:ascii="Calibri" w:eastAsia="Calibri" w:hAnsi="Calibri" w:cs="Calibri" w:hint="default"/>
        <w:w w:val="100"/>
        <w:sz w:val="22"/>
        <w:szCs w:val="22"/>
      </w:rPr>
    </w:lvl>
    <w:lvl w:ilvl="2" w:tplc="550653D4">
      <w:numFmt w:val="bullet"/>
      <w:lvlText w:val="•"/>
      <w:lvlJc w:val="left"/>
      <w:pPr>
        <w:ind w:left="1200" w:hanging="360"/>
      </w:pPr>
      <w:rPr>
        <w:rFonts w:hint="default"/>
      </w:rPr>
    </w:lvl>
    <w:lvl w:ilvl="3" w:tplc="56205BDC">
      <w:numFmt w:val="bullet"/>
      <w:lvlText w:val="•"/>
      <w:lvlJc w:val="left"/>
      <w:pPr>
        <w:ind w:left="2240" w:hanging="360"/>
      </w:pPr>
      <w:rPr>
        <w:rFonts w:hint="default"/>
      </w:rPr>
    </w:lvl>
    <w:lvl w:ilvl="4" w:tplc="958E1686">
      <w:numFmt w:val="bullet"/>
      <w:lvlText w:val="•"/>
      <w:lvlJc w:val="left"/>
      <w:pPr>
        <w:ind w:left="3280" w:hanging="360"/>
      </w:pPr>
      <w:rPr>
        <w:rFonts w:hint="default"/>
      </w:rPr>
    </w:lvl>
    <w:lvl w:ilvl="5" w:tplc="87289932">
      <w:numFmt w:val="bullet"/>
      <w:lvlText w:val="•"/>
      <w:lvlJc w:val="left"/>
      <w:pPr>
        <w:ind w:left="4320" w:hanging="360"/>
      </w:pPr>
      <w:rPr>
        <w:rFonts w:hint="default"/>
      </w:rPr>
    </w:lvl>
    <w:lvl w:ilvl="6" w:tplc="8C809062">
      <w:numFmt w:val="bullet"/>
      <w:lvlText w:val="•"/>
      <w:lvlJc w:val="left"/>
      <w:pPr>
        <w:ind w:left="5360" w:hanging="360"/>
      </w:pPr>
      <w:rPr>
        <w:rFonts w:hint="default"/>
      </w:rPr>
    </w:lvl>
    <w:lvl w:ilvl="7" w:tplc="97B20DE0">
      <w:numFmt w:val="bullet"/>
      <w:lvlText w:val="•"/>
      <w:lvlJc w:val="left"/>
      <w:pPr>
        <w:ind w:left="6400" w:hanging="360"/>
      </w:pPr>
      <w:rPr>
        <w:rFonts w:hint="default"/>
      </w:rPr>
    </w:lvl>
    <w:lvl w:ilvl="8" w:tplc="BC0A5B42">
      <w:numFmt w:val="bullet"/>
      <w:lvlText w:val="•"/>
      <w:lvlJc w:val="left"/>
      <w:pPr>
        <w:ind w:left="7440" w:hanging="360"/>
      </w:pPr>
      <w:rPr>
        <w:rFonts w:hint="default"/>
      </w:rPr>
    </w:lvl>
  </w:abstractNum>
  <w:abstractNum w:abstractNumId="1" w15:restartNumberingAfterBreak="0">
    <w:nsid w:val="272B4E78"/>
    <w:multiLevelType w:val="hybridMultilevel"/>
    <w:tmpl w:val="21703B8C"/>
    <w:lvl w:ilvl="0" w:tplc="EBA839FA">
      <w:numFmt w:val="bullet"/>
      <w:lvlText w:val=""/>
      <w:lvlJc w:val="left"/>
      <w:pPr>
        <w:ind w:left="499" w:hanging="360"/>
      </w:pPr>
      <w:rPr>
        <w:rFonts w:ascii="Wingdings" w:eastAsia="Wingdings" w:hAnsi="Wingdings" w:cs="Wingdings" w:hint="default"/>
        <w:w w:val="100"/>
        <w:sz w:val="22"/>
        <w:szCs w:val="22"/>
      </w:rPr>
    </w:lvl>
    <w:lvl w:ilvl="1" w:tplc="A4E80836">
      <w:start w:val="1"/>
      <w:numFmt w:val="decimal"/>
      <w:lvlText w:val="%2."/>
      <w:lvlJc w:val="left"/>
      <w:pPr>
        <w:ind w:left="820" w:hanging="361"/>
        <w:jc w:val="left"/>
      </w:pPr>
      <w:rPr>
        <w:rFonts w:ascii="Calibri" w:eastAsia="Calibri" w:hAnsi="Calibri" w:cs="Calibri" w:hint="default"/>
        <w:b/>
        <w:bCs/>
        <w:w w:val="100"/>
        <w:sz w:val="22"/>
        <w:szCs w:val="22"/>
      </w:rPr>
    </w:lvl>
    <w:lvl w:ilvl="2" w:tplc="7DB4F45A">
      <w:numFmt w:val="bullet"/>
      <w:lvlText w:val="•"/>
      <w:lvlJc w:val="left"/>
      <w:pPr>
        <w:ind w:left="1791" w:hanging="361"/>
      </w:pPr>
      <w:rPr>
        <w:rFonts w:hint="default"/>
      </w:rPr>
    </w:lvl>
    <w:lvl w:ilvl="3" w:tplc="DB2A83FC">
      <w:numFmt w:val="bullet"/>
      <w:lvlText w:val="•"/>
      <w:lvlJc w:val="left"/>
      <w:pPr>
        <w:ind w:left="2762" w:hanging="361"/>
      </w:pPr>
      <w:rPr>
        <w:rFonts w:hint="default"/>
      </w:rPr>
    </w:lvl>
    <w:lvl w:ilvl="4" w:tplc="C824AD5C">
      <w:numFmt w:val="bullet"/>
      <w:lvlText w:val="•"/>
      <w:lvlJc w:val="left"/>
      <w:pPr>
        <w:ind w:left="3733" w:hanging="361"/>
      </w:pPr>
      <w:rPr>
        <w:rFonts w:hint="default"/>
      </w:rPr>
    </w:lvl>
    <w:lvl w:ilvl="5" w:tplc="107EF93E">
      <w:numFmt w:val="bullet"/>
      <w:lvlText w:val="•"/>
      <w:lvlJc w:val="left"/>
      <w:pPr>
        <w:ind w:left="4704" w:hanging="361"/>
      </w:pPr>
      <w:rPr>
        <w:rFonts w:hint="default"/>
      </w:rPr>
    </w:lvl>
    <w:lvl w:ilvl="6" w:tplc="510A85FC">
      <w:numFmt w:val="bullet"/>
      <w:lvlText w:val="•"/>
      <w:lvlJc w:val="left"/>
      <w:pPr>
        <w:ind w:left="5675" w:hanging="361"/>
      </w:pPr>
      <w:rPr>
        <w:rFonts w:hint="default"/>
      </w:rPr>
    </w:lvl>
    <w:lvl w:ilvl="7" w:tplc="AB3E1DDA">
      <w:numFmt w:val="bullet"/>
      <w:lvlText w:val="•"/>
      <w:lvlJc w:val="left"/>
      <w:pPr>
        <w:ind w:left="6646" w:hanging="361"/>
      </w:pPr>
      <w:rPr>
        <w:rFonts w:hint="default"/>
      </w:rPr>
    </w:lvl>
    <w:lvl w:ilvl="8" w:tplc="8C38BED0">
      <w:numFmt w:val="bullet"/>
      <w:lvlText w:val="•"/>
      <w:lvlJc w:val="left"/>
      <w:pPr>
        <w:ind w:left="7617" w:hanging="361"/>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revisionView w:markup="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295765"/>
    <w:rsid w:val="00295765"/>
    <w:rsid w:val="005B5FE3"/>
    <w:rsid w:val="00D44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2D4F22F"/>
  <w15:docId w15:val="{29E9C042-6BF5-4EC2-8550-1B69C00C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40"/>
      <w:outlineLvl w:val="0"/>
    </w:pPr>
    <w:rPr>
      <w:rFonts w:ascii="Cambria" w:eastAsia="Cambria" w:hAnsi="Cambria" w:cs="Cambria"/>
      <w:b/>
      <w:bCs/>
      <w:sz w:val="28"/>
      <w:szCs w:val="28"/>
    </w:rPr>
  </w:style>
  <w:style w:type="paragraph" w:styleId="Heading2">
    <w:name w:val="heading 2"/>
    <w:basedOn w:val="Normal"/>
    <w:uiPriority w:val="1"/>
    <w:qFormat/>
    <w:pPr>
      <w:ind w:left="100"/>
      <w:outlineLvl w:val="1"/>
    </w:pPr>
    <w:rPr>
      <w:rFonts w:ascii="Cambria" w:eastAsia="Cambria" w:hAnsi="Cambria" w:cs="Cambria"/>
      <w:b/>
      <w:bCs/>
      <w:sz w:val="26"/>
      <w:szCs w:val="26"/>
    </w:rPr>
  </w:style>
  <w:style w:type="paragraph" w:styleId="Heading3">
    <w:name w:val="heading 3"/>
    <w:basedOn w:val="Normal"/>
    <w:uiPriority w:val="1"/>
    <w:qFormat/>
    <w:pPr>
      <w:ind w:left="820" w:hanging="36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19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NIEMPMO@niem.gov"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JSP</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christina.bapst</dc:creator>
  <cp:lastModifiedBy/>
  <cp:revision>1</cp:revision>
  <dcterms:created xsi:type="dcterms:W3CDTF">2018-10-30T14:09:00Z</dcterms:created>
  <dcterms:modified xsi:type="dcterms:W3CDTF">2018-10-30T14:09:00Z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2010-07-29T00:00:00Z</vt:filetime>
  </property>
  <property fmtid="{D5CDD505-2E9C-101B-9397-08002B2CF9AE}" pid="3" name="Creator">
    <vt:lpwstr>Acrobat PDFMaker 9.1 for Word</vt:lpwstr>
  </property>
  <property fmtid="{D5CDD505-2E9C-101B-9397-08002B2CF9AE}" pid="4" name="LastSaved">
    <vt:filetime>2018-10-30T00:00:00Z</vt:filetime>
  </property>
</Properties>
</file>