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44246"/>
    <w:bookmarkEnd w:id="0"/>
    <w:p w14:paraId="241D1BD5" w14:textId="28090483" w:rsidR="006264A0" w:rsidRDefault="00591101">
      <w:pPr>
        <w:spacing w:after="0" w:line="240" w:lineRule="auto"/>
        <w:jc w:val="center"/>
        <w:rPr>
          <w:rFonts w:ascii="Calibri Light" w:eastAsia="Calibri Light" w:hAnsi="Calibri Light" w:cs="Calibri Light"/>
          <w:spacing w:val="-10"/>
          <w:sz w:val="56"/>
        </w:rPr>
      </w:pPr>
      <w:r>
        <w:object w:dxaOrig="2267" w:dyaOrig="2267" w14:anchorId="446D25C8">
          <v:rect id="rectole0000000000" o:spid="_x0000_i1025" style="width:112.7pt;height:112.7pt" o:ole="" o:preferrelative="t" stroked="f">
            <v:imagedata r:id="rId8" o:title=""/>
          </v:rect>
          <o:OLEObject Type="Embed" ProgID="StaticMetafile" ShapeID="rectole0000000000" DrawAspect="Content" ObjectID="_1622302147" r:id="rId9"/>
        </w:object>
      </w:r>
      <w:r w:rsidR="009E3689">
        <w:t xml:space="preserve">  </w:t>
      </w:r>
    </w:p>
    <w:p w14:paraId="0BC1878F" w14:textId="77777777" w:rsidR="006264A0" w:rsidRDefault="006264A0">
      <w:pPr>
        <w:spacing w:after="0" w:line="240" w:lineRule="auto"/>
        <w:rPr>
          <w:rFonts w:ascii="Calibri Light" w:eastAsia="Calibri Light" w:hAnsi="Calibri Light" w:cs="Calibri Light"/>
          <w:spacing w:val="-10"/>
          <w:sz w:val="56"/>
        </w:rPr>
      </w:pPr>
    </w:p>
    <w:p w14:paraId="1A7A2FE0" w14:textId="77777777" w:rsidR="006264A0" w:rsidRDefault="006264A0">
      <w:pPr>
        <w:rPr>
          <w:rFonts w:ascii="Calibri" w:eastAsia="Calibri" w:hAnsi="Calibri" w:cs="Calibri"/>
        </w:rPr>
      </w:pPr>
    </w:p>
    <w:p w14:paraId="5C8B5D52" w14:textId="1D420881" w:rsidR="006264A0" w:rsidRPr="009D3AF3" w:rsidRDefault="00591101">
      <w:pPr>
        <w:spacing w:after="0" w:line="240" w:lineRule="auto"/>
        <w:rPr>
          <w:rFonts w:asciiTheme="majorHAnsi" w:eastAsia="Calibri Light" w:hAnsiTheme="majorHAnsi" w:cs="Calibri Light"/>
          <w:spacing w:val="-10"/>
          <w:sz w:val="40"/>
          <w:szCs w:val="40"/>
        </w:rPr>
      </w:pPr>
      <w:r w:rsidRPr="009D3AF3">
        <w:rPr>
          <w:rFonts w:asciiTheme="majorHAnsi" w:eastAsia="Calibri Light" w:hAnsiTheme="majorHAnsi" w:cs="Calibri Light"/>
          <w:spacing w:val="-10"/>
          <w:sz w:val="40"/>
          <w:szCs w:val="40"/>
        </w:rPr>
        <w:t>NIEM Health</w:t>
      </w:r>
      <w:r w:rsidR="00FD0FA3">
        <w:rPr>
          <w:rFonts w:asciiTheme="majorHAnsi" w:eastAsia="Calibri Light" w:hAnsiTheme="majorHAnsi" w:cs="Calibri Light"/>
          <w:spacing w:val="-10"/>
          <w:sz w:val="40"/>
          <w:szCs w:val="40"/>
        </w:rPr>
        <w:t xml:space="preserve"> </w:t>
      </w:r>
      <w:r w:rsidRPr="009D3AF3">
        <w:rPr>
          <w:rFonts w:asciiTheme="majorHAnsi" w:eastAsia="Calibri Light" w:hAnsiTheme="majorHAnsi" w:cs="Calibri Light"/>
          <w:spacing w:val="-10"/>
          <w:sz w:val="40"/>
          <w:szCs w:val="40"/>
        </w:rPr>
        <w:t>101: An Introduction to Health I</w:t>
      </w:r>
      <w:r w:rsidR="00412F5A">
        <w:rPr>
          <w:rFonts w:asciiTheme="majorHAnsi" w:eastAsia="Calibri Light" w:hAnsiTheme="majorHAnsi" w:cs="Calibri Light"/>
          <w:spacing w:val="-10"/>
          <w:sz w:val="40"/>
          <w:szCs w:val="40"/>
        </w:rPr>
        <w:t>nformation</w:t>
      </w:r>
      <w:r w:rsidRPr="009D3AF3">
        <w:rPr>
          <w:rFonts w:asciiTheme="majorHAnsi" w:eastAsia="Calibri Light" w:hAnsiTheme="majorHAnsi" w:cs="Calibri Light"/>
          <w:spacing w:val="-10"/>
          <w:sz w:val="40"/>
          <w:szCs w:val="40"/>
        </w:rPr>
        <w:t xml:space="preserve"> </w:t>
      </w:r>
      <w:r w:rsidR="00712E49">
        <w:rPr>
          <w:rFonts w:asciiTheme="majorHAnsi" w:eastAsia="Calibri Light" w:hAnsiTheme="majorHAnsi" w:cs="Calibri Light"/>
          <w:spacing w:val="-10"/>
          <w:sz w:val="40"/>
          <w:szCs w:val="40"/>
        </w:rPr>
        <w:t xml:space="preserve">Exchange </w:t>
      </w:r>
    </w:p>
    <w:p w14:paraId="6987EE6D" w14:textId="77777777" w:rsidR="006264A0" w:rsidRPr="009D3AF3" w:rsidRDefault="00591101">
      <w:pPr>
        <w:rPr>
          <w:rFonts w:asciiTheme="majorHAnsi" w:eastAsia="Calibri" w:hAnsiTheme="majorHAnsi" w:cs="Calibri"/>
          <w:sz w:val="34"/>
          <w:szCs w:val="34"/>
        </w:rPr>
      </w:pPr>
      <w:r w:rsidRPr="009D3AF3">
        <w:rPr>
          <w:rFonts w:asciiTheme="majorHAnsi" w:eastAsia="Calibri" w:hAnsiTheme="majorHAnsi" w:cs="Calibri"/>
          <w:sz w:val="34"/>
          <w:szCs w:val="34"/>
        </w:rPr>
        <w:t>Produced by the Federal Health Architecture</w:t>
      </w:r>
    </w:p>
    <w:p w14:paraId="1ED2AB0F" w14:textId="77777777" w:rsidR="006264A0" w:rsidRDefault="00591101">
      <w:pPr>
        <w:rPr>
          <w:rFonts w:ascii="Calibri" w:eastAsia="Calibri" w:hAnsi="Calibri" w:cs="Calibri"/>
        </w:rPr>
      </w:pPr>
      <w:r>
        <w:rPr>
          <w:rFonts w:ascii="Calibri" w:eastAsia="Calibri" w:hAnsi="Calibri" w:cs="Calibri"/>
        </w:rPr>
        <w:t xml:space="preserve"> </w:t>
      </w:r>
    </w:p>
    <w:p w14:paraId="12F921AA" w14:textId="77777777" w:rsidR="006264A0" w:rsidRDefault="006264A0">
      <w:pPr>
        <w:rPr>
          <w:rFonts w:ascii="Calibri" w:eastAsia="Calibri" w:hAnsi="Calibri" w:cs="Calibri"/>
        </w:rPr>
      </w:pPr>
    </w:p>
    <w:p w14:paraId="7A8D279C" w14:textId="7BF802C4" w:rsidR="001B1AC5" w:rsidRDefault="00591101">
      <w:pPr>
        <w:rPr>
          <w:rFonts w:ascii="Calibri" w:eastAsia="Calibri" w:hAnsi="Calibri" w:cs="Calibri"/>
        </w:rPr>
      </w:pPr>
      <w:r>
        <w:rPr>
          <w:rFonts w:ascii="Calibri" w:eastAsia="Calibri" w:hAnsi="Calibri" w:cs="Calibri"/>
        </w:rPr>
        <w:t xml:space="preserve"> </w:t>
      </w:r>
    </w:p>
    <w:p w14:paraId="748F21DF" w14:textId="77777777" w:rsidR="001B1AC5" w:rsidRDefault="001B1AC5">
      <w:pPr>
        <w:rPr>
          <w:rFonts w:ascii="Calibri" w:eastAsia="Calibri" w:hAnsi="Calibri" w:cs="Calibri"/>
        </w:rPr>
      </w:pPr>
      <w:r>
        <w:rPr>
          <w:rFonts w:ascii="Calibri" w:eastAsia="Calibri" w:hAnsi="Calibri" w:cs="Calibri"/>
        </w:rPr>
        <w:br w:type="page"/>
      </w:r>
    </w:p>
    <w:sdt>
      <w:sdtPr>
        <w:rPr>
          <w:rFonts w:asciiTheme="minorHAnsi" w:eastAsiaTheme="minorEastAsia" w:hAnsiTheme="minorHAnsi" w:cstheme="minorBidi"/>
          <w:color w:val="auto"/>
          <w:sz w:val="22"/>
          <w:szCs w:val="22"/>
        </w:rPr>
        <w:id w:val="365574021"/>
        <w:docPartObj>
          <w:docPartGallery w:val="Table of Contents"/>
          <w:docPartUnique/>
        </w:docPartObj>
      </w:sdtPr>
      <w:sdtEndPr>
        <w:rPr>
          <w:b/>
          <w:bCs/>
          <w:noProof/>
        </w:rPr>
      </w:sdtEndPr>
      <w:sdtContent>
        <w:p w14:paraId="14FA58EB" w14:textId="4BFED95B" w:rsidR="00C16846" w:rsidRDefault="00C16846">
          <w:pPr>
            <w:pStyle w:val="TOCHeading"/>
          </w:pPr>
          <w:r>
            <w:t>Contents</w:t>
          </w:r>
        </w:p>
        <w:p w14:paraId="5E35411F" w14:textId="34AA9B85" w:rsidR="002E0B2B" w:rsidRDefault="00C16846">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70678" w:history="1">
            <w:r w:rsidR="002E0B2B" w:rsidRPr="0030490F">
              <w:rPr>
                <w:rStyle w:val="Hyperlink"/>
                <w:rFonts w:eastAsia="Calibri Light"/>
                <w:noProof/>
              </w:rPr>
              <w:t>Introduction</w:t>
            </w:r>
            <w:r w:rsidR="002E0B2B">
              <w:rPr>
                <w:noProof/>
                <w:webHidden/>
              </w:rPr>
              <w:tab/>
            </w:r>
            <w:r w:rsidR="002E0B2B">
              <w:rPr>
                <w:noProof/>
                <w:webHidden/>
              </w:rPr>
              <w:fldChar w:fldCharType="begin"/>
            </w:r>
            <w:r w:rsidR="002E0B2B">
              <w:rPr>
                <w:noProof/>
                <w:webHidden/>
              </w:rPr>
              <w:instrText xml:space="preserve"> PAGEREF _Toc5370678 \h </w:instrText>
            </w:r>
            <w:r w:rsidR="002E0B2B">
              <w:rPr>
                <w:noProof/>
                <w:webHidden/>
              </w:rPr>
            </w:r>
            <w:r w:rsidR="002E0B2B">
              <w:rPr>
                <w:noProof/>
                <w:webHidden/>
              </w:rPr>
              <w:fldChar w:fldCharType="separate"/>
            </w:r>
            <w:r w:rsidR="009E3689">
              <w:rPr>
                <w:noProof/>
                <w:webHidden/>
              </w:rPr>
              <w:t>3</w:t>
            </w:r>
            <w:r w:rsidR="002E0B2B">
              <w:rPr>
                <w:noProof/>
                <w:webHidden/>
              </w:rPr>
              <w:fldChar w:fldCharType="end"/>
            </w:r>
          </w:hyperlink>
        </w:p>
        <w:p w14:paraId="3C1025D8" w14:textId="04179689" w:rsidR="002E0B2B" w:rsidRDefault="00FD0FA3">
          <w:pPr>
            <w:pStyle w:val="TOC1"/>
            <w:tabs>
              <w:tab w:val="right" w:leader="dot" w:pos="9350"/>
            </w:tabs>
            <w:rPr>
              <w:noProof/>
            </w:rPr>
          </w:pPr>
          <w:hyperlink w:anchor="_Toc5370679" w:history="1">
            <w:r w:rsidR="002E0B2B" w:rsidRPr="0030490F">
              <w:rPr>
                <w:rStyle w:val="Hyperlink"/>
                <w:noProof/>
              </w:rPr>
              <w:t>NIEM Health Information Exchange Challenge</w:t>
            </w:r>
            <w:r w:rsidR="002E0B2B">
              <w:rPr>
                <w:noProof/>
                <w:webHidden/>
              </w:rPr>
              <w:tab/>
            </w:r>
            <w:r w:rsidR="002E0B2B">
              <w:rPr>
                <w:noProof/>
                <w:webHidden/>
              </w:rPr>
              <w:fldChar w:fldCharType="begin"/>
            </w:r>
            <w:r w:rsidR="002E0B2B">
              <w:rPr>
                <w:noProof/>
                <w:webHidden/>
              </w:rPr>
              <w:instrText xml:space="preserve"> PAGEREF _Toc5370679 \h </w:instrText>
            </w:r>
            <w:r w:rsidR="002E0B2B">
              <w:rPr>
                <w:noProof/>
                <w:webHidden/>
              </w:rPr>
            </w:r>
            <w:r w:rsidR="002E0B2B">
              <w:rPr>
                <w:noProof/>
                <w:webHidden/>
              </w:rPr>
              <w:fldChar w:fldCharType="separate"/>
            </w:r>
            <w:r w:rsidR="009E3689">
              <w:rPr>
                <w:noProof/>
                <w:webHidden/>
              </w:rPr>
              <w:t>3</w:t>
            </w:r>
            <w:r w:rsidR="002E0B2B">
              <w:rPr>
                <w:noProof/>
                <w:webHidden/>
              </w:rPr>
              <w:fldChar w:fldCharType="end"/>
            </w:r>
          </w:hyperlink>
        </w:p>
        <w:p w14:paraId="5288924E" w14:textId="717D9CEA" w:rsidR="002E0B2B" w:rsidRDefault="00FD0FA3">
          <w:pPr>
            <w:pStyle w:val="TOC1"/>
            <w:tabs>
              <w:tab w:val="right" w:leader="dot" w:pos="9350"/>
            </w:tabs>
            <w:rPr>
              <w:noProof/>
            </w:rPr>
          </w:pPr>
          <w:hyperlink w:anchor="_Toc5370680" w:history="1">
            <w:r w:rsidR="002E0B2B" w:rsidRPr="0030490F">
              <w:rPr>
                <w:rStyle w:val="Hyperlink"/>
                <w:noProof/>
              </w:rPr>
              <w:t>Health IT Landscape and Standards</w:t>
            </w:r>
            <w:r w:rsidR="002E0B2B">
              <w:rPr>
                <w:noProof/>
                <w:webHidden/>
              </w:rPr>
              <w:tab/>
            </w:r>
            <w:r w:rsidR="002E0B2B">
              <w:rPr>
                <w:noProof/>
                <w:webHidden/>
              </w:rPr>
              <w:fldChar w:fldCharType="begin"/>
            </w:r>
            <w:r w:rsidR="002E0B2B">
              <w:rPr>
                <w:noProof/>
                <w:webHidden/>
              </w:rPr>
              <w:instrText xml:space="preserve"> PAGEREF _Toc5370680 \h </w:instrText>
            </w:r>
            <w:r w:rsidR="002E0B2B">
              <w:rPr>
                <w:noProof/>
                <w:webHidden/>
              </w:rPr>
            </w:r>
            <w:r w:rsidR="002E0B2B">
              <w:rPr>
                <w:noProof/>
                <w:webHidden/>
              </w:rPr>
              <w:fldChar w:fldCharType="separate"/>
            </w:r>
            <w:r w:rsidR="009E3689">
              <w:rPr>
                <w:noProof/>
                <w:webHidden/>
              </w:rPr>
              <w:t>4</w:t>
            </w:r>
            <w:r w:rsidR="002E0B2B">
              <w:rPr>
                <w:noProof/>
                <w:webHidden/>
              </w:rPr>
              <w:fldChar w:fldCharType="end"/>
            </w:r>
          </w:hyperlink>
        </w:p>
        <w:p w14:paraId="5C619513" w14:textId="590D9BAD" w:rsidR="002E0B2B" w:rsidRDefault="00FD0FA3">
          <w:pPr>
            <w:pStyle w:val="TOC2"/>
            <w:tabs>
              <w:tab w:val="right" w:leader="dot" w:pos="9350"/>
            </w:tabs>
            <w:rPr>
              <w:noProof/>
            </w:rPr>
          </w:pPr>
          <w:hyperlink w:anchor="_Toc5370681" w:history="1">
            <w:r w:rsidR="002E0B2B" w:rsidRPr="0030490F">
              <w:rPr>
                <w:rStyle w:val="Hyperlink"/>
                <w:noProof/>
              </w:rPr>
              <w:t>HIT Data Exchange Standards</w:t>
            </w:r>
            <w:r w:rsidR="002E0B2B">
              <w:rPr>
                <w:noProof/>
                <w:webHidden/>
              </w:rPr>
              <w:tab/>
            </w:r>
            <w:r w:rsidR="002E0B2B">
              <w:rPr>
                <w:noProof/>
                <w:webHidden/>
              </w:rPr>
              <w:fldChar w:fldCharType="begin"/>
            </w:r>
            <w:r w:rsidR="002E0B2B">
              <w:rPr>
                <w:noProof/>
                <w:webHidden/>
              </w:rPr>
              <w:instrText xml:space="preserve"> PAGEREF _Toc5370681 \h </w:instrText>
            </w:r>
            <w:r w:rsidR="002E0B2B">
              <w:rPr>
                <w:noProof/>
                <w:webHidden/>
              </w:rPr>
            </w:r>
            <w:r w:rsidR="002E0B2B">
              <w:rPr>
                <w:noProof/>
                <w:webHidden/>
              </w:rPr>
              <w:fldChar w:fldCharType="separate"/>
            </w:r>
            <w:r w:rsidR="009E3689">
              <w:rPr>
                <w:noProof/>
                <w:webHidden/>
              </w:rPr>
              <w:t>4</w:t>
            </w:r>
            <w:r w:rsidR="002E0B2B">
              <w:rPr>
                <w:noProof/>
                <w:webHidden/>
              </w:rPr>
              <w:fldChar w:fldCharType="end"/>
            </w:r>
          </w:hyperlink>
        </w:p>
        <w:p w14:paraId="26A0D278" w14:textId="5534D8D1" w:rsidR="002E0B2B" w:rsidRDefault="00FD0FA3">
          <w:pPr>
            <w:pStyle w:val="TOC2"/>
            <w:tabs>
              <w:tab w:val="right" w:leader="dot" w:pos="9350"/>
            </w:tabs>
            <w:rPr>
              <w:noProof/>
            </w:rPr>
          </w:pPr>
          <w:hyperlink w:anchor="_Toc5370682" w:history="1">
            <w:r w:rsidR="002E0B2B" w:rsidRPr="0030490F">
              <w:rPr>
                <w:rStyle w:val="Hyperlink"/>
                <w:noProof/>
              </w:rPr>
              <w:t>HIT Vocabulary Standards</w:t>
            </w:r>
            <w:r w:rsidR="002E0B2B">
              <w:rPr>
                <w:noProof/>
                <w:webHidden/>
              </w:rPr>
              <w:tab/>
            </w:r>
            <w:r w:rsidR="002E0B2B">
              <w:rPr>
                <w:noProof/>
                <w:webHidden/>
              </w:rPr>
              <w:fldChar w:fldCharType="begin"/>
            </w:r>
            <w:r w:rsidR="002E0B2B">
              <w:rPr>
                <w:noProof/>
                <w:webHidden/>
              </w:rPr>
              <w:instrText xml:space="preserve"> PAGEREF _Toc5370682 \h </w:instrText>
            </w:r>
            <w:r w:rsidR="002E0B2B">
              <w:rPr>
                <w:noProof/>
                <w:webHidden/>
              </w:rPr>
            </w:r>
            <w:r w:rsidR="002E0B2B">
              <w:rPr>
                <w:noProof/>
                <w:webHidden/>
              </w:rPr>
              <w:fldChar w:fldCharType="separate"/>
            </w:r>
            <w:r w:rsidR="009E3689">
              <w:rPr>
                <w:noProof/>
                <w:webHidden/>
              </w:rPr>
              <w:t>5</w:t>
            </w:r>
            <w:r w:rsidR="002E0B2B">
              <w:rPr>
                <w:noProof/>
                <w:webHidden/>
              </w:rPr>
              <w:fldChar w:fldCharType="end"/>
            </w:r>
          </w:hyperlink>
        </w:p>
        <w:p w14:paraId="02B713E6" w14:textId="1B67DE0C" w:rsidR="002E0B2B" w:rsidRDefault="00FD0FA3">
          <w:pPr>
            <w:pStyle w:val="TOC1"/>
            <w:tabs>
              <w:tab w:val="right" w:leader="dot" w:pos="9350"/>
            </w:tabs>
            <w:rPr>
              <w:noProof/>
            </w:rPr>
          </w:pPr>
          <w:hyperlink w:anchor="_Toc5370683" w:history="1">
            <w:r w:rsidR="002E0B2B" w:rsidRPr="0030490F">
              <w:rPr>
                <w:rStyle w:val="Hyperlink"/>
                <w:rFonts w:eastAsia="Calibri Light"/>
                <w:noProof/>
              </w:rPr>
              <w:t>The National Information Exchange Model (NIEM)</w:t>
            </w:r>
            <w:r w:rsidR="002E0B2B">
              <w:rPr>
                <w:noProof/>
                <w:webHidden/>
              </w:rPr>
              <w:tab/>
            </w:r>
            <w:r w:rsidR="002E0B2B">
              <w:rPr>
                <w:noProof/>
                <w:webHidden/>
              </w:rPr>
              <w:fldChar w:fldCharType="begin"/>
            </w:r>
            <w:r w:rsidR="002E0B2B">
              <w:rPr>
                <w:noProof/>
                <w:webHidden/>
              </w:rPr>
              <w:instrText xml:space="preserve"> PAGEREF _Toc5370683 \h </w:instrText>
            </w:r>
            <w:r w:rsidR="002E0B2B">
              <w:rPr>
                <w:noProof/>
                <w:webHidden/>
              </w:rPr>
            </w:r>
            <w:r w:rsidR="002E0B2B">
              <w:rPr>
                <w:noProof/>
                <w:webHidden/>
              </w:rPr>
              <w:fldChar w:fldCharType="separate"/>
            </w:r>
            <w:r w:rsidR="009E3689">
              <w:rPr>
                <w:noProof/>
                <w:webHidden/>
              </w:rPr>
              <w:t>6</w:t>
            </w:r>
            <w:r w:rsidR="002E0B2B">
              <w:rPr>
                <w:noProof/>
                <w:webHidden/>
              </w:rPr>
              <w:fldChar w:fldCharType="end"/>
            </w:r>
          </w:hyperlink>
        </w:p>
        <w:p w14:paraId="44830AEA" w14:textId="707B5DD6" w:rsidR="002E0B2B" w:rsidRDefault="00FD0FA3">
          <w:pPr>
            <w:pStyle w:val="TOC1"/>
            <w:tabs>
              <w:tab w:val="right" w:leader="dot" w:pos="9350"/>
            </w:tabs>
            <w:rPr>
              <w:noProof/>
            </w:rPr>
          </w:pPr>
          <w:hyperlink w:anchor="_Toc5370684" w:history="1">
            <w:r w:rsidR="002E0B2B" w:rsidRPr="0030490F">
              <w:rPr>
                <w:rStyle w:val="Hyperlink"/>
                <w:rFonts w:eastAsia="Calibri Light"/>
                <w:noProof/>
              </w:rPr>
              <w:t>Federal Health Interoperability Model (FHIM)</w:t>
            </w:r>
            <w:r w:rsidR="002E0B2B">
              <w:rPr>
                <w:noProof/>
                <w:webHidden/>
              </w:rPr>
              <w:tab/>
            </w:r>
            <w:r w:rsidR="002E0B2B">
              <w:rPr>
                <w:noProof/>
                <w:webHidden/>
              </w:rPr>
              <w:fldChar w:fldCharType="begin"/>
            </w:r>
            <w:r w:rsidR="002E0B2B">
              <w:rPr>
                <w:noProof/>
                <w:webHidden/>
              </w:rPr>
              <w:instrText xml:space="preserve"> PAGEREF _Toc5370684 \h </w:instrText>
            </w:r>
            <w:r w:rsidR="002E0B2B">
              <w:rPr>
                <w:noProof/>
                <w:webHidden/>
              </w:rPr>
            </w:r>
            <w:r w:rsidR="002E0B2B">
              <w:rPr>
                <w:noProof/>
                <w:webHidden/>
              </w:rPr>
              <w:fldChar w:fldCharType="separate"/>
            </w:r>
            <w:r w:rsidR="009E3689">
              <w:rPr>
                <w:noProof/>
                <w:webHidden/>
              </w:rPr>
              <w:t>7</w:t>
            </w:r>
            <w:r w:rsidR="002E0B2B">
              <w:rPr>
                <w:noProof/>
                <w:webHidden/>
              </w:rPr>
              <w:fldChar w:fldCharType="end"/>
            </w:r>
          </w:hyperlink>
        </w:p>
        <w:p w14:paraId="72467ADD" w14:textId="70A15E6B" w:rsidR="002E0B2B" w:rsidRDefault="00FD0FA3">
          <w:pPr>
            <w:pStyle w:val="TOC1"/>
            <w:tabs>
              <w:tab w:val="right" w:leader="dot" w:pos="9350"/>
            </w:tabs>
            <w:rPr>
              <w:noProof/>
            </w:rPr>
          </w:pPr>
          <w:hyperlink w:anchor="_Toc5370685" w:history="1">
            <w:r w:rsidR="002E0B2B" w:rsidRPr="0030490F">
              <w:rPr>
                <w:rStyle w:val="Hyperlink"/>
                <w:rFonts w:eastAsia="Times New Roman"/>
                <w:noProof/>
              </w:rPr>
              <w:t>NIEM and FHIM: A Brief Comparison</w:t>
            </w:r>
            <w:r w:rsidR="002E0B2B">
              <w:rPr>
                <w:noProof/>
                <w:webHidden/>
              </w:rPr>
              <w:tab/>
            </w:r>
            <w:r w:rsidR="002E0B2B">
              <w:rPr>
                <w:noProof/>
                <w:webHidden/>
              </w:rPr>
              <w:fldChar w:fldCharType="begin"/>
            </w:r>
            <w:r w:rsidR="002E0B2B">
              <w:rPr>
                <w:noProof/>
                <w:webHidden/>
              </w:rPr>
              <w:instrText xml:space="preserve"> PAGEREF _Toc5370685 \h </w:instrText>
            </w:r>
            <w:r w:rsidR="002E0B2B">
              <w:rPr>
                <w:noProof/>
                <w:webHidden/>
              </w:rPr>
            </w:r>
            <w:r w:rsidR="002E0B2B">
              <w:rPr>
                <w:noProof/>
                <w:webHidden/>
              </w:rPr>
              <w:fldChar w:fldCharType="separate"/>
            </w:r>
            <w:r w:rsidR="009E3689">
              <w:rPr>
                <w:noProof/>
                <w:webHidden/>
              </w:rPr>
              <w:t>9</w:t>
            </w:r>
            <w:r w:rsidR="002E0B2B">
              <w:rPr>
                <w:noProof/>
                <w:webHidden/>
              </w:rPr>
              <w:fldChar w:fldCharType="end"/>
            </w:r>
          </w:hyperlink>
        </w:p>
        <w:p w14:paraId="14E4688C" w14:textId="3EA5DF3D" w:rsidR="002E0B2B" w:rsidRDefault="00FD0FA3">
          <w:pPr>
            <w:pStyle w:val="TOC1"/>
            <w:tabs>
              <w:tab w:val="right" w:leader="dot" w:pos="9350"/>
            </w:tabs>
            <w:rPr>
              <w:noProof/>
            </w:rPr>
          </w:pPr>
          <w:hyperlink w:anchor="_Toc5370686" w:history="1">
            <w:r w:rsidR="002E0B2B" w:rsidRPr="0030490F">
              <w:rPr>
                <w:rStyle w:val="Hyperlink"/>
                <w:rFonts w:eastAsia="Calibri Light"/>
                <w:noProof/>
              </w:rPr>
              <w:t>NIEM Health Community</w:t>
            </w:r>
            <w:r w:rsidR="00D059DE">
              <w:rPr>
                <w:rStyle w:val="Hyperlink"/>
                <w:rFonts w:eastAsia="Calibri Light"/>
                <w:noProof/>
              </w:rPr>
              <w:t xml:space="preserve"> </w:t>
            </w:r>
            <w:r w:rsidR="002E0B2B" w:rsidRPr="0030490F">
              <w:rPr>
                <w:rStyle w:val="Hyperlink"/>
                <w:rFonts w:eastAsia="Calibri Light"/>
                <w:noProof/>
              </w:rPr>
              <w:t>of</w:t>
            </w:r>
            <w:r w:rsidR="00D059DE">
              <w:rPr>
                <w:rStyle w:val="Hyperlink"/>
                <w:rFonts w:eastAsia="Calibri Light"/>
                <w:noProof/>
              </w:rPr>
              <w:t xml:space="preserve"> </w:t>
            </w:r>
            <w:r w:rsidR="002E0B2B" w:rsidRPr="0030490F">
              <w:rPr>
                <w:rStyle w:val="Hyperlink"/>
                <w:rFonts w:eastAsia="Calibri Light"/>
                <w:noProof/>
              </w:rPr>
              <w:t>Interest Strategy</w:t>
            </w:r>
            <w:r w:rsidR="002E0B2B">
              <w:rPr>
                <w:noProof/>
                <w:webHidden/>
              </w:rPr>
              <w:tab/>
            </w:r>
            <w:r w:rsidR="002E0B2B">
              <w:rPr>
                <w:noProof/>
                <w:webHidden/>
              </w:rPr>
              <w:fldChar w:fldCharType="begin"/>
            </w:r>
            <w:r w:rsidR="002E0B2B">
              <w:rPr>
                <w:noProof/>
                <w:webHidden/>
              </w:rPr>
              <w:instrText xml:space="preserve"> PAGEREF _Toc5370686 \h </w:instrText>
            </w:r>
            <w:r w:rsidR="002E0B2B">
              <w:rPr>
                <w:noProof/>
                <w:webHidden/>
              </w:rPr>
            </w:r>
            <w:r w:rsidR="002E0B2B">
              <w:rPr>
                <w:noProof/>
                <w:webHidden/>
              </w:rPr>
              <w:fldChar w:fldCharType="separate"/>
            </w:r>
            <w:r w:rsidR="009E3689">
              <w:rPr>
                <w:noProof/>
                <w:webHidden/>
              </w:rPr>
              <w:t>11</w:t>
            </w:r>
            <w:r w:rsidR="002E0B2B">
              <w:rPr>
                <w:noProof/>
                <w:webHidden/>
              </w:rPr>
              <w:fldChar w:fldCharType="end"/>
            </w:r>
          </w:hyperlink>
        </w:p>
        <w:p w14:paraId="198B8ADE" w14:textId="3ED76B58" w:rsidR="002E0B2B" w:rsidRDefault="00FD0FA3">
          <w:pPr>
            <w:pStyle w:val="TOC1"/>
            <w:tabs>
              <w:tab w:val="right" w:leader="dot" w:pos="9350"/>
            </w:tabs>
            <w:rPr>
              <w:noProof/>
            </w:rPr>
          </w:pPr>
          <w:hyperlink w:anchor="_Toc5370687" w:history="1">
            <w:r w:rsidR="002E0B2B" w:rsidRPr="0030490F">
              <w:rPr>
                <w:rStyle w:val="Hyperlink"/>
                <w:rFonts w:eastAsia="Calibri Light"/>
                <w:noProof/>
              </w:rPr>
              <w:t>Conclusion</w:t>
            </w:r>
            <w:r w:rsidR="002E0B2B">
              <w:rPr>
                <w:noProof/>
                <w:webHidden/>
              </w:rPr>
              <w:tab/>
            </w:r>
            <w:r w:rsidR="002E0B2B">
              <w:rPr>
                <w:noProof/>
                <w:webHidden/>
              </w:rPr>
              <w:fldChar w:fldCharType="begin"/>
            </w:r>
            <w:r w:rsidR="002E0B2B">
              <w:rPr>
                <w:noProof/>
                <w:webHidden/>
              </w:rPr>
              <w:instrText xml:space="preserve"> PAGEREF _Toc5370687 \h </w:instrText>
            </w:r>
            <w:r w:rsidR="002E0B2B">
              <w:rPr>
                <w:noProof/>
                <w:webHidden/>
              </w:rPr>
            </w:r>
            <w:r w:rsidR="002E0B2B">
              <w:rPr>
                <w:noProof/>
                <w:webHidden/>
              </w:rPr>
              <w:fldChar w:fldCharType="separate"/>
            </w:r>
            <w:r w:rsidR="009E3689">
              <w:rPr>
                <w:noProof/>
                <w:webHidden/>
              </w:rPr>
              <w:t>11</w:t>
            </w:r>
            <w:r w:rsidR="002E0B2B">
              <w:rPr>
                <w:noProof/>
                <w:webHidden/>
              </w:rPr>
              <w:fldChar w:fldCharType="end"/>
            </w:r>
          </w:hyperlink>
        </w:p>
        <w:p w14:paraId="6331DCC7" w14:textId="6F910149" w:rsidR="00C16846" w:rsidRDefault="00C16846">
          <w:r>
            <w:rPr>
              <w:b/>
              <w:bCs/>
              <w:noProof/>
            </w:rPr>
            <w:fldChar w:fldCharType="end"/>
          </w:r>
        </w:p>
      </w:sdtContent>
    </w:sdt>
    <w:p w14:paraId="286B1D34" w14:textId="77777777" w:rsidR="002B6F14" w:rsidRDefault="002B6F14">
      <w:pPr>
        <w:rPr>
          <w:rFonts w:asciiTheme="majorHAnsi" w:eastAsia="Calibri Light" w:hAnsiTheme="majorHAnsi" w:cstheme="majorBidi"/>
          <w:color w:val="2E74B5" w:themeColor="accent1" w:themeShade="BF"/>
          <w:sz w:val="32"/>
          <w:szCs w:val="32"/>
        </w:rPr>
      </w:pPr>
      <w:r>
        <w:rPr>
          <w:rFonts w:eastAsia="Calibri Light"/>
        </w:rPr>
        <w:br w:type="page"/>
      </w:r>
    </w:p>
    <w:p w14:paraId="512C2B2B" w14:textId="77777777" w:rsidR="00E7050E" w:rsidRPr="00E7050E" w:rsidRDefault="00E7050E" w:rsidP="00E7050E">
      <w:pPr>
        <w:pStyle w:val="Heading1"/>
        <w:rPr>
          <w:rFonts w:eastAsia="Calibri Light"/>
        </w:rPr>
      </w:pPr>
      <w:bookmarkStart w:id="1" w:name="_Toc5370678"/>
      <w:bookmarkStart w:id="2" w:name="_Toc521321968"/>
      <w:r w:rsidRPr="00E7050E">
        <w:rPr>
          <w:rFonts w:eastAsia="Calibri Light"/>
        </w:rPr>
        <w:lastRenderedPageBreak/>
        <w:t>Introduction</w:t>
      </w:r>
      <w:bookmarkEnd w:id="1"/>
    </w:p>
    <w:bookmarkEnd w:id="2"/>
    <w:p w14:paraId="0B294908" w14:textId="7C71ED84" w:rsidR="006264A0" w:rsidRDefault="00591101">
      <w:pPr>
        <w:rPr>
          <w:rFonts w:ascii="Calibri" w:eastAsia="Calibri" w:hAnsi="Calibri" w:cs="Calibri"/>
        </w:rPr>
      </w:pPr>
      <w:r>
        <w:rPr>
          <w:rFonts w:ascii="Calibri" w:eastAsia="Calibri" w:hAnsi="Calibri" w:cs="Calibri"/>
        </w:rPr>
        <w:t>The Federal Health Architecture (FHA)</w:t>
      </w:r>
      <w:r w:rsidR="00873DE6">
        <w:rPr>
          <w:rFonts w:cstheme="minorHAnsi"/>
          <w:color w:val="000000"/>
        </w:rPr>
        <w:t>,</w:t>
      </w:r>
      <w:r w:rsidR="00873DE6" w:rsidRPr="005D695A">
        <w:rPr>
          <w:rFonts w:cstheme="minorHAnsi"/>
          <w:color w:val="000000"/>
        </w:rPr>
        <w:t xml:space="preserve"> an Office of Management and Budget (OMB) e</w:t>
      </w:r>
      <w:r w:rsidR="00873DE6">
        <w:rPr>
          <w:rFonts w:cstheme="minorHAnsi"/>
          <w:color w:val="000000"/>
        </w:rPr>
        <w:t>-</w:t>
      </w:r>
      <w:r w:rsidR="00873DE6" w:rsidRPr="005D695A">
        <w:rPr>
          <w:rFonts w:cstheme="minorHAnsi"/>
          <w:color w:val="000000"/>
        </w:rPr>
        <w:t>Gov Line of business</w:t>
      </w:r>
      <w:r w:rsidR="00873DE6">
        <w:rPr>
          <w:rFonts w:cstheme="minorHAnsi"/>
          <w:color w:val="000000"/>
        </w:rPr>
        <w:t>,</w:t>
      </w:r>
      <w:r>
        <w:rPr>
          <w:rFonts w:ascii="Calibri" w:eastAsia="Calibri" w:hAnsi="Calibri" w:cs="Calibri"/>
        </w:rPr>
        <w:t xml:space="preserve"> has published a series of National Information Exchange Model (NIEM) guidance documents for the NIEM Health Community of Interest (NH-</w:t>
      </w:r>
      <w:r w:rsidR="008F38B0">
        <w:rPr>
          <w:rFonts w:ascii="Calibri" w:eastAsia="Calibri" w:hAnsi="Calibri" w:cs="Calibri"/>
        </w:rPr>
        <w:t>CoI</w:t>
      </w:r>
      <w:r>
        <w:rPr>
          <w:rFonts w:ascii="Calibri" w:eastAsia="Calibri" w:hAnsi="Calibri" w:cs="Calibri"/>
        </w:rPr>
        <w:t>) and NIEM stakeholders at large</w:t>
      </w:r>
      <w:r w:rsidR="002F1A6E">
        <w:rPr>
          <w:rFonts w:ascii="Calibri" w:eastAsia="Calibri" w:hAnsi="Calibri" w:cs="Calibri"/>
        </w:rPr>
        <w:t>:</w:t>
      </w:r>
    </w:p>
    <w:p w14:paraId="1798F8C3" w14:textId="094CF91C" w:rsidR="00F22025" w:rsidRPr="002F1A6E" w:rsidRDefault="00C11FCA" w:rsidP="002F1A6E">
      <w:pPr>
        <w:numPr>
          <w:ilvl w:val="0"/>
          <w:numId w:val="11"/>
        </w:numPr>
        <w:rPr>
          <w:rFonts w:ascii="Calibri" w:eastAsia="Calibri" w:hAnsi="Calibri" w:cs="Calibri"/>
        </w:rPr>
      </w:pPr>
      <w:r w:rsidRPr="002F1A6E">
        <w:rPr>
          <w:rFonts w:ascii="Calibri" w:eastAsia="Calibri" w:hAnsi="Calibri" w:cs="Calibri"/>
        </w:rPr>
        <w:t>NIEM Health</w:t>
      </w:r>
      <w:r w:rsidR="00FD0FA3">
        <w:rPr>
          <w:rFonts w:ascii="Calibri" w:eastAsia="Calibri" w:hAnsi="Calibri" w:cs="Calibri"/>
        </w:rPr>
        <w:t xml:space="preserve"> </w:t>
      </w:r>
      <w:r w:rsidRPr="002F1A6E">
        <w:rPr>
          <w:rFonts w:ascii="Calibri" w:eastAsia="Calibri" w:hAnsi="Calibri" w:cs="Calibri"/>
        </w:rPr>
        <w:t>101: An Introduction to Health Information Exchange</w:t>
      </w:r>
      <w:r w:rsidR="00B758F1">
        <w:rPr>
          <w:rFonts w:ascii="Calibri" w:eastAsia="Calibri" w:hAnsi="Calibri" w:cs="Calibri"/>
        </w:rPr>
        <w:t>,</w:t>
      </w:r>
    </w:p>
    <w:p w14:paraId="12BC68D0" w14:textId="68FD5C25" w:rsidR="00D059DE" w:rsidRPr="002F1A6E" w:rsidRDefault="00C11FCA" w:rsidP="002F1A6E">
      <w:pPr>
        <w:numPr>
          <w:ilvl w:val="0"/>
          <w:numId w:val="11"/>
        </w:numPr>
        <w:rPr>
          <w:rFonts w:ascii="Calibri" w:eastAsia="Calibri" w:hAnsi="Calibri" w:cs="Calibri"/>
        </w:rPr>
      </w:pPr>
      <w:r w:rsidRPr="002F1A6E">
        <w:rPr>
          <w:rFonts w:ascii="Calibri" w:eastAsia="Calibri" w:hAnsi="Calibri" w:cs="Calibri"/>
        </w:rPr>
        <w:t>NIEM Health</w:t>
      </w:r>
      <w:r w:rsidR="00FD0FA3">
        <w:rPr>
          <w:rFonts w:ascii="Calibri" w:eastAsia="Calibri" w:hAnsi="Calibri" w:cs="Calibri"/>
        </w:rPr>
        <w:t xml:space="preserve"> </w:t>
      </w:r>
      <w:r w:rsidRPr="002F1A6E">
        <w:rPr>
          <w:rFonts w:ascii="Calibri" w:eastAsia="Calibri" w:hAnsi="Calibri" w:cs="Calibri"/>
        </w:rPr>
        <w:t>102: An Introduction to Security and Privacy of Protected Healthcare Information</w:t>
      </w:r>
      <w:r w:rsidR="00B758F1">
        <w:rPr>
          <w:rFonts w:ascii="Calibri" w:eastAsia="Calibri" w:hAnsi="Calibri" w:cs="Calibri"/>
        </w:rPr>
        <w:t>,</w:t>
      </w:r>
    </w:p>
    <w:p w14:paraId="46565C47" w14:textId="5AC4E164" w:rsidR="00D059DE" w:rsidRDefault="00C11FCA">
      <w:pPr>
        <w:numPr>
          <w:ilvl w:val="0"/>
          <w:numId w:val="11"/>
        </w:numPr>
        <w:rPr>
          <w:rFonts w:ascii="Calibri" w:eastAsia="Calibri" w:hAnsi="Calibri" w:cs="Calibri"/>
        </w:rPr>
      </w:pPr>
      <w:r w:rsidRPr="00D059DE">
        <w:rPr>
          <w:rFonts w:ascii="Calibri" w:eastAsia="Calibri" w:hAnsi="Calibri" w:cs="Calibri"/>
        </w:rPr>
        <w:t>NIEM Health</w:t>
      </w:r>
      <w:r w:rsidR="00FD0FA3">
        <w:rPr>
          <w:rFonts w:ascii="Calibri" w:eastAsia="Calibri" w:hAnsi="Calibri" w:cs="Calibri"/>
        </w:rPr>
        <w:t xml:space="preserve"> </w:t>
      </w:r>
      <w:r w:rsidRPr="00D059DE">
        <w:rPr>
          <w:rFonts w:ascii="Calibri" w:eastAsia="Calibri" w:hAnsi="Calibri" w:cs="Calibri"/>
        </w:rPr>
        <w:t xml:space="preserve">201: </w:t>
      </w:r>
      <w:r w:rsidR="00E6142A" w:rsidRPr="00D059DE">
        <w:rPr>
          <w:rFonts w:ascii="Calibri" w:eastAsia="Calibri" w:hAnsi="Calibri" w:cs="Calibri"/>
        </w:rPr>
        <w:t>Architecting NIEM Health IEPDs using Health Information Models</w:t>
      </w:r>
      <w:r w:rsidR="00B758F1">
        <w:rPr>
          <w:rFonts w:ascii="Calibri" w:eastAsia="Calibri" w:hAnsi="Calibri" w:cs="Calibri"/>
        </w:rPr>
        <w:t>, and</w:t>
      </w:r>
    </w:p>
    <w:p w14:paraId="23504C06" w14:textId="7EB8856E" w:rsidR="00B758F1" w:rsidRPr="00D059DE" w:rsidRDefault="00B758F1">
      <w:pPr>
        <w:numPr>
          <w:ilvl w:val="0"/>
          <w:numId w:val="11"/>
        </w:numPr>
        <w:rPr>
          <w:rFonts w:ascii="Calibri" w:eastAsia="Calibri" w:hAnsi="Calibri" w:cs="Calibri"/>
        </w:rPr>
      </w:pPr>
      <w:r>
        <w:rPr>
          <w:rFonts w:ascii="Calibri" w:eastAsia="Calibri" w:hAnsi="Calibri" w:cs="Calibri"/>
        </w:rPr>
        <w:t>NIEM Health Element Inventory.</w:t>
      </w:r>
    </w:p>
    <w:p w14:paraId="49E37A11" w14:textId="4E078D06" w:rsidR="006264A0" w:rsidRPr="00D059DE" w:rsidRDefault="00591101">
      <w:pPr>
        <w:rPr>
          <w:rFonts w:ascii="Calibri" w:eastAsia="Calibri" w:hAnsi="Calibri" w:cs="Calibri"/>
        </w:rPr>
      </w:pPr>
      <w:r w:rsidRPr="001608E8">
        <w:rPr>
          <w:rFonts w:ascii="Calibri" w:eastAsia="Calibri" w:hAnsi="Calibri" w:cs="Calibri"/>
        </w:rPr>
        <w:t>NIEM Health</w:t>
      </w:r>
      <w:r w:rsidR="00FD0FA3">
        <w:rPr>
          <w:rFonts w:ascii="Calibri" w:eastAsia="Calibri" w:hAnsi="Calibri" w:cs="Calibri"/>
        </w:rPr>
        <w:t xml:space="preserve"> </w:t>
      </w:r>
      <w:r w:rsidRPr="001608E8">
        <w:rPr>
          <w:rFonts w:ascii="Calibri" w:eastAsia="Calibri" w:hAnsi="Calibri" w:cs="Calibri"/>
        </w:rPr>
        <w:t>101</w:t>
      </w:r>
      <w:r w:rsidRPr="00D059DE">
        <w:rPr>
          <w:rFonts w:ascii="Calibri" w:eastAsia="Calibri" w:hAnsi="Calibri" w:cs="Calibri"/>
        </w:rPr>
        <w:t>, the first of the</w:t>
      </w:r>
      <w:r w:rsidR="000A6130" w:rsidRPr="00D059DE">
        <w:rPr>
          <w:rFonts w:ascii="Calibri" w:eastAsia="Calibri" w:hAnsi="Calibri" w:cs="Calibri"/>
        </w:rPr>
        <w:t>se</w:t>
      </w:r>
      <w:r w:rsidRPr="00D059DE">
        <w:rPr>
          <w:rFonts w:ascii="Calibri" w:eastAsia="Calibri" w:hAnsi="Calibri" w:cs="Calibri"/>
        </w:rPr>
        <w:t xml:space="preserve"> NIEM guidance documents, provides a brief overview of the current health</w:t>
      </w:r>
      <w:r w:rsidR="002442F8">
        <w:rPr>
          <w:rFonts w:ascii="Calibri" w:eastAsia="Calibri" w:hAnsi="Calibri" w:cs="Calibri"/>
        </w:rPr>
        <w:t xml:space="preserve"> information technology (</w:t>
      </w:r>
      <w:r w:rsidRPr="00D059DE">
        <w:rPr>
          <w:rFonts w:ascii="Calibri" w:eastAsia="Calibri" w:hAnsi="Calibri" w:cs="Calibri"/>
        </w:rPr>
        <w:t>IT</w:t>
      </w:r>
      <w:r w:rsidR="002442F8">
        <w:rPr>
          <w:rFonts w:ascii="Calibri" w:eastAsia="Calibri" w:hAnsi="Calibri" w:cs="Calibri"/>
        </w:rPr>
        <w:t>)</w:t>
      </w:r>
      <w:r w:rsidRPr="00D059DE">
        <w:rPr>
          <w:rFonts w:ascii="Calibri" w:eastAsia="Calibri" w:hAnsi="Calibri" w:cs="Calibri"/>
        </w:rPr>
        <w:t xml:space="preserve"> landscape</w:t>
      </w:r>
      <w:r w:rsidR="00472121" w:rsidRPr="00D059DE">
        <w:rPr>
          <w:rFonts w:ascii="Calibri" w:eastAsia="Calibri" w:hAnsi="Calibri" w:cs="Calibri"/>
        </w:rPr>
        <w:t>,</w:t>
      </w:r>
      <w:r w:rsidRPr="00D059DE">
        <w:rPr>
          <w:rFonts w:ascii="Calibri" w:eastAsia="Calibri" w:hAnsi="Calibri" w:cs="Calibri"/>
        </w:rPr>
        <w:t xml:space="preserve"> related reference exchange and terminology standards</w:t>
      </w:r>
      <w:r w:rsidR="00472121" w:rsidRPr="00D059DE">
        <w:rPr>
          <w:rFonts w:ascii="Calibri" w:eastAsia="Calibri" w:hAnsi="Calibri" w:cs="Calibri"/>
        </w:rPr>
        <w:t>,</w:t>
      </w:r>
      <w:r w:rsidR="00761B3B" w:rsidRPr="00D059DE">
        <w:rPr>
          <w:rFonts w:ascii="Calibri" w:eastAsia="Calibri" w:hAnsi="Calibri" w:cs="Calibri"/>
        </w:rPr>
        <w:t xml:space="preserve"> the NIEM Health challenges,</w:t>
      </w:r>
      <w:r w:rsidRPr="00D059DE">
        <w:rPr>
          <w:rFonts w:ascii="Calibri" w:eastAsia="Calibri" w:hAnsi="Calibri" w:cs="Calibri"/>
        </w:rPr>
        <w:t xml:space="preserve"> </w:t>
      </w:r>
      <w:r w:rsidR="007267C2" w:rsidRPr="00D059DE">
        <w:rPr>
          <w:rFonts w:ascii="Calibri" w:eastAsia="Calibri" w:hAnsi="Calibri" w:cs="Calibri"/>
        </w:rPr>
        <w:t xml:space="preserve">and </w:t>
      </w:r>
      <w:r w:rsidRPr="00D059DE">
        <w:rPr>
          <w:rFonts w:ascii="Calibri" w:eastAsia="Calibri" w:hAnsi="Calibri" w:cs="Calibri"/>
        </w:rPr>
        <w:t>the Federal Health Information Model</w:t>
      </w:r>
      <w:r w:rsidR="00761B3B" w:rsidRPr="00D059DE">
        <w:rPr>
          <w:rFonts w:ascii="Calibri" w:eastAsia="Calibri" w:hAnsi="Calibri" w:cs="Calibri"/>
        </w:rPr>
        <w:t xml:space="preserve"> </w:t>
      </w:r>
      <w:r w:rsidRPr="00D059DE">
        <w:rPr>
          <w:rFonts w:ascii="Calibri" w:eastAsia="Calibri" w:hAnsi="Calibri" w:cs="Calibri"/>
        </w:rPr>
        <w:t xml:space="preserve">(FHIM). By the end of this guidance document </w:t>
      </w:r>
      <w:r w:rsidR="009D3AF3" w:rsidRPr="00D059DE">
        <w:rPr>
          <w:rFonts w:ascii="Calibri" w:eastAsia="Calibri" w:hAnsi="Calibri" w:cs="Calibri"/>
        </w:rPr>
        <w:t xml:space="preserve">you </w:t>
      </w:r>
      <w:r w:rsidRPr="00D059DE">
        <w:rPr>
          <w:rFonts w:ascii="Calibri" w:eastAsia="Calibri" w:hAnsi="Calibri" w:cs="Calibri"/>
        </w:rPr>
        <w:t>should better understand:</w:t>
      </w:r>
    </w:p>
    <w:p w14:paraId="51EA923F" w14:textId="07E3C899" w:rsidR="009E6384" w:rsidRDefault="009E6384">
      <w:pPr>
        <w:numPr>
          <w:ilvl w:val="0"/>
          <w:numId w:val="1"/>
        </w:numPr>
        <w:ind w:left="720" w:hanging="360"/>
        <w:rPr>
          <w:rFonts w:ascii="Calibri" w:eastAsia="Calibri" w:hAnsi="Calibri" w:cs="Calibri"/>
        </w:rPr>
      </w:pPr>
      <w:bookmarkStart w:id="3" w:name="_Hlk521319443"/>
      <w:bookmarkStart w:id="4" w:name="_Hlk521319392"/>
      <w:r>
        <w:rPr>
          <w:rFonts w:ascii="Calibri" w:eastAsia="Calibri" w:hAnsi="Calibri" w:cs="Calibri"/>
        </w:rPr>
        <w:t>NIEM Health information exchange challenge</w:t>
      </w:r>
      <w:bookmarkEnd w:id="3"/>
      <w:r w:rsidR="00B758F1">
        <w:rPr>
          <w:rFonts w:ascii="Calibri" w:eastAsia="Calibri" w:hAnsi="Calibri" w:cs="Calibri"/>
        </w:rPr>
        <w:t>,</w:t>
      </w:r>
    </w:p>
    <w:bookmarkEnd w:id="4"/>
    <w:p w14:paraId="116CD93A" w14:textId="48933DF8" w:rsidR="009E6384" w:rsidRDefault="00591101">
      <w:pPr>
        <w:numPr>
          <w:ilvl w:val="0"/>
          <w:numId w:val="1"/>
        </w:numPr>
        <w:ind w:left="720" w:hanging="360"/>
        <w:rPr>
          <w:rFonts w:ascii="Calibri" w:eastAsia="Calibri" w:hAnsi="Calibri" w:cs="Calibri"/>
        </w:rPr>
      </w:pPr>
      <w:r>
        <w:rPr>
          <w:rFonts w:ascii="Calibri" w:eastAsia="Calibri" w:hAnsi="Calibri" w:cs="Calibri"/>
        </w:rPr>
        <w:t>Health IT landscape</w:t>
      </w:r>
      <w:r w:rsidR="009E6384">
        <w:rPr>
          <w:rFonts w:ascii="Calibri" w:eastAsia="Calibri" w:hAnsi="Calibri" w:cs="Calibri"/>
        </w:rPr>
        <w:t xml:space="preserve"> and </w:t>
      </w:r>
      <w:r w:rsidR="00D059DE">
        <w:rPr>
          <w:rFonts w:ascii="Calibri" w:eastAsia="Calibri" w:hAnsi="Calibri" w:cs="Calibri"/>
        </w:rPr>
        <w:t xml:space="preserve">health </w:t>
      </w:r>
      <w:r w:rsidR="009E6384">
        <w:rPr>
          <w:rFonts w:ascii="Calibri" w:eastAsia="Calibri" w:hAnsi="Calibri" w:cs="Calibri"/>
        </w:rPr>
        <w:t>IT standards</w:t>
      </w:r>
      <w:r w:rsidR="00B758F1">
        <w:rPr>
          <w:rFonts w:ascii="Calibri" w:eastAsia="Calibri" w:hAnsi="Calibri" w:cs="Calibri"/>
        </w:rPr>
        <w:t>,</w:t>
      </w:r>
    </w:p>
    <w:p w14:paraId="2059BC51" w14:textId="53BD2943" w:rsidR="009E6384" w:rsidRDefault="009E6384">
      <w:pPr>
        <w:numPr>
          <w:ilvl w:val="0"/>
          <w:numId w:val="1"/>
        </w:numPr>
        <w:ind w:left="720" w:hanging="360"/>
        <w:rPr>
          <w:rFonts w:ascii="Calibri" w:eastAsia="Calibri" w:hAnsi="Calibri" w:cs="Calibri"/>
        </w:rPr>
      </w:pPr>
      <w:bookmarkStart w:id="5" w:name="_Hlk521319153"/>
      <w:r>
        <w:rPr>
          <w:rFonts w:ascii="Calibri" w:eastAsia="Calibri" w:hAnsi="Calibri" w:cs="Calibri"/>
        </w:rPr>
        <w:t>National Information Exchange M</w:t>
      </w:r>
      <w:r w:rsidR="00F063CB">
        <w:rPr>
          <w:rFonts w:ascii="Calibri" w:eastAsia="Calibri" w:hAnsi="Calibri" w:cs="Calibri"/>
        </w:rPr>
        <w:t>odel</w:t>
      </w:r>
      <w:r>
        <w:rPr>
          <w:rFonts w:ascii="Calibri" w:eastAsia="Calibri" w:hAnsi="Calibri" w:cs="Calibri"/>
        </w:rPr>
        <w:t xml:space="preserve"> (NIEM</w:t>
      </w:r>
      <w:bookmarkEnd w:id="5"/>
      <w:r>
        <w:rPr>
          <w:rFonts w:ascii="Calibri" w:eastAsia="Calibri" w:hAnsi="Calibri" w:cs="Calibri"/>
        </w:rPr>
        <w:t>)</w:t>
      </w:r>
      <w:r w:rsidR="00B758F1">
        <w:rPr>
          <w:rFonts w:ascii="Calibri" w:eastAsia="Calibri" w:hAnsi="Calibri" w:cs="Calibri"/>
        </w:rPr>
        <w:t>,</w:t>
      </w:r>
    </w:p>
    <w:p w14:paraId="26A0C4BA" w14:textId="2E5D43DA" w:rsidR="009E6384" w:rsidRDefault="009E6384">
      <w:pPr>
        <w:numPr>
          <w:ilvl w:val="0"/>
          <w:numId w:val="1"/>
        </w:numPr>
        <w:ind w:left="720" w:hanging="360"/>
        <w:rPr>
          <w:rFonts w:ascii="Calibri" w:eastAsia="Calibri" w:hAnsi="Calibri" w:cs="Calibri"/>
        </w:rPr>
      </w:pPr>
      <w:bookmarkStart w:id="6" w:name="_Hlk521319221"/>
      <w:r>
        <w:rPr>
          <w:rFonts w:ascii="Calibri" w:eastAsia="Calibri" w:hAnsi="Calibri" w:cs="Calibri"/>
        </w:rPr>
        <w:t>Federal Health Information Model (FHIM)</w:t>
      </w:r>
      <w:bookmarkEnd w:id="6"/>
      <w:r w:rsidR="00B758F1">
        <w:rPr>
          <w:rFonts w:ascii="Calibri" w:eastAsia="Calibri" w:hAnsi="Calibri" w:cs="Calibri"/>
        </w:rPr>
        <w:t>, and</w:t>
      </w:r>
    </w:p>
    <w:p w14:paraId="1B831EF3" w14:textId="4B00D404" w:rsidR="002F1A6E" w:rsidRDefault="002F1A6E" w:rsidP="002F1A6E">
      <w:pPr>
        <w:numPr>
          <w:ilvl w:val="0"/>
          <w:numId w:val="1"/>
        </w:numPr>
        <w:ind w:left="720" w:hanging="360"/>
        <w:rPr>
          <w:rFonts w:ascii="Calibri" w:eastAsia="Calibri" w:hAnsi="Calibri" w:cs="Calibri"/>
        </w:rPr>
      </w:pPr>
      <w:r>
        <w:rPr>
          <w:rFonts w:ascii="Calibri" w:eastAsia="Calibri" w:hAnsi="Calibri" w:cs="Calibri"/>
        </w:rPr>
        <w:t>NIEM Health Community of Interest (CoI) Strategy</w:t>
      </w:r>
      <w:r w:rsidR="00B758F1">
        <w:rPr>
          <w:rFonts w:ascii="Calibri" w:eastAsia="Calibri" w:hAnsi="Calibri" w:cs="Calibri"/>
        </w:rPr>
        <w:t>.</w:t>
      </w:r>
    </w:p>
    <w:p w14:paraId="3A887A34" w14:textId="094C02D1" w:rsidR="0007786A" w:rsidRDefault="00591101">
      <w:pPr>
        <w:rPr>
          <w:rFonts w:ascii="Calibri" w:eastAsia="Calibri" w:hAnsi="Calibri" w:cs="Calibri"/>
        </w:rPr>
      </w:pPr>
      <w:r>
        <w:rPr>
          <w:rFonts w:ascii="Calibri" w:eastAsia="Calibri" w:hAnsi="Calibri" w:cs="Calibri"/>
        </w:rPr>
        <w:t xml:space="preserve">Note: This document </w:t>
      </w:r>
      <w:r w:rsidR="00DB0941">
        <w:rPr>
          <w:rFonts w:ascii="Calibri" w:eastAsia="Calibri" w:hAnsi="Calibri" w:cs="Calibri"/>
        </w:rPr>
        <w:t xml:space="preserve">should be used </w:t>
      </w:r>
      <w:r>
        <w:rPr>
          <w:rFonts w:ascii="Calibri" w:eastAsia="Calibri" w:hAnsi="Calibri" w:cs="Calibri"/>
        </w:rPr>
        <w:t>in conjunction with the follow-up NIEM Health</w:t>
      </w:r>
      <w:r w:rsidR="00FD0FA3">
        <w:rPr>
          <w:rFonts w:ascii="Calibri" w:eastAsia="Calibri" w:hAnsi="Calibri" w:cs="Calibri"/>
        </w:rPr>
        <w:t xml:space="preserve"> </w:t>
      </w:r>
      <w:bookmarkStart w:id="7" w:name="_GoBack"/>
      <w:bookmarkEnd w:id="7"/>
      <w:r>
        <w:rPr>
          <w:rFonts w:ascii="Calibri" w:eastAsia="Calibri" w:hAnsi="Calibri" w:cs="Calibri"/>
        </w:rPr>
        <w:t xml:space="preserve">201: </w:t>
      </w:r>
      <w:r w:rsidR="000A6130">
        <w:rPr>
          <w:rFonts w:ascii="Calibri" w:eastAsia="Calibri" w:hAnsi="Calibri" w:cs="Calibri"/>
        </w:rPr>
        <w:t>Architecting NIEM</w:t>
      </w:r>
      <w:r w:rsidR="00102A2E">
        <w:rPr>
          <w:rFonts w:ascii="Calibri" w:eastAsia="Calibri" w:hAnsi="Calibri" w:cs="Calibri"/>
        </w:rPr>
        <w:t xml:space="preserve"> Health</w:t>
      </w:r>
      <w:r w:rsidR="000A6130">
        <w:rPr>
          <w:rFonts w:ascii="Calibri" w:eastAsia="Calibri" w:hAnsi="Calibri" w:cs="Calibri"/>
        </w:rPr>
        <w:t xml:space="preserve"> </w:t>
      </w:r>
      <w:r w:rsidR="002442F8">
        <w:rPr>
          <w:rFonts w:ascii="Calibri" w:eastAsia="Calibri" w:hAnsi="Calibri" w:cs="Calibri"/>
        </w:rPr>
        <w:t>information exchange packet documentation (</w:t>
      </w:r>
      <w:r w:rsidR="000A6130">
        <w:rPr>
          <w:rFonts w:ascii="Calibri" w:eastAsia="Calibri" w:hAnsi="Calibri" w:cs="Calibri"/>
        </w:rPr>
        <w:t>IEPDs</w:t>
      </w:r>
      <w:r w:rsidR="002442F8">
        <w:rPr>
          <w:rFonts w:ascii="Calibri" w:eastAsia="Calibri" w:hAnsi="Calibri" w:cs="Calibri"/>
        </w:rPr>
        <w:t>)</w:t>
      </w:r>
      <w:r w:rsidR="000A6130">
        <w:rPr>
          <w:rFonts w:ascii="Calibri" w:eastAsia="Calibri" w:hAnsi="Calibri" w:cs="Calibri"/>
        </w:rPr>
        <w:t xml:space="preserve"> </w:t>
      </w:r>
      <w:r w:rsidR="002442F8">
        <w:rPr>
          <w:rFonts w:ascii="Calibri" w:eastAsia="Calibri" w:hAnsi="Calibri" w:cs="Calibri"/>
        </w:rPr>
        <w:t>u</w:t>
      </w:r>
      <w:r w:rsidR="000A6130">
        <w:rPr>
          <w:rFonts w:ascii="Calibri" w:eastAsia="Calibri" w:hAnsi="Calibri" w:cs="Calibri"/>
        </w:rPr>
        <w:t>sing Health Information Models</w:t>
      </w:r>
      <w:r w:rsidR="009E6384">
        <w:rPr>
          <w:rFonts w:ascii="Calibri" w:eastAsia="Calibri" w:hAnsi="Calibri" w:cs="Calibri"/>
        </w:rPr>
        <w:t xml:space="preserve"> </w:t>
      </w:r>
      <w:r>
        <w:rPr>
          <w:rFonts w:ascii="Calibri" w:eastAsia="Calibri" w:hAnsi="Calibri" w:cs="Calibri"/>
        </w:rPr>
        <w:t xml:space="preserve">guidance document and </w:t>
      </w:r>
      <w:hyperlink r:id="rId10" w:history="1">
        <w:r w:rsidR="00CA0EAB" w:rsidRPr="00D1341C">
          <w:rPr>
            <w:rStyle w:val="Hyperlink"/>
            <w:rFonts w:ascii="Calibri" w:eastAsia="Calibri" w:hAnsi="Calibri" w:cs="Calibri"/>
          </w:rPr>
          <w:t>www.fhims.org</w:t>
        </w:r>
      </w:hyperlink>
      <w:r>
        <w:rPr>
          <w:rFonts w:ascii="Calibri" w:eastAsia="Calibri" w:hAnsi="Calibri" w:cs="Calibri"/>
        </w:rPr>
        <w:t>.</w:t>
      </w:r>
    </w:p>
    <w:p w14:paraId="3DDE6541" w14:textId="4EB38B9F" w:rsidR="0007786A" w:rsidRPr="008047D4" w:rsidRDefault="0007786A">
      <w:pPr>
        <w:rPr>
          <w:rFonts w:asciiTheme="majorHAnsi" w:hAnsiTheme="majorHAnsi" w:cstheme="majorHAnsi"/>
          <w:color w:val="000000"/>
        </w:rPr>
      </w:pPr>
      <w:r w:rsidRPr="00C9215C">
        <w:rPr>
          <w:rFonts w:ascii="Calibri" w:eastAsia="Calibri" w:hAnsi="Calibri" w:cs="Calibri"/>
        </w:rPr>
        <w:t>The F</w:t>
      </w:r>
      <w:r w:rsidR="002442F8">
        <w:rPr>
          <w:rFonts w:ascii="Calibri" w:eastAsia="Calibri" w:hAnsi="Calibri" w:cs="Calibri"/>
        </w:rPr>
        <w:t>HA</w:t>
      </w:r>
      <w:r w:rsidRPr="00C9215C">
        <w:rPr>
          <w:rFonts w:ascii="Calibri" w:eastAsia="Calibri" w:hAnsi="Calibri" w:cs="Calibri"/>
        </w:rPr>
        <w:t xml:space="preserve"> program was created to coordinate </w:t>
      </w:r>
      <w:r w:rsidR="00D059DE">
        <w:rPr>
          <w:rFonts w:ascii="Calibri" w:eastAsia="Calibri" w:hAnsi="Calibri" w:cs="Calibri"/>
        </w:rPr>
        <w:t>h</w:t>
      </w:r>
      <w:r w:rsidRPr="00C9215C">
        <w:rPr>
          <w:rFonts w:ascii="Calibri" w:eastAsia="Calibri" w:hAnsi="Calibri" w:cs="Calibri"/>
        </w:rPr>
        <w:t>ealth IT activities among more than 20 federal agencies that provide public healthcare services. FHA’s mission was to support federal agencies and their public-sector exchange partners navigating the various health information systems standards and policies. By ensuring health information systems are interoperable</w:t>
      </w:r>
      <w:r w:rsidR="00D059DE">
        <w:rPr>
          <w:rFonts w:ascii="Calibri" w:eastAsia="Calibri" w:hAnsi="Calibri" w:cs="Calibri"/>
        </w:rPr>
        <w:t>,</w:t>
      </w:r>
      <w:r w:rsidRPr="00C9215C">
        <w:rPr>
          <w:rFonts w:ascii="Calibri" w:eastAsia="Calibri" w:hAnsi="Calibri" w:cs="Calibri"/>
        </w:rPr>
        <w:t xml:space="preserve"> FHA enable</w:t>
      </w:r>
      <w:r w:rsidR="00D059DE">
        <w:rPr>
          <w:rFonts w:ascii="Calibri" w:eastAsia="Calibri" w:hAnsi="Calibri" w:cs="Calibri"/>
        </w:rPr>
        <w:t xml:space="preserve">s organizations to </w:t>
      </w:r>
      <w:r w:rsidRPr="00C9215C">
        <w:rPr>
          <w:rFonts w:ascii="Calibri" w:eastAsia="Calibri" w:hAnsi="Calibri" w:cs="Calibri"/>
        </w:rPr>
        <w:t>sen</w:t>
      </w:r>
      <w:r w:rsidR="00D059DE">
        <w:rPr>
          <w:rFonts w:ascii="Calibri" w:eastAsia="Calibri" w:hAnsi="Calibri" w:cs="Calibri"/>
        </w:rPr>
        <w:t>d</w:t>
      </w:r>
      <w:r w:rsidRPr="00C9215C">
        <w:rPr>
          <w:rFonts w:ascii="Calibri" w:eastAsia="Calibri" w:hAnsi="Calibri" w:cs="Calibri"/>
        </w:rPr>
        <w:t>, receive, interpret, and operationalize</w:t>
      </w:r>
      <w:r w:rsidR="00D059DE">
        <w:rPr>
          <w:rFonts w:ascii="Calibri" w:eastAsia="Calibri" w:hAnsi="Calibri" w:cs="Calibri"/>
        </w:rPr>
        <w:t xml:space="preserve"> patient information</w:t>
      </w:r>
      <w:r w:rsidRPr="00C9215C">
        <w:rPr>
          <w:rFonts w:ascii="Calibri" w:eastAsia="Calibri" w:hAnsi="Calibri" w:cs="Calibri"/>
        </w:rPr>
        <w:t>.</w:t>
      </w:r>
    </w:p>
    <w:p w14:paraId="1CE506BF" w14:textId="0F267830" w:rsidR="00975D9A" w:rsidRPr="00C16846" w:rsidRDefault="00826AAC" w:rsidP="00975D9A">
      <w:pPr>
        <w:pStyle w:val="Heading1"/>
      </w:pPr>
      <w:bookmarkStart w:id="8" w:name="_Toc521321970"/>
      <w:bookmarkStart w:id="9" w:name="_Toc5370679"/>
      <w:r>
        <w:rPr>
          <w:rFonts w:asciiTheme="minorHAnsi" w:eastAsia="Calibri" w:hAnsiTheme="minorHAnsi" w:cstheme="minorHAnsi"/>
          <w:noProof/>
          <w:sz w:val="22"/>
          <w:szCs w:val="22"/>
        </w:rPr>
        <w:drawing>
          <wp:anchor distT="0" distB="0" distL="114300" distR="114300" simplePos="0" relativeHeight="251660288" behindDoc="0" locked="0" layoutInCell="1" allowOverlap="1" wp14:anchorId="0E028AFE" wp14:editId="18267E93">
            <wp:simplePos x="0" y="0"/>
            <wp:positionH relativeFrom="margin">
              <wp:posOffset>4413250</wp:posOffset>
            </wp:positionH>
            <wp:positionV relativeFrom="paragraph">
              <wp:posOffset>116840</wp:posOffset>
            </wp:positionV>
            <wp:extent cx="1866900" cy="18249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EM Health Challenge.png"/>
                    <pic:cNvPicPr/>
                  </pic:nvPicPr>
                  <pic:blipFill rotWithShape="1">
                    <a:blip r:embed="rId11" cstate="print">
                      <a:extLst>
                        <a:ext uri="{28A0092B-C50C-407E-A947-70E740481C1C}">
                          <a14:useLocalDpi xmlns:a14="http://schemas.microsoft.com/office/drawing/2010/main" val="0"/>
                        </a:ext>
                      </a:extLst>
                    </a:blip>
                    <a:srcRect l="14353" r="14245"/>
                    <a:stretch/>
                  </pic:blipFill>
                  <pic:spPr bwMode="auto">
                    <a:xfrm>
                      <a:off x="0" y="0"/>
                      <a:ext cx="1866900" cy="1824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5D9A" w:rsidRPr="00975D9A">
        <w:t xml:space="preserve">NIEM Health </w:t>
      </w:r>
      <w:r w:rsidR="00975D9A">
        <w:t>Information Exchange C</w:t>
      </w:r>
      <w:r w:rsidR="00975D9A" w:rsidRPr="00975D9A">
        <w:t>hallenge</w:t>
      </w:r>
      <w:bookmarkEnd w:id="8"/>
      <w:bookmarkEnd w:id="9"/>
    </w:p>
    <w:p w14:paraId="3A1B6AFA" w14:textId="29460437" w:rsidR="00C2218B" w:rsidRDefault="00273EC5" w:rsidP="00B77FDB">
      <w:r w:rsidRPr="00891EC0">
        <w:t>Many NIEM-based communities</w:t>
      </w:r>
      <w:r w:rsidR="00D25C90" w:rsidRPr="00891EC0">
        <w:t xml:space="preserve"> (e.g.</w:t>
      </w:r>
      <w:r w:rsidR="00D059DE">
        <w:t>,</w:t>
      </w:r>
      <w:r w:rsidR="00D25C90" w:rsidRPr="00891EC0">
        <w:t xml:space="preserve"> Justice, Homeland Security, Child and Family Services, etc.)</w:t>
      </w:r>
      <w:r w:rsidRPr="00891EC0">
        <w:t xml:space="preserve"> need to be able to exchange domain-specific, albeit limited, healthcare information. Their challenge is to be able to exchange this</w:t>
      </w:r>
      <w:r w:rsidR="00D25C90" w:rsidRPr="00891EC0">
        <w:t xml:space="preserve"> limited healthcare</w:t>
      </w:r>
      <w:r w:rsidRPr="00891EC0">
        <w:t xml:space="preserve"> information</w:t>
      </w:r>
      <w:r w:rsidR="00D25C90" w:rsidRPr="00891EC0">
        <w:t xml:space="preserve"> within their communities</w:t>
      </w:r>
      <w:r w:rsidRPr="00891EC0">
        <w:t xml:space="preserve"> using NIEM-based technologies</w:t>
      </w:r>
      <w:r w:rsidR="00D25C90" w:rsidRPr="00891EC0">
        <w:t>.</w:t>
      </w:r>
      <w:bookmarkStart w:id="10" w:name="_Toc521321971"/>
    </w:p>
    <w:p w14:paraId="7DC8B8E4" w14:textId="61807B9B" w:rsidR="00C2218B" w:rsidRDefault="00C2218B" w:rsidP="00B77FDB">
      <w:r w:rsidRPr="00BA6BD2">
        <w:rPr>
          <w:rFonts w:eastAsia="Calibri" w:cstheme="minorHAnsi"/>
        </w:rPr>
        <w:t xml:space="preserve">As </w:t>
      </w:r>
      <w:r>
        <w:rPr>
          <w:rFonts w:eastAsia="Calibri" w:cstheme="minorHAnsi"/>
        </w:rPr>
        <w:t xml:space="preserve">these </w:t>
      </w:r>
      <w:r w:rsidRPr="00BA6BD2">
        <w:rPr>
          <w:rFonts w:eastAsia="Calibri" w:cstheme="minorHAnsi"/>
        </w:rPr>
        <w:t>NIEM</w:t>
      </w:r>
      <w:r>
        <w:rPr>
          <w:rFonts w:eastAsia="Calibri" w:cstheme="minorHAnsi"/>
        </w:rPr>
        <w:t>-based</w:t>
      </w:r>
      <w:r w:rsidRPr="00BA6BD2">
        <w:rPr>
          <w:rFonts w:eastAsia="Calibri" w:cstheme="minorHAnsi"/>
        </w:rPr>
        <w:t xml:space="preserve"> </w:t>
      </w:r>
      <w:r>
        <w:rPr>
          <w:rFonts w:eastAsia="Calibri" w:cstheme="minorHAnsi"/>
        </w:rPr>
        <w:t>communities begin to experience a growing need to exchange health data with partner organizations, i</w:t>
      </w:r>
      <w:r w:rsidRPr="00BA6BD2">
        <w:rPr>
          <w:rFonts w:eastAsia="Calibri" w:cstheme="minorHAnsi"/>
        </w:rPr>
        <w:t xml:space="preserve">t is important that NIEM is </w:t>
      </w:r>
      <w:r>
        <w:rPr>
          <w:rFonts w:eastAsia="Calibri" w:cstheme="minorHAnsi"/>
        </w:rPr>
        <w:t>compatible w</w:t>
      </w:r>
      <w:r w:rsidRPr="00BA6BD2">
        <w:rPr>
          <w:rFonts w:eastAsia="Calibri" w:cstheme="minorHAnsi"/>
        </w:rPr>
        <w:t xml:space="preserve">ith existing health information standards </w:t>
      </w:r>
      <w:r>
        <w:rPr>
          <w:rFonts w:eastAsia="Calibri" w:cstheme="minorHAnsi"/>
        </w:rPr>
        <w:t>(e.g.</w:t>
      </w:r>
      <w:r w:rsidR="00D059DE">
        <w:rPr>
          <w:rFonts w:eastAsia="Calibri" w:cstheme="minorHAnsi"/>
        </w:rPr>
        <w:t>,</w:t>
      </w:r>
      <w:r>
        <w:rPr>
          <w:rFonts w:eastAsia="Calibri" w:cstheme="minorHAnsi"/>
        </w:rPr>
        <w:t xml:space="preserve"> </w:t>
      </w:r>
      <w:r w:rsidRPr="00BA6BD2">
        <w:rPr>
          <w:rFonts w:eastAsia="Calibri" w:cstheme="minorHAnsi"/>
        </w:rPr>
        <w:t>HL7</w:t>
      </w:r>
      <w:r>
        <w:rPr>
          <w:rFonts w:eastAsia="Calibri" w:cstheme="minorHAnsi"/>
        </w:rPr>
        <w:t xml:space="preserve">, </w:t>
      </w:r>
      <w:r w:rsidR="002442F8" w:rsidRPr="002442F8">
        <w:rPr>
          <w:rFonts w:eastAsia="Calibri" w:cstheme="minorHAnsi"/>
        </w:rPr>
        <w:t>Consolidated-</w:t>
      </w:r>
      <w:r w:rsidR="002442F8" w:rsidRPr="002442F8">
        <w:t xml:space="preserve"> </w:t>
      </w:r>
      <w:r w:rsidR="002442F8" w:rsidRPr="002442F8">
        <w:rPr>
          <w:rFonts w:eastAsia="Calibri" w:cstheme="minorHAnsi"/>
        </w:rPr>
        <w:t xml:space="preserve">Clinical Document Architecture (C-CDA), </w:t>
      </w:r>
      <w:r w:rsidR="007909DF" w:rsidRPr="007909DF">
        <w:rPr>
          <w:rFonts w:eastAsia="Calibri" w:cstheme="minorHAnsi"/>
        </w:rPr>
        <w:t xml:space="preserve">Fast Healthcare </w:t>
      </w:r>
      <w:r w:rsidR="007909DF" w:rsidRPr="007909DF">
        <w:rPr>
          <w:rFonts w:eastAsia="Calibri" w:cstheme="minorHAnsi"/>
        </w:rPr>
        <w:lastRenderedPageBreak/>
        <w:t>Interoperability Resources (FHIR</w:t>
      </w:r>
      <w:r w:rsidR="007909DF">
        <w:rPr>
          <w:rFonts w:eastAsia="Calibri" w:cstheme="minorHAnsi"/>
        </w:rPr>
        <w:t>)</w:t>
      </w:r>
      <w:r w:rsidRPr="00BA6BD2">
        <w:rPr>
          <w:rFonts w:eastAsia="Calibri" w:cstheme="minorHAnsi"/>
        </w:rPr>
        <w:t xml:space="preserve">. </w:t>
      </w:r>
      <w:r>
        <w:rPr>
          <w:rFonts w:eastAsia="Calibri" w:cstheme="minorHAnsi"/>
        </w:rPr>
        <w:t xml:space="preserve">However, it is apparent through conversations with the </w:t>
      </w:r>
      <w:r w:rsidR="003B53C8">
        <w:rPr>
          <w:rFonts w:eastAsia="Calibri" w:cstheme="minorHAnsi"/>
        </w:rPr>
        <w:t xml:space="preserve">NIEM </w:t>
      </w:r>
      <w:r>
        <w:rPr>
          <w:rFonts w:eastAsia="Calibri" w:cstheme="minorHAnsi"/>
        </w:rPr>
        <w:t xml:space="preserve">community that it does not </w:t>
      </w:r>
      <w:r w:rsidR="003B53C8">
        <w:rPr>
          <w:rFonts w:eastAsia="Calibri" w:cstheme="minorHAnsi"/>
        </w:rPr>
        <w:t>require</w:t>
      </w:r>
      <w:r w:rsidR="001B1F80">
        <w:rPr>
          <w:rFonts w:eastAsia="Calibri" w:cstheme="minorHAnsi"/>
        </w:rPr>
        <w:t xml:space="preserve"> an</w:t>
      </w:r>
      <w:r w:rsidR="003B53C8">
        <w:rPr>
          <w:rFonts w:eastAsia="Calibri" w:cstheme="minorHAnsi"/>
        </w:rPr>
        <w:t xml:space="preserve"> </w:t>
      </w:r>
      <w:r w:rsidR="00062B36">
        <w:rPr>
          <w:rFonts w:eastAsia="Calibri" w:cstheme="minorHAnsi"/>
        </w:rPr>
        <w:t>information model</w:t>
      </w:r>
      <w:r>
        <w:rPr>
          <w:rFonts w:eastAsia="Calibri" w:cstheme="minorHAnsi"/>
        </w:rPr>
        <w:t xml:space="preserve"> in its entirety, </w:t>
      </w:r>
      <w:r w:rsidR="00062B36">
        <w:rPr>
          <w:rFonts w:eastAsia="Calibri" w:cstheme="minorHAnsi"/>
        </w:rPr>
        <w:t xml:space="preserve">but </w:t>
      </w:r>
      <w:r>
        <w:rPr>
          <w:rFonts w:eastAsia="Calibri" w:cstheme="minorHAnsi"/>
        </w:rPr>
        <w:t>instead require</w:t>
      </w:r>
      <w:r w:rsidR="001130A3">
        <w:rPr>
          <w:rFonts w:eastAsia="Calibri" w:cstheme="minorHAnsi"/>
        </w:rPr>
        <w:t>s</w:t>
      </w:r>
      <w:r>
        <w:rPr>
          <w:rFonts w:eastAsia="Calibri" w:cstheme="minorHAnsi"/>
        </w:rPr>
        <w:t xml:space="preserve"> a small subset of general health information. For instance, </w:t>
      </w:r>
      <w:r w:rsidRPr="005850D4">
        <w:rPr>
          <w:rFonts w:eastAsia="Calibri" w:cstheme="minorHAnsi"/>
        </w:rPr>
        <w:t>querying hospitals for available beds, dealing with emergency response, placing recovering drug users in half-way houses</w:t>
      </w:r>
      <w:r>
        <w:rPr>
          <w:rFonts w:eastAsia="Calibri" w:cstheme="minorHAnsi"/>
        </w:rPr>
        <w:t>, etc. It is for this reason that</w:t>
      </w:r>
      <w:r w:rsidR="00102A2E">
        <w:rPr>
          <w:rFonts w:eastAsia="Calibri" w:cstheme="minorHAnsi"/>
        </w:rPr>
        <w:t xml:space="preserve"> we recommend</w:t>
      </w:r>
      <w:r>
        <w:rPr>
          <w:rFonts w:eastAsia="Calibri" w:cstheme="minorHAnsi"/>
        </w:rPr>
        <w:t xml:space="preserve"> </w:t>
      </w:r>
      <w:r w:rsidRPr="005D695A">
        <w:rPr>
          <w:rFonts w:eastAsia="Calibri" w:cstheme="minorHAnsi"/>
        </w:rPr>
        <w:t>identify</w:t>
      </w:r>
      <w:r w:rsidR="00102A2E">
        <w:rPr>
          <w:rFonts w:eastAsia="Calibri" w:cstheme="minorHAnsi"/>
        </w:rPr>
        <w:t>ing and mapping</w:t>
      </w:r>
      <w:r w:rsidRPr="005D695A">
        <w:rPr>
          <w:rFonts w:eastAsia="Calibri" w:cstheme="minorHAnsi"/>
        </w:rPr>
        <w:t xml:space="preserve"> key health </w:t>
      </w:r>
      <w:r w:rsidR="00102A2E">
        <w:rPr>
          <w:rFonts w:eastAsia="Calibri" w:cstheme="minorHAnsi"/>
        </w:rPr>
        <w:t xml:space="preserve">standard </w:t>
      </w:r>
      <w:r w:rsidRPr="005D695A">
        <w:rPr>
          <w:rFonts w:eastAsia="Calibri" w:cstheme="minorHAnsi"/>
        </w:rPr>
        <w:t xml:space="preserve">data elements </w:t>
      </w:r>
      <w:r>
        <w:rPr>
          <w:rFonts w:eastAsia="Calibri" w:cstheme="minorHAnsi"/>
        </w:rPr>
        <w:t xml:space="preserve">that may </w:t>
      </w:r>
      <w:r w:rsidR="00102A2E">
        <w:rPr>
          <w:rFonts w:eastAsia="Calibri" w:cstheme="minorHAnsi"/>
        </w:rPr>
        <w:t xml:space="preserve">be </w:t>
      </w:r>
      <w:r>
        <w:rPr>
          <w:rFonts w:eastAsia="Calibri" w:cstheme="minorHAnsi"/>
        </w:rPr>
        <w:t>u</w:t>
      </w:r>
      <w:r w:rsidR="00D059DE">
        <w:rPr>
          <w:rFonts w:eastAsia="Calibri" w:cstheme="minorHAnsi"/>
        </w:rPr>
        <w:t>s</w:t>
      </w:r>
      <w:r>
        <w:rPr>
          <w:rFonts w:eastAsia="Calibri" w:cstheme="minorHAnsi"/>
        </w:rPr>
        <w:t>e</w:t>
      </w:r>
      <w:r w:rsidR="00102A2E">
        <w:rPr>
          <w:rFonts w:eastAsia="Calibri" w:cstheme="minorHAnsi"/>
        </w:rPr>
        <w:t>d</w:t>
      </w:r>
      <w:r>
        <w:rPr>
          <w:rFonts w:eastAsia="Calibri" w:cstheme="minorHAnsi"/>
        </w:rPr>
        <w:t xml:space="preserve"> instead of </w:t>
      </w:r>
      <w:r w:rsidRPr="005D695A">
        <w:rPr>
          <w:rFonts w:eastAsia="Calibri" w:cstheme="minorHAnsi"/>
        </w:rPr>
        <w:t>model</w:t>
      </w:r>
      <w:r>
        <w:rPr>
          <w:rFonts w:eastAsia="Calibri" w:cstheme="minorHAnsi"/>
        </w:rPr>
        <w:t>ing</w:t>
      </w:r>
      <w:r w:rsidRPr="005D695A">
        <w:rPr>
          <w:rFonts w:eastAsia="Calibri" w:cstheme="minorHAnsi"/>
        </w:rPr>
        <w:t xml:space="preserve"> a </w:t>
      </w:r>
      <w:r>
        <w:rPr>
          <w:rFonts w:eastAsia="Calibri" w:cstheme="minorHAnsi"/>
        </w:rPr>
        <w:t xml:space="preserve">NIEM </w:t>
      </w:r>
      <w:r w:rsidR="00102A2E">
        <w:rPr>
          <w:rFonts w:eastAsia="Calibri" w:cstheme="minorHAnsi"/>
        </w:rPr>
        <w:t xml:space="preserve">Health </w:t>
      </w:r>
      <w:r w:rsidRPr="005D695A">
        <w:rPr>
          <w:rFonts w:eastAsia="Calibri" w:cstheme="minorHAnsi"/>
        </w:rPr>
        <w:t>domain</w:t>
      </w:r>
      <w:r w:rsidR="00102A2E">
        <w:rPr>
          <w:rFonts w:eastAsia="Calibri" w:cstheme="minorHAnsi"/>
        </w:rPr>
        <w:t xml:space="preserve"> from scratch</w:t>
      </w:r>
      <w:r>
        <w:rPr>
          <w:rFonts w:eastAsia="Calibri" w:cstheme="minorHAnsi"/>
        </w:rPr>
        <w:t xml:space="preserve">. </w:t>
      </w:r>
      <w:r w:rsidR="001130A3">
        <w:rPr>
          <w:rFonts w:eastAsia="Calibri" w:cstheme="minorHAnsi"/>
        </w:rPr>
        <w:t>T</w:t>
      </w:r>
      <w:r>
        <w:rPr>
          <w:rFonts w:eastAsia="Calibri" w:cstheme="minorHAnsi"/>
        </w:rPr>
        <w:t xml:space="preserve">his guidance </w:t>
      </w:r>
      <w:r w:rsidR="001130A3">
        <w:rPr>
          <w:rFonts w:eastAsia="Calibri" w:cstheme="minorHAnsi"/>
        </w:rPr>
        <w:t>is intended to</w:t>
      </w:r>
      <w:r>
        <w:rPr>
          <w:rFonts w:eastAsia="Calibri" w:cstheme="minorHAnsi"/>
        </w:rPr>
        <w:t xml:space="preserve"> help b</w:t>
      </w:r>
      <w:r w:rsidRPr="005D695A">
        <w:rPr>
          <w:rFonts w:eastAsia="Calibri" w:cstheme="minorHAnsi"/>
        </w:rPr>
        <w:t xml:space="preserve">ridge the gap of </w:t>
      </w:r>
      <w:r>
        <w:rPr>
          <w:rFonts w:eastAsia="Calibri" w:cstheme="minorHAnsi"/>
        </w:rPr>
        <w:t xml:space="preserve">health </w:t>
      </w:r>
      <w:r w:rsidRPr="005D695A">
        <w:rPr>
          <w:rFonts w:eastAsia="Calibri" w:cstheme="minorHAnsi"/>
        </w:rPr>
        <w:t xml:space="preserve">information readily available to NIEM </w:t>
      </w:r>
      <w:r>
        <w:rPr>
          <w:rFonts w:eastAsia="Calibri" w:cstheme="minorHAnsi"/>
        </w:rPr>
        <w:t>and f</w:t>
      </w:r>
      <w:r w:rsidRPr="005D695A">
        <w:rPr>
          <w:rFonts w:eastAsia="Calibri" w:cstheme="minorHAnsi"/>
        </w:rPr>
        <w:t xml:space="preserve">urther </w:t>
      </w:r>
      <w:r>
        <w:rPr>
          <w:rFonts w:eastAsia="Calibri" w:cstheme="minorHAnsi"/>
        </w:rPr>
        <w:t xml:space="preserve">the </w:t>
      </w:r>
      <w:r w:rsidRPr="005D695A">
        <w:rPr>
          <w:rFonts w:eastAsia="Calibri" w:cstheme="minorHAnsi"/>
        </w:rPr>
        <w:t xml:space="preserve">shared goal for </w:t>
      </w:r>
      <w:r>
        <w:rPr>
          <w:rFonts w:eastAsia="Calibri" w:cstheme="minorHAnsi"/>
        </w:rPr>
        <w:t xml:space="preserve">national and regional </w:t>
      </w:r>
      <w:r w:rsidRPr="005D695A">
        <w:rPr>
          <w:rFonts w:eastAsia="Calibri" w:cstheme="minorHAnsi"/>
        </w:rPr>
        <w:t>interoperab</w:t>
      </w:r>
      <w:r>
        <w:rPr>
          <w:rFonts w:eastAsia="Calibri" w:cstheme="minorHAnsi"/>
        </w:rPr>
        <w:t>ility based on a common vocabulary</w:t>
      </w:r>
      <w:r w:rsidR="00B345BB">
        <w:rPr>
          <w:rFonts w:eastAsia="Calibri" w:cstheme="minorHAnsi"/>
        </w:rPr>
        <w:t>.</w:t>
      </w:r>
    </w:p>
    <w:p w14:paraId="5971A818" w14:textId="0881BBFD" w:rsidR="00B65AFB" w:rsidRPr="00C16846" w:rsidRDefault="00B65AFB" w:rsidP="00C16846">
      <w:pPr>
        <w:pStyle w:val="Heading1"/>
      </w:pPr>
      <w:bookmarkStart w:id="11" w:name="_Toc5370680"/>
      <w:r w:rsidRPr="00C16846">
        <w:t>Health IT Landscape</w:t>
      </w:r>
      <w:r w:rsidR="00B239EA">
        <w:t xml:space="preserve"> and Standards</w:t>
      </w:r>
      <w:bookmarkEnd w:id="10"/>
      <w:bookmarkEnd w:id="11"/>
    </w:p>
    <w:p w14:paraId="34B01C45" w14:textId="0C9BF5D8" w:rsidR="002F11BB" w:rsidRDefault="00082AED" w:rsidP="00B65AFB">
      <w:pPr>
        <w:pStyle w:val="NormalWeb"/>
        <w:spacing w:before="0" w:beforeAutospacing="0" w:after="150"/>
        <w:rPr>
          <w:rFonts w:asciiTheme="minorHAnsi" w:hAnsiTheme="minorHAnsi" w:cstheme="minorHAnsi"/>
          <w:sz w:val="22"/>
          <w:szCs w:val="22"/>
        </w:rPr>
      </w:pPr>
      <w:r w:rsidRPr="00041886">
        <w:rPr>
          <w:rFonts w:asciiTheme="minorHAnsi" w:hAnsiTheme="minorHAnsi" w:cstheme="minorHAnsi"/>
          <w:noProof/>
          <w:color w:val="000000"/>
          <w:sz w:val="16"/>
          <w:szCs w:val="16"/>
        </w:rPr>
        <w:drawing>
          <wp:anchor distT="0" distB="0" distL="114300" distR="114300" simplePos="0" relativeHeight="251666432" behindDoc="0" locked="0" layoutInCell="1" allowOverlap="1" wp14:anchorId="5CC60292" wp14:editId="0762810C">
            <wp:simplePos x="0" y="0"/>
            <wp:positionH relativeFrom="margin">
              <wp:posOffset>31750</wp:posOffset>
            </wp:positionH>
            <wp:positionV relativeFrom="paragraph">
              <wp:posOffset>2305685</wp:posOffset>
            </wp:positionV>
            <wp:extent cx="4855210" cy="2352675"/>
            <wp:effectExtent l="0" t="0" r="2540" b="0"/>
            <wp:wrapThrough wrapText="bothSides">
              <wp:wrapPolygon edited="0">
                <wp:start x="1102" y="0"/>
                <wp:lineTo x="0" y="1049"/>
                <wp:lineTo x="0" y="19764"/>
                <wp:lineTo x="932" y="21338"/>
                <wp:lineTo x="1017" y="21338"/>
                <wp:lineTo x="20510" y="21338"/>
                <wp:lineTo x="20679" y="21338"/>
                <wp:lineTo x="21527" y="19938"/>
                <wp:lineTo x="21527" y="1049"/>
                <wp:lineTo x="20425" y="0"/>
                <wp:lineTo x="1102" y="0"/>
              </wp:wrapPolygon>
            </wp:wrapThrough>
            <wp:docPr id="9" name="Picture 8">
              <a:extLst xmlns:a="http://schemas.openxmlformats.org/drawingml/2006/main">
                <a:ext uri="{FF2B5EF4-FFF2-40B4-BE49-F238E27FC236}">
                  <a16:creationId xmlns:a16="http://schemas.microsoft.com/office/drawing/2014/main" id="{639BD307-6DB0-49E8-A79A-A2BF36C5B5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39BD307-6DB0-49E8-A79A-A2BF36C5B55E}"/>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834" t="12741" r="6667" b="8444"/>
                    <a:stretch/>
                  </pic:blipFill>
                  <pic:spPr>
                    <a:xfrm>
                      <a:off x="0" y="0"/>
                      <a:ext cx="4855210" cy="2352675"/>
                    </a:xfrm>
                    <a:prstGeom prst="flowChartAlternateProcess">
                      <a:avLst/>
                    </a:prstGeom>
                  </pic:spPr>
                </pic:pic>
              </a:graphicData>
            </a:graphic>
            <wp14:sizeRelH relativeFrom="margin">
              <wp14:pctWidth>0</wp14:pctWidth>
            </wp14:sizeRelH>
            <wp14:sizeRelV relativeFrom="margin">
              <wp14:pctHeight>0</wp14:pctHeight>
            </wp14:sizeRelV>
          </wp:anchor>
        </w:drawing>
      </w:r>
      <w:r w:rsidR="008539A0" w:rsidRPr="004E78B4">
        <w:rPr>
          <w:rFonts w:asciiTheme="minorHAnsi" w:hAnsiTheme="minorHAnsi" w:cstheme="minorHAnsi"/>
          <w:sz w:val="22"/>
          <w:szCs w:val="22"/>
        </w:rPr>
        <w:t xml:space="preserve">The Healthcare Information Management Systems Society (HIMSS) summarizes today’s </w:t>
      </w:r>
      <w:r w:rsidR="00D059DE">
        <w:rPr>
          <w:rFonts w:asciiTheme="minorHAnsi" w:hAnsiTheme="minorHAnsi" w:cstheme="minorHAnsi"/>
          <w:sz w:val="22"/>
          <w:szCs w:val="22"/>
        </w:rPr>
        <w:t>h</w:t>
      </w:r>
      <w:r w:rsidR="008539A0" w:rsidRPr="004E78B4">
        <w:rPr>
          <w:rFonts w:asciiTheme="minorHAnsi" w:hAnsiTheme="minorHAnsi" w:cstheme="minorHAnsi"/>
          <w:sz w:val="22"/>
          <w:szCs w:val="22"/>
        </w:rPr>
        <w:t xml:space="preserve">ealth IT landscape as a </w:t>
      </w:r>
      <w:r w:rsidR="00F27FD2" w:rsidRPr="004E78B4">
        <w:rPr>
          <w:rFonts w:asciiTheme="minorHAnsi" w:hAnsiTheme="minorHAnsi" w:cstheme="minorHAnsi"/>
          <w:sz w:val="22"/>
          <w:szCs w:val="22"/>
        </w:rPr>
        <w:t>sophisticated, heterogeneous environment comprised of a wide assortment of health care settings, stakeholders, and information systems, specifically for healthcare delivery. The sheer number and diversity of healthcare entities (</w:t>
      </w:r>
      <w:r w:rsidR="001130A3">
        <w:rPr>
          <w:rFonts w:asciiTheme="minorHAnsi" w:hAnsiTheme="minorHAnsi" w:cstheme="minorHAnsi"/>
          <w:sz w:val="22"/>
          <w:szCs w:val="22"/>
        </w:rPr>
        <w:t>e.g.</w:t>
      </w:r>
      <w:r w:rsidR="00D059DE">
        <w:rPr>
          <w:rFonts w:asciiTheme="minorHAnsi" w:hAnsiTheme="minorHAnsi" w:cstheme="minorHAnsi"/>
          <w:sz w:val="22"/>
          <w:szCs w:val="22"/>
        </w:rPr>
        <w:t>,</w:t>
      </w:r>
      <w:r w:rsidR="001130A3">
        <w:rPr>
          <w:rFonts w:asciiTheme="minorHAnsi" w:hAnsiTheme="minorHAnsi" w:cstheme="minorHAnsi"/>
          <w:sz w:val="22"/>
          <w:szCs w:val="22"/>
        </w:rPr>
        <w:t xml:space="preserve"> </w:t>
      </w:r>
      <w:r w:rsidR="00F27FD2" w:rsidRPr="004E78B4">
        <w:rPr>
          <w:rFonts w:asciiTheme="minorHAnsi" w:hAnsiTheme="minorHAnsi" w:cstheme="minorHAnsi"/>
          <w:sz w:val="22"/>
          <w:szCs w:val="22"/>
        </w:rPr>
        <w:t>providers, payers, researchers, and beneficiaries) presents a considerable information sharing challenge within the healthcare ecosystem.</w:t>
      </w:r>
      <w:r w:rsidR="00EB56EB" w:rsidRPr="004E78B4">
        <w:rPr>
          <w:rFonts w:asciiTheme="minorHAnsi" w:hAnsiTheme="minorHAnsi" w:cstheme="minorHAnsi"/>
          <w:sz w:val="22"/>
          <w:szCs w:val="22"/>
        </w:rPr>
        <w:t xml:space="preserve"> </w:t>
      </w:r>
      <w:r w:rsidR="008539A0" w:rsidRPr="004E78B4">
        <w:rPr>
          <w:rFonts w:asciiTheme="minorHAnsi" w:hAnsiTheme="minorHAnsi" w:cstheme="minorHAnsi"/>
          <w:sz w:val="22"/>
          <w:szCs w:val="22"/>
        </w:rPr>
        <w:t>Th</w:t>
      </w:r>
      <w:r w:rsidR="004E78B4" w:rsidRPr="004E78B4">
        <w:rPr>
          <w:rFonts w:asciiTheme="minorHAnsi" w:hAnsiTheme="minorHAnsi" w:cstheme="minorHAnsi"/>
          <w:sz w:val="22"/>
          <w:szCs w:val="22"/>
        </w:rPr>
        <w:t xml:space="preserve">e </w:t>
      </w:r>
      <w:r w:rsidR="00B77FDB" w:rsidRPr="004E78B4">
        <w:rPr>
          <w:rFonts w:asciiTheme="minorHAnsi" w:hAnsiTheme="minorHAnsi" w:cstheme="minorHAnsi"/>
          <w:sz w:val="22"/>
          <w:szCs w:val="22"/>
        </w:rPr>
        <w:t xml:space="preserve">challenge </w:t>
      </w:r>
      <w:r w:rsidR="004E78B4" w:rsidRPr="004E78B4">
        <w:rPr>
          <w:rFonts w:asciiTheme="minorHAnsi" w:hAnsiTheme="minorHAnsi" w:cstheme="minorHAnsi"/>
          <w:sz w:val="22"/>
          <w:szCs w:val="22"/>
        </w:rPr>
        <w:t>t</w:t>
      </w:r>
      <w:r w:rsidR="00B77FDB" w:rsidRPr="004E78B4">
        <w:rPr>
          <w:rFonts w:asciiTheme="minorHAnsi" w:hAnsiTheme="minorHAnsi" w:cstheme="minorHAnsi"/>
          <w:sz w:val="22"/>
          <w:szCs w:val="22"/>
        </w:rPr>
        <w:t xml:space="preserve">o </w:t>
      </w:r>
      <w:r w:rsidR="00DF0D64" w:rsidRPr="004E78B4">
        <w:rPr>
          <w:rFonts w:asciiTheme="minorHAnsi" w:hAnsiTheme="minorHAnsi" w:cstheme="minorHAnsi"/>
          <w:sz w:val="22"/>
          <w:szCs w:val="22"/>
        </w:rPr>
        <w:t>interoperability</w:t>
      </w:r>
      <w:r w:rsidR="00A20818" w:rsidRPr="004E78B4">
        <w:rPr>
          <w:rStyle w:val="FootnoteReference"/>
          <w:rFonts w:asciiTheme="minorHAnsi" w:hAnsiTheme="minorHAnsi" w:cstheme="minorHAnsi"/>
          <w:sz w:val="22"/>
          <w:szCs w:val="22"/>
        </w:rPr>
        <w:footnoteReference w:id="1"/>
      </w:r>
      <w:r w:rsidR="00EB56EB" w:rsidRPr="004E78B4">
        <w:rPr>
          <w:rFonts w:asciiTheme="minorHAnsi" w:hAnsiTheme="minorHAnsi" w:cstheme="minorHAnsi"/>
          <w:sz w:val="22"/>
          <w:szCs w:val="22"/>
        </w:rPr>
        <w:t xml:space="preserve"> is p</w:t>
      </w:r>
      <w:r w:rsidR="008539A0" w:rsidRPr="004E78B4">
        <w:rPr>
          <w:rFonts w:asciiTheme="minorHAnsi" w:hAnsiTheme="minorHAnsi" w:cstheme="minorHAnsi"/>
          <w:sz w:val="22"/>
          <w:szCs w:val="22"/>
        </w:rPr>
        <w:t xml:space="preserve">rimarily </w:t>
      </w:r>
      <w:r w:rsidR="00EB56EB" w:rsidRPr="004E78B4">
        <w:rPr>
          <w:rFonts w:asciiTheme="minorHAnsi" w:hAnsiTheme="minorHAnsi" w:cstheme="minorHAnsi"/>
          <w:sz w:val="22"/>
          <w:szCs w:val="22"/>
        </w:rPr>
        <w:t xml:space="preserve">due to </w:t>
      </w:r>
      <w:r w:rsidR="00DF0D64" w:rsidRPr="004E78B4">
        <w:rPr>
          <w:rFonts w:asciiTheme="minorHAnsi" w:hAnsiTheme="minorHAnsi" w:cstheme="minorHAnsi"/>
          <w:sz w:val="22"/>
          <w:szCs w:val="22"/>
        </w:rPr>
        <w:t>an absence of</w:t>
      </w:r>
      <w:r w:rsidR="00EB56EB" w:rsidRPr="004E78B4">
        <w:rPr>
          <w:rFonts w:asciiTheme="minorHAnsi" w:hAnsiTheme="minorHAnsi" w:cstheme="minorHAnsi"/>
          <w:sz w:val="22"/>
          <w:szCs w:val="22"/>
        </w:rPr>
        <w:t xml:space="preserve"> a</w:t>
      </w:r>
      <w:r w:rsidR="00DF0D64" w:rsidRPr="004E78B4">
        <w:rPr>
          <w:rFonts w:asciiTheme="minorHAnsi" w:hAnsiTheme="minorHAnsi" w:cstheme="minorHAnsi"/>
          <w:sz w:val="22"/>
          <w:szCs w:val="22"/>
        </w:rPr>
        <w:t xml:space="preserve"> widely adopted and integrated standardized vocabulary</w:t>
      </w:r>
      <w:r w:rsidR="001130A3">
        <w:rPr>
          <w:rFonts w:asciiTheme="minorHAnsi" w:hAnsiTheme="minorHAnsi" w:cstheme="minorHAnsi"/>
          <w:sz w:val="22"/>
          <w:szCs w:val="22"/>
        </w:rPr>
        <w:t xml:space="preserve">, </w:t>
      </w:r>
      <w:r w:rsidR="00DF0D64" w:rsidRPr="004E78B4">
        <w:rPr>
          <w:rFonts w:asciiTheme="minorHAnsi" w:hAnsiTheme="minorHAnsi" w:cstheme="minorHAnsi"/>
          <w:sz w:val="22"/>
          <w:szCs w:val="22"/>
        </w:rPr>
        <w:t>or shared language</w:t>
      </w:r>
      <w:r w:rsidR="008539A0" w:rsidRPr="004E78B4">
        <w:rPr>
          <w:rFonts w:asciiTheme="minorHAnsi" w:hAnsiTheme="minorHAnsi" w:cstheme="minorHAnsi"/>
          <w:sz w:val="22"/>
          <w:szCs w:val="22"/>
        </w:rPr>
        <w:t xml:space="preserve">. </w:t>
      </w:r>
      <w:r w:rsidR="005D695A" w:rsidRPr="004E78B4">
        <w:rPr>
          <w:rFonts w:asciiTheme="minorHAnsi" w:hAnsiTheme="minorHAnsi" w:cstheme="minorHAnsi"/>
          <w:sz w:val="22"/>
          <w:szCs w:val="22"/>
        </w:rPr>
        <w:t xml:space="preserve">Despite </w:t>
      </w:r>
      <w:r w:rsidR="007B16F3" w:rsidRPr="004E78B4">
        <w:rPr>
          <w:rFonts w:asciiTheme="minorHAnsi" w:hAnsiTheme="minorHAnsi" w:cstheme="minorHAnsi"/>
          <w:sz w:val="22"/>
          <w:szCs w:val="22"/>
        </w:rPr>
        <w:t xml:space="preserve">the advent of </w:t>
      </w:r>
      <w:r w:rsidR="005D695A" w:rsidRPr="004E78B4">
        <w:rPr>
          <w:rFonts w:asciiTheme="minorHAnsi" w:hAnsiTheme="minorHAnsi" w:cstheme="minorHAnsi"/>
          <w:sz w:val="22"/>
          <w:szCs w:val="22"/>
        </w:rPr>
        <w:t xml:space="preserve">several </w:t>
      </w:r>
      <w:r w:rsidR="00723A0D" w:rsidRPr="004E78B4">
        <w:rPr>
          <w:rFonts w:asciiTheme="minorHAnsi" w:hAnsiTheme="minorHAnsi" w:cstheme="minorHAnsi"/>
          <w:sz w:val="22"/>
          <w:szCs w:val="22"/>
        </w:rPr>
        <w:t xml:space="preserve">interoperability </w:t>
      </w:r>
      <w:r w:rsidR="005D695A" w:rsidRPr="004E78B4">
        <w:rPr>
          <w:rFonts w:asciiTheme="minorHAnsi" w:hAnsiTheme="minorHAnsi" w:cstheme="minorHAnsi"/>
          <w:sz w:val="22"/>
          <w:szCs w:val="22"/>
        </w:rPr>
        <w:t>standards development organizations</w:t>
      </w:r>
      <w:r w:rsidR="00723A0D" w:rsidRPr="004E78B4">
        <w:rPr>
          <w:rFonts w:asciiTheme="minorHAnsi" w:hAnsiTheme="minorHAnsi" w:cstheme="minorHAnsi"/>
          <w:sz w:val="22"/>
          <w:szCs w:val="22"/>
        </w:rPr>
        <w:t xml:space="preserve"> (SDO)</w:t>
      </w:r>
      <w:r w:rsidR="007B16F3" w:rsidRPr="004E78B4">
        <w:rPr>
          <w:rFonts w:asciiTheme="minorHAnsi" w:hAnsiTheme="minorHAnsi" w:cstheme="minorHAnsi"/>
          <w:sz w:val="22"/>
          <w:szCs w:val="22"/>
        </w:rPr>
        <w:t xml:space="preserve">, the assortment of </w:t>
      </w:r>
      <w:r w:rsidR="00723A0D" w:rsidRPr="004E78B4">
        <w:rPr>
          <w:rFonts w:asciiTheme="minorHAnsi" w:hAnsiTheme="minorHAnsi" w:cstheme="minorHAnsi"/>
          <w:sz w:val="22"/>
          <w:szCs w:val="22"/>
        </w:rPr>
        <w:t xml:space="preserve">interoperability </w:t>
      </w:r>
      <w:r w:rsidR="005D695A" w:rsidRPr="004E78B4">
        <w:rPr>
          <w:rFonts w:asciiTheme="minorHAnsi" w:hAnsiTheme="minorHAnsi" w:cstheme="minorHAnsi"/>
          <w:sz w:val="22"/>
          <w:szCs w:val="22"/>
        </w:rPr>
        <w:t xml:space="preserve">standards </w:t>
      </w:r>
      <w:r w:rsidR="007B16F3" w:rsidRPr="004E78B4">
        <w:rPr>
          <w:rFonts w:asciiTheme="minorHAnsi" w:hAnsiTheme="minorHAnsi" w:cstheme="minorHAnsi"/>
          <w:sz w:val="22"/>
          <w:szCs w:val="22"/>
        </w:rPr>
        <w:t xml:space="preserve">are not harmonized, resulting in </w:t>
      </w:r>
      <w:r w:rsidR="005D695A" w:rsidRPr="004E78B4">
        <w:rPr>
          <w:rFonts w:asciiTheme="minorHAnsi" w:hAnsiTheme="minorHAnsi" w:cstheme="minorHAnsi"/>
          <w:sz w:val="22"/>
          <w:szCs w:val="22"/>
        </w:rPr>
        <w:t>gaps, overlaps</w:t>
      </w:r>
      <w:r w:rsidR="007B16F3" w:rsidRPr="004E78B4">
        <w:rPr>
          <w:rFonts w:asciiTheme="minorHAnsi" w:hAnsiTheme="minorHAnsi" w:cstheme="minorHAnsi"/>
          <w:sz w:val="22"/>
          <w:szCs w:val="22"/>
        </w:rPr>
        <w:t>,</w:t>
      </w:r>
      <w:r w:rsidR="005D695A" w:rsidRPr="004E78B4">
        <w:rPr>
          <w:rFonts w:asciiTheme="minorHAnsi" w:hAnsiTheme="minorHAnsi" w:cstheme="minorHAnsi"/>
          <w:sz w:val="22"/>
          <w:szCs w:val="22"/>
        </w:rPr>
        <w:t xml:space="preserve"> and </w:t>
      </w:r>
      <w:r w:rsidR="007B16F3" w:rsidRPr="004E78B4">
        <w:rPr>
          <w:rFonts w:asciiTheme="minorHAnsi" w:hAnsiTheme="minorHAnsi" w:cstheme="minorHAnsi"/>
          <w:sz w:val="22"/>
          <w:szCs w:val="22"/>
        </w:rPr>
        <w:t>duplication</w:t>
      </w:r>
      <w:r w:rsidR="00D91ED4" w:rsidRPr="004E78B4">
        <w:rPr>
          <w:rFonts w:asciiTheme="minorHAnsi" w:hAnsiTheme="minorHAnsi" w:cstheme="minorHAnsi"/>
          <w:sz w:val="22"/>
          <w:szCs w:val="22"/>
        </w:rPr>
        <w:t xml:space="preserve">. Furthermore, </w:t>
      </w:r>
      <w:r w:rsidR="005D695A" w:rsidRPr="004E78B4">
        <w:rPr>
          <w:rFonts w:asciiTheme="minorHAnsi" w:hAnsiTheme="minorHAnsi" w:cstheme="minorHAnsi"/>
          <w:sz w:val="22"/>
          <w:szCs w:val="22"/>
        </w:rPr>
        <w:t xml:space="preserve">competing standards </w:t>
      </w:r>
      <w:r w:rsidR="004E78B4" w:rsidRPr="004E78B4">
        <w:rPr>
          <w:rFonts w:asciiTheme="minorHAnsi" w:hAnsiTheme="minorHAnsi" w:cstheme="minorHAnsi"/>
          <w:sz w:val="22"/>
          <w:szCs w:val="22"/>
        </w:rPr>
        <w:t>create barriers to</w:t>
      </w:r>
      <w:r w:rsidR="005D695A" w:rsidRPr="004E78B4">
        <w:rPr>
          <w:rFonts w:asciiTheme="minorHAnsi" w:hAnsiTheme="minorHAnsi" w:cstheme="minorHAnsi"/>
          <w:sz w:val="22"/>
          <w:szCs w:val="22"/>
        </w:rPr>
        <w:t xml:space="preserve"> </w:t>
      </w:r>
      <w:r w:rsidR="003400B8" w:rsidRPr="004E78B4">
        <w:rPr>
          <w:rFonts w:asciiTheme="minorHAnsi" w:hAnsiTheme="minorHAnsi" w:cstheme="minorHAnsi"/>
          <w:sz w:val="22"/>
          <w:szCs w:val="22"/>
        </w:rPr>
        <w:t xml:space="preserve">further development </w:t>
      </w:r>
      <w:r w:rsidR="00C42277" w:rsidRPr="00CF46ED">
        <w:rPr>
          <w:rFonts w:ascii="Calibri" w:eastAsia="Calibri" w:hAnsi="Calibri" w:cs="Calibri"/>
          <w:noProof/>
        </w:rPr>
        <mc:AlternateContent>
          <mc:Choice Requires="wpg">
            <w:drawing>
              <wp:anchor distT="0" distB="0" distL="114300" distR="114300" simplePos="0" relativeHeight="251665408" behindDoc="0" locked="0" layoutInCell="1" allowOverlap="1" wp14:anchorId="2CD2576D" wp14:editId="7C6758CB">
                <wp:simplePos x="0" y="0"/>
                <wp:positionH relativeFrom="page">
                  <wp:posOffset>5984875</wp:posOffset>
                </wp:positionH>
                <wp:positionV relativeFrom="margin">
                  <wp:posOffset>692785</wp:posOffset>
                </wp:positionV>
                <wp:extent cx="1447800" cy="3911600"/>
                <wp:effectExtent l="0" t="0" r="19050" b="12700"/>
                <wp:wrapSquare wrapText="bothSides"/>
                <wp:docPr id="211" name="Group 211"/>
                <wp:cNvGraphicFramePr/>
                <a:graphic xmlns:a="http://schemas.openxmlformats.org/drawingml/2006/main">
                  <a:graphicData uri="http://schemas.microsoft.com/office/word/2010/wordprocessingGroup">
                    <wpg:wgp>
                      <wpg:cNvGrpSpPr/>
                      <wpg:grpSpPr>
                        <a:xfrm>
                          <a:off x="0" y="0"/>
                          <a:ext cx="1447800" cy="3911600"/>
                          <a:chOff x="5218" y="0"/>
                          <a:chExt cx="2454773" cy="9500877"/>
                        </a:xfrm>
                      </wpg:grpSpPr>
                      <wps:wsp>
                        <wps:cNvPr id="212" name="AutoShape 14"/>
                        <wps:cNvSpPr>
                          <a:spLocks noChangeArrowheads="1"/>
                        </wps:cNvSpPr>
                        <wps:spPr bwMode="auto">
                          <a:xfrm>
                            <a:off x="5218" y="0"/>
                            <a:ext cx="2454773" cy="9500877"/>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14:paraId="36EBE824" w14:textId="5D797999" w:rsidR="00CF46ED" w:rsidRPr="00C42277" w:rsidRDefault="00CF46ED" w:rsidP="00C42277">
                              <w:pPr>
                                <w:spacing w:after="240" w:line="240" w:lineRule="auto"/>
                                <w:rPr>
                                  <w:rFonts w:asciiTheme="majorHAnsi" w:eastAsiaTheme="majorEastAsia" w:hAnsiTheme="majorHAnsi" w:cstheme="majorBidi"/>
                                  <w:b/>
                                  <w:color w:val="5B9BD5" w:themeColor="accent1"/>
                                  <w:sz w:val="40"/>
                                  <w:szCs w:val="40"/>
                                </w:rPr>
                              </w:pPr>
                              <w:r w:rsidRPr="00C42277">
                                <w:rPr>
                                  <w:rFonts w:asciiTheme="majorHAnsi" w:eastAsiaTheme="majorEastAsia" w:hAnsiTheme="majorHAnsi" w:cstheme="majorBidi"/>
                                  <w:b/>
                                  <w:color w:val="5B9BD5" w:themeColor="accent1"/>
                                  <w:sz w:val="40"/>
                                  <w:szCs w:val="40"/>
                                </w:rPr>
                                <w:t>Health IT Standards</w:t>
                              </w:r>
                            </w:p>
                            <w:p w14:paraId="0C1A93F5" w14:textId="25B41E08" w:rsidR="00CF46ED" w:rsidRDefault="00CF46ED" w:rsidP="00CF46ED">
                              <w:pPr>
                                <w:rPr>
                                  <w:color w:val="44546A" w:themeColor="text2"/>
                                </w:rPr>
                              </w:pPr>
                              <w:r>
                                <w:t xml:space="preserve">For further information about </w:t>
                              </w:r>
                              <w:r w:rsidR="00D059DE">
                                <w:t>h</w:t>
                              </w:r>
                              <w:r>
                                <w:t xml:space="preserve">ealth IT </w:t>
                              </w:r>
                              <w:r w:rsidR="00D059DE">
                                <w:t>s</w:t>
                              </w:r>
                              <w:r>
                                <w:t xml:space="preserve">tandards, please reference the white paper </w:t>
                              </w:r>
                              <w:hyperlink r:id="rId13" w:history="1">
                                <w:r w:rsidRPr="00CF46ED">
                                  <w:rPr>
                                    <w:rStyle w:val="Hyperlink"/>
                                    <w:i/>
                                  </w:rPr>
                                  <w:t>Evaluating Health IT Standards</w:t>
                                </w:r>
                              </w:hyperlink>
                              <w:r w:rsidRPr="009F4FB4">
                                <w:t>, pub</w:t>
                              </w:r>
                              <w:r>
                                <w:t>lished by Healthcare Information Management and Systems Society.</w:t>
                              </w:r>
                            </w:p>
                          </w:txbxContent>
                        </wps:txbx>
                        <wps:bodyPr rot="0" vert="horz" wrap="square" lIns="182880" tIns="457200" rIns="182880" bIns="73152" anchor="t" anchorCtr="0" upright="1">
                          <a:noAutofit/>
                        </wps:bodyPr>
                      </wps:wsp>
                      <wps:wsp>
                        <wps:cNvPr id="213" name="Rectangle 213"/>
                        <wps:cNvSpPr/>
                        <wps:spPr>
                          <a:xfrm>
                            <a:off x="71920" y="86039"/>
                            <a:ext cx="2331721" cy="47934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AAD0F4" w14:textId="77777777" w:rsidR="00CF46ED" w:rsidRDefault="00CF46ED">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1F0E43" w14:textId="77777777" w:rsidR="00CF46ED" w:rsidRDefault="00CF46ED">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D2576D" id="Group 211" o:spid="_x0000_s1026" style="position:absolute;margin-left:471.25pt;margin-top:54.55pt;width:114pt;height:308pt;z-index:251665408;mso-position-horizontal-relative:page;mso-position-vertical-relative:margin" coordorigin="52" coordsize="24547,95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">
                <v:rect id="AutoShape 14" o:spid="_x0000_s1027" style="position:absolute;left:52;width:24547;height:95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36EBE824" w14:textId="5D797999" w:rsidR="00CF46ED" w:rsidRPr="00C42277" w:rsidRDefault="00CF46ED" w:rsidP="00C42277">
                        <w:pPr>
                          <w:spacing w:after="240" w:line="240" w:lineRule="auto"/>
                          <w:rPr>
                            <w:rFonts w:asciiTheme="majorHAnsi" w:eastAsiaTheme="majorEastAsia" w:hAnsiTheme="majorHAnsi" w:cstheme="majorBidi"/>
                            <w:b/>
                            <w:color w:val="5B9BD5" w:themeColor="accent1"/>
                            <w:sz w:val="40"/>
                            <w:szCs w:val="40"/>
                          </w:rPr>
                        </w:pPr>
                        <w:r w:rsidRPr="00C42277">
                          <w:rPr>
                            <w:rFonts w:asciiTheme="majorHAnsi" w:eastAsiaTheme="majorEastAsia" w:hAnsiTheme="majorHAnsi" w:cstheme="majorBidi"/>
                            <w:b/>
                            <w:color w:val="5B9BD5" w:themeColor="accent1"/>
                            <w:sz w:val="40"/>
                            <w:szCs w:val="40"/>
                          </w:rPr>
                          <w:t>Health IT Standards</w:t>
                        </w:r>
                      </w:p>
                      <w:p w14:paraId="0C1A93F5" w14:textId="25B41E08" w:rsidR="00CF46ED" w:rsidRDefault="00CF46ED" w:rsidP="00CF46ED">
                        <w:pPr>
                          <w:rPr>
                            <w:color w:val="44546A" w:themeColor="text2"/>
                          </w:rPr>
                        </w:pPr>
                        <w:r>
                          <w:t xml:space="preserve">For further information about </w:t>
                        </w:r>
                        <w:r w:rsidR="00D059DE">
                          <w:t>h</w:t>
                        </w:r>
                        <w:r>
                          <w:t xml:space="preserve">ealth IT </w:t>
                        </w:r>
                        <w:r w:rsidR="00D059DE">
                          <w:t>s</w:t>
                        </w:r>
                        <w:r>
                          <w:t xml:space="preserve">tandards, please reference the white paper </w:t>
                        </w:r>
                        <w:hyperlink r:id="rId14" w:history="1">
                          <w:r w:rsidRPr="00CF46ED">
                            <w:rPr>
                              <w:rStyle w:val="Hyperlink"/>
                              <w:i/>
                            </w:rPr>
                            <w:t>Evaluating Health IT Standards</w:t>
                          </w:r>
                        </w:hyperlink>
                        <w:r w:rsidRPr="009F4FB4">
                          <w:t>, pub</w:t>
                        </w:r>
                        <w:r>
                          <w:t>lished by Healthcare Information Management and Systems Society.</w:t>
                        </w:r>
                      </w:p>
                    </w:txbxContent>
                  </v:textbox>
                </v:rect>
                <v:rect id="Rectangle 213" o:spid="_x0000_s1028" style="position:absolute;left:719;top:860;width:23317;height:47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72AAD0F4" w14:textId="77777777" w:rsidR="00CF46ED" w:rsidRDefault="00CF46ED">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5b9bd5 [3204]" stroked="f" strokeweight="1pt">
                  <v:textbox inset="14.4pt,14.4pt,14.4pt,28.8pt">
                    <w:txbxContent>
                      <w:p w14:paraId="1E1F0E43" w14:textId="77777777" w:rsidR="00CF46ED" w:rsidRDefault="00CF46ED">
                        <w:pPr>
                          <w:spacing w:before="240"/>
                          <w:rPr>
                            <w:color w:val="FFFFFF" w:themeColor="background1"/>
                          </w:rPr>
                        </w:pPr>
                      </w:p>
                    </w:txbxContent>
                  </v:textbox>
                </v:rect>
                <w10:wrap type="square" anchorx="page" anchory="margin"/>
              </v:group>
            </w:pict>
          </mc:Fallback>
        </mc:AlternateContent>
      </w:r>
      <w:r w:rsidR="003400B8" w:rsidRPr="004E78B4">
        <w:rPr>
          <w:rFonts w:asciiTheme="minorHAnsi" w:hAnsiTheme="minorHAnsi" w:cstheme="minorHAnsi"/>
          <w:sz w:val="22"/>
          <w:szCs w:val="22"/>
        </w:rPr>
        <w:t xml:space="preserve">and </w:t>
      </w:r>
      <w:r w:rsidR="007B16F3" w:rsidRPr="004E78B4">
        <w:rPr>
          <w:rFonts w:asciiTheme="minorHAnsi" w:hAnsiTheme="minorHAnsi" w:cstheme="minorHAnsi"/>
          <w:sz w:val="22"/>
          <w:szCs w:val="22"/>
        </w:rPr>
        <w:t xml:space="preserve">progress of </w:t>
      </w:r>
      <w:r w:rsidR="00DF0D64" w:rsidRPr="004E78B4">
        <w:rPr>
          <w:rFonts w:asciiTheme="minorHAnsi" w:hAnsiTheme="minorHAnsi" w:cstheme="minorHAnsi"/>
          <w:sz w:val="22"/>
          <w:szCs w:val="22"/>
        </w:rPr>
        <w:t>the</w:t>
      </w:r>
      <w:r w:rsidR="003400B8" w:rsidRPr="004E78B4">
        <w:rPr>
          <w:rFonts w:asciiTheme="minorHAnsi" w:hAnsiTheme="minorHAnsi" w:cstheme="minorHAnsi"/>
          <w:sz w:val="22"/>
          <w:szCs w:val="22"/>
        </w:rPr>
        <w:t xml:space="preserve"> standardized </w:t>
      </w:r>
      <w:r w:rsidR="00DF0D64" w:rsidRPr="004E78B4">
        <w:rPr>
          <w:rFonts w:asciiTheme="minorHAnsi" w:hAnsiTheme="minorHAnsi" w:cstheme="minorHAnsi"/>
          <w:sz w:val="22"/>
          <w:szCs w:val="22"/>
        </w:rPr>
        <w:t xml:space="preserve">exchange and use of </w:t>
      </w:r>
      <w:r w:rsidR="00DB0941" w:rsidRPr="004E78B4">
        <w:rPr>
          <w:rFonts w:asciiTheme="minorHAnsi" w:hAnsiTheme="minorHAnsi" w:cstheme="minorHAnsi"/>
          <w:sz w:val="22"/>
          <w:szCs w:val="22"/>
        </w:rPr>
        <w:t>protected</w:t>
      </w:r>
      <w:r w:rsidR="00DF0D64" w:rsidRPr="004E78B4">
        <w:rPr>
          <w:rFonts w:asciiTheme="minorHAnsi" w:hAnsiTheme="minorHAnsi" w:cstheme="minorHAnsi"/>
          <w:sz w:val="22"/>
          <w:szCs w:val="22"/>
        </w:rPr>
        <w:t xml:space="preserve"> health information</w:t>
      </w:r>
      <w:r w:rsidR="009B7AA7" w:rsidRPr="004E78B4">
        <w:rPr>
          <w:rFonts w:asciiTheme="minorHAnsi" w:hAnsiTheme="minorHAnsi" w:cstheme="minorHAnsi"/>
          <w:sz w:val="22"/>
          <w:szCs w:val="22"/>
        </w:rPr>
        <w:t xml:space="preserve"> (PHI)</w:t>
      </w:r>
      <w:r w:rsidR="00DF0D64" w:rsidRPr="004E78B4">
        <w:rPr>
          <w:rFonts w:asciiTheme="minorHAnsi" w:hAnsiTheme="minorHAnsi" w:cstheme="minorHAnsi"/>
          <w:sz w:val="22"/>
          <w:szCs w:val="22"/>
        </w:rPr>
        <w:t>.</w:t>
      </w:r>
      <w:r w:rsidR="00DF0D64" w:rsidRPr="005D695A">
        <w:rPr>
          <w:rFonts w:asciiTheme="minorHAnsi" w:hAnsiTheme="minorHAnsi" w:cstheme="minorHAnsi"/>
          <w:sz w:val="22"/>
          <w:szCs w:val="22"/>
        </w:rPr>
        <w:t xml:space="preserve"> </w:t>
      </w:r>
    </w:p>
    <w:p w14:paraId="0CE2C882" w14:textId="77777777" w:rsidR="00D059DE" w:rsidRDefault="00D059DE" w:rsidP="00891EC0">
      <w:pPr>
        <w:pStyle w:val="Heading2"/>
      </w:pPr>
      <w:bookmarkStart w:id="12" w:name="_Hlk521319254"/>
      <w:bookmarkStart w:id="13" w:name="_Toc521321972"/>
      <w:bookmarkStart w:id="14" w:name="_Toc5370681"/>
    </w:p>
    <w:p w14:paraId="028B703C" w14:textId="77777777" w:rsidR="00D059DE" w:rsidRDefault="00D059DE" w:rsidP="00891EC0">
      <w:pPr>
        <w:pStyle w:val="Heading2"/>
      </w:pPr>
    </w:p>
    <w:p w14:paraId="2D85F3CB" w14:textId="77777777" w:rsidR="00D059DE" w:rsidRDefault="00D059DE" w:rsidP="00891EC0">
      <w:pPr>
        <w:pStyle w:val="Heading2"/>
      </w:pPr>
    </w:p>
    <w:p w14:paraId="522E3062" w14:textId="77777777" w:rsidR="00D059DE" w:rsidRDefault="00D059DE" w:rsidP="00891EC0">
      <w:pPr>
        <w:pStyle w:val="Heading2"/>
      </w:pPr>
    </w:p>
    <w:p w14:paraId="7C6FBB77" w14:textId="77777777" w:rsidR="00D059DE" w:rsidRDefault="00D059DE" w:rsidP="00891EC0">
      <w:pPr>
        <w:pStyle w:val="Heading2"/>
      </w:pPr>
    </w:p>
    <w:p w14:paraId="6B8D1977" w14:textId="77777777" w:rsidR="002442F8" w:rsidRDefault="002442F8" w:rsidP="00891EC0">
      <w:pPr>
        <w:pStyle w:val="Heading2"/>
      </w:pPr>
    </w:p>
    <w:p w14:paraId="56977947" w14:textId="739D1074" w:rsidR="006264A0" w:rsidRPr="00C94B77" w:rsidRDefault="00B239EA" w:rsidP="00891EC0">
      <w:pPr>
        <w:pStyle w:val="Heading2"/>
        <w:rPr>
          <w:rFonts w:eastAsia="Calibri"/>
        </w:rPr>
      </w:pPr>
      <w:r>
        <w:t xml:space="preserve">HIT </w:t>
      </w:r>
      <w:r w:rsidRPr="00B239EA">
        <w:t xml:space="preserve">Data Exchange </w:t>
      </w:r>
      <w:r w:rsidR="00377AE3" w:rsidRPr="00C16846">
        <w:t>Standards</w:t>
      </w:r>
      <w:bookmarkEnd w:id="12"/>
      <w:bookmarkEnd w:id="13"/>
      <w:bookmarkEnd w:id="14"/>
    </w:p>
    <w:p w14:paraId="0C147422" w14:textId="71D43E79" w:rsidR="006264A0" w:rsidRDefault="00591101" w:rsidP="00C94B77">
      <w:pPr>
        <w:spacing w:after="0"/>
        <w:rPr>
          <w:rFonts w:ascii="Calibri" w:eastAsia="Calibri" w:hAnsi="Calibri" w:cs="Calibri"/>
        </w:rPr>
      </w:pPr>
      <w:r>
        <w:rPr>
          <w:rFonts w:ascii="Calibri" w:eastAsia="Calibri" w:hAnsi="Calibri" w:cs="Calibri"/>
        </w:rPr>
        <w:t>HI</w:t>
      </w:r>
      <w:r w:rsidR="00B239EA">
        <w:rPr>
          <w:rFonts w:ascii="Calibri" w:eastAsia="Calibri" w:hAnsi="Calibri" w:cs="Calibri"/>
        </w:rPr>
        <w:t>T</w:t>
      </w:r>
      <w:r>
        <w:rPr>
          <w:rFonts w:ascii="Calibri" w:eastAsia="Calibri" w:hAnsi="Calibri" w:cs="Calibri"/>
        </w:rPr>
        <w:t xml:space="preserve"> data exchange standards have evolved through the years to improve messaging and to drive high data quality. These structure and syntax standards include, but are not limited to:</w:t>
      </w:r>
    </w:p>
    <w:p w14:paraId="4F499820" w14:textId="6C7580BC" w:rsidR="00E3708D" w:rsidRDefault="00E3708D" w:rsidP="00C94B77">
      <w:pPr>
        <w:spacing w:after="0"/>
        <w:rPr>
          <w:rFonts w:ascii="Calibri" w:eastAsia="Calibri" w:hAnsi="Calibri" w:cs="Calibri"/>
        </w:rPr>
      </w:pPr>
    </w:p>
    <w:p w14:paraId="6AEAF346" w14:textId="7E7FA895" w:rsidR="00C94B77" w:rsidRDefault="00C94B77" w:rsidP="00C94B77">
      <w:pPr>
        <w:numPr>
          <w:ilvl w:val="0"/>
          <w:numId w:val="2"/>
        </w:numPr>
        <w:ind w:left="720" w:hanging="360"/>
        <w:rPr>
          <w:rFonts w:ascii="Calibri" w:eastAsia="Calibri" w:hAnsi="Calibri" w:cs="Calibri"/>
        </w:rPr>
      </w:pPr>
      <w:r>
        <w:rPr>
          <w:rFonts w:ascii="Calibri" w:eastAsia="Calibri" w:hAnsi="Calibri" w:cs="Calibri"/>
          <w:color w:val="222222"/>
          <w:shd w:val="clear" w:color="auto" w:fill="FFFFFF"/>
        </w:rPr>
        <w:t>Digital Imaging and Communications in Medicine </w:t>
      </w:r>
      <w:r>
        <w:rPr>
          <w:rFonts w:ascii="Calibri" w:eastAsia="Calibri" w:hAnsi="Calibri" w:cs="Calibri"/>
        </w:rPr>
        <w:t>(DICOM): Imaging</w:t>
      </w:r>
    </w:p>
    <w:p w14:paraId="07B7FFF1" w14:textId="70A5CB4D" w:rsidR="006264A0" w:rsidRDefault="00591101">
      <w:pPr>
        <w:numPr>
          <w:ilvl w:val="0"/>
          <w:numId w:val="2"/>
        </w:numPr>
        <w:ind w:left="720" w:hanging="360"/>
        <w:rPr>
          <w:rFonts w:ascii="Calibri" w:eastAsia="Calibri" w:hAnsi="Calibri" w:cs="Calibri"/>
        </w:rPr>
      </w:pPr>
      <w:r>
        <w:rPr>
          <w:rFonts w:ascii="Calibri" w:eastAsia="Calibri" w:hAnsi="Calibri" w:cs="Calibri"/>
        </w:rPr>
        <w:t>HL7v2.x: Messaging</w:t>
      </w:r>
    </w:p>
    <w:p w14:paraId="38E26DE2" w14:textId="00AA10E9" w:rsidR="006264A0" w:rsidRDefault="00591101">
      <w:pPr>
        <w:numPr>
          <w:ilvl w:val="0"/>
          <w:numId w:val="2"/>
        </w:numPr>
        <w:ind w:left="720" w:hanging="360"/>
        <w:rPr>
          <w:rFonts w:ascii="Calibri" w:eastAsia="Calibri" w:hAnsi="Calibri" w:cs="Calibri"/>
        </w:rPr>
      </w:pPr>
      <w:r>
        <w:rPr>
          <w:rFonts w:ascii="Calibri" w:eastAsia="Calibri" w:hAnsi="Calibri" w:cs="Calibri"/>
        </w:rPr>
        <w:t xml:space="preserve">HL7v3: </w:t>
      </w:r>
      <w:r>
        <w:rPr>
          <w:rFonts w:ascii="Calibri" w:eastAsia="Calibri" w:hAnsi="Calibri" w:cs="Calibri"/>
          <w:shd w:val="clear" w:color="auto" w:fill="FFFFFF"/>
        </w:rPr>
        <w:t>Clinical Document Architecture</w:t>
      </w:r>
      <w:r>
        <w:rPr>
          <w:rFonts w:ascii="Calibri" w:eastAsia="Calibri" w:hAnsi="Calibri" w:cs="Calibri"/>
        </w:rPr>
        <w:t xml:space="preserve"> (CDA),</w:t>
      </w:r>
      <w:r w:rsidR="007909DF">
        <w:rPr>
          <w:rFonts w:ascii="Calibri" w:eastAsia="Calibri" w:hAnsi="Calibri" w:cs="Calibri"/>
        </w:rPr>
        <w:t xml:space="preserve"> </w:t>
      </w:r>
      <w:r>
        <w:rPr>
          <w:rFonts w:ascii="Calibri" w:eastAsia="Calibri" w:hAnsi="Calibri" w:cs="Calibri"/>
        </w:rPr>
        <w:t xml:space="preserve">C-CDA, Continuity of Care Document (CCD) </w:t>
      </w:r>
      <w:r w:rsidR="00D059DE">
        <w:rPr>
          <w:rFonts w:ascii="Calibri" w:eastAsia="Calibri" w:hAnsi="Calibri" w:cs="Calibri"/>
        </w:rPr>
        <w:t>d</w:t>
      </w:r>
      <w:r>
        <w:rPr>
          <w:rFonts w:ascii="Calibri" w:eastAsia="Calibri" w:hAnsi="Calibri" w:cs="Calibri"/>
        </w:rPr>
        <w:t>ocuments</w:t>
      </w:r>
    </w:p>
    <w:p w14:paraId="619E4CD1" w14:textId="1061EA5A" w:rsidR="006264A0" w:rsidRDefault="00591101">
      <w:pPr>
        <w:numPr>
          <w:ilvl w:val="0"/>
          <w:numId w:val="2"/>
        </w:numPr>
        <w:ind w:left="720" w:hanging="360"/>
        <w:rPr>
          <w:rFonts w:ascii="Calibri" w:eastAsia="Calibri" w:hAnsi="Calibri" w:cs="Calibri"/>
        </w:rPr>
      </w:pPr>
      <w:r>
        <w:rPr>
          <w:rFonts w:ascii="Calibri" w:eastAsia="Calibri" w:hAnsi="Calibri" w:cs="Calibri"/>
        </w:rPr>
        <w:t xml:space="preserve">HL7 FHIR: an </w:t>
      </w:r>
      <w:r w:rsidR="00D059DE">
        <w:rPr>
          <w:rFonts w:ascii="Calibri" w:eastAsia="Calibri" w:hAnsi="Calibri" w:cs="Calibri"/>
        </w:rPr>
        <w:t>e</w:t>
      </w:r>
      <w:r>
        <w:rPr>
          <w:rFonts w:ascii="Calibri" w:eastAsia="Calibri" w:hAnsi="Calibri" w:cs="Calibri"/>
        </w:rPr>
        <w:t>merging web services and document standard, currently in trial use</w:t>
      </w:r>
    </w:p>
    <w:p w14:paraId="6421DA20" w14:textId="17683788" w:rsidR="00E3708D" w:rsidRPr="00955976" w:rsidRDefault="00495286" w:rsidP="00955976">
      <w:pPr>
        <w:numPr>
          <w:ilvl w:val="0"/>
          <w:numId w:val="2"/>
        </w:numPr>
        <w:ind w:left="720" w:hanging="360"/>
        <w:rPr>
          <w:rFonts w:ascii="Calibri" w:eastAsia="Calibri" w:hAnsi="Calibri" w:cs="Calibri"/>
        </w:rPr>
      </w:pPr>
      <w:r w:rsidRPr="00495286">
        <w:rPr>
          <w:rFonts w:ascii="Calibri" w:eastAsia="Calibri" w:hAnsi="Calibri" w:cs="Calibri"/>
        </w:rPr>
        <w:t>National Council for Prescription Drug Programs (NCPDP): developed by the American National Standards Institute, an accredited standards development organization providing healthcare solutions</w:t>
      </w:r>
      <w:r w:rsidR="00B854A2">
        <w:rPr>
          <w:rFonts w:ascii="Calibri" w:eastAsia="Calibri" w:hAnsi="Calibri" w:cs="Calibri"/>
        </w:rPr>
        <w:t xml:space="preserve">, largely to </w:t>
      </w:r>
      <w:r w:rsidRPr="00495286">
        <w:rPr>
          <w:rFonts w:ascii="Calibri" w:eastAsia="Calibri" w:hAnsi="Calibri" w:cs="Calibri"/>
        </w:rPr>
        <w:t>the pharmaceutical industry</w:t>
      </w:r>
    </w:p>
    <w:p w14:paraId="007CCC55" w14:textId="7D2EC03A" w:rsidR="00975D9A" w:rsidRPr="00C94B77" w:rsidRDefault="00975D9A" w:rsidP="00975D9A">
      <w:pPr>
        <w:pStyle w:val="Heading2"/>
        <w:rPr>
          <w:rFonts w:eastAsia="Calibri"/>
        </w:rPr>
      </w:pPr>
      <w:bookmarkStart w:id="15" w:name="_Toc521321973"/>
      <w:bookmarkStart w:id="16" w:name="_Toc5370682"/>
      <w:r>
        <w:t>H</w:t>
      </w:r>
      <w:r w:rsidR="00D059DE">
        <w:t xml:space="preserve">ealth </w:t>
      </w:r>
      <w:r>
        <w:t xml:space="preserve">IT </w:t>
      </w:r>
      <w:r w:rsidRPr="00975D9A">
        <w:t xml:space="preserve">Vocabulary </w:t>
      </w:r>
      <w:r w:rsidRPr="00C16846">
        <w:t>Standards</w:t>
      </w:r>
      <w:bookmarkEnd w:id="15"/>
      <w:bookmarkEnd w:id="16"/>
    </w:p>
    <w:p w14:paraId="0DFD24C9" w14:textId="266E63CB" w:rsidR="00E3708D" w:rsidRDefault="00975D9A" w:rsidP="00A32740">
      <w:pPr>
        <w:rPr>
          <w:rFonts w:ascii="Calibri" w:eastAsia="Calibri" w:hAnsi="Calibri" w:cs="Calibri"/>
        </w:rPr>
      </w:pPr>
      <w:bookmarkStart w:id="17" w:name="_Hlk521319290"/>
      <w:r>
        <w:rPr>
          <w:rFonts w:ascii="Calibri" w:eastAsia="Calibri" w:hAnsi="Calibri" w:cs="Calibri"/>
        </w:rPr>
        <w:t>H</w:t>
      </w:r>
      <w:r w:rsidR="00D059DE">
        <w:rPr>
          <w:rFonts w:ascii="Calibri" w:eastAsia="Calibri" w:hAnsi="Calibri" w:cs="Calibri"/>
        </w:rPr>
        <w:t xml:space="preserve">ealth </w:t>
      </w:r>
      <w:r>
        <w:rPr>
          <w:rFonts w:ascii="Calibri" w:eastAsia="Calibri" w:hAnsi="Calibri" w:cs="Calibri"/>
        </w:rPr>
        <w:t>IT v</w:t>
      </w:r>
      <w:r w:rsidR="00591101">
        <w:rPr>
          <w:rFonts w:ascii="Calibri" w:eastAsia="Calibri" w:hAnsi="Calibri" w:cs="Calibri"/>
        </w:rPr>
        <w:t xml:space="preserve">ocabulary </w:t>
      </w:r>
      <w:bookmarkEnd w:id="17"/>
      <w:r w:rsidR="00591101">
        <w:rPr>
          <w:rFonts w:ascii="Calibri" w:eastAsia="Calibri" w:hAnsi="Calibri" w:cs="Calibri"/>
        </w:rPr>
        <w:t xml:space="preserve">standards were developed to ensure </w:t>
      </w:r>
      <w:r w:rsidR="002F11BB" w:rsidRPr="002F11BB">
        <w:rPr>
          <w:rFonts w:ascii="Calibri" w:eastAsia="Calibri" w:hAnsi="Calibri" w:cs="Calibri"/>
        </w:rPr>
        <w:t>semantic and syntactical consistency</w:t>
      </w:r>
      <w:r w:rsidR="00591101">
        <w:rPr>
          <w:rFonts w:ascii="Calibri" w:eastAsia="Calibri" w:hAnsi="Calibri" w:cs="Calibri"/>
        </w:rPr>
        <w:t xml:space="preserve"> with the characteristics and attributes for clinically specific patient medical record information terminologies. Examples of relevant vocabulary standards include:</w:t>
      </w:r>
    </w:p>
    <w:p w14:paraId="7DCC7748" w14:textId="4C87A902" w:rsidR="006264A0" w:rsidRDefault="00591101">
      <w:pPr>
        <w:numPr>
          <w:ilvl w:val="0"/>
          <w:numId w:val="3"/>
        </w:numPr>
        <w:ind w:left="720" w:hanging="360"/>
        <w:rPr>
          <w:rFonts w:ascii="Calibri" w:eastAsia="Calibri" w:hAnsi="Calibri" w:cs="Calibri"/>
        </w:rPr>
      </w:pPr>
      <w:r>
        <w:rPr>
          <w:rFonts w:ascii="Calibri" w:eastAsia="Calibri" w:hAnsi="Calibri" w:cs="Calibri"/>
        </w:rPr>
        <w:t>SNOMED CT (</w:t>
      </w:r>
      <w:r>
        <w:rPr>
          <w:rFonts w:ascii="Calibri" w:eastAsia="Calibri" w:hAnsi="Calibri" w:cs="Calibri"/>
          <w:color w:val="222222"/>
          <w:shd w:val="clear" w:color="auto" w:fill="FFFFFF"/>
        </w:rPr>
        <w:t>Systematized Nomenclature of Medicine-Clinical Terms):</w:t>
      </w:r>
      <w:r>
        <w:rPr>
          <w:rFonts w:ascii="Calibri" w:eastAsia="Calibri" w:hAnsi="Calibri" w:cs="Calibri"/>
        </w:rPr>
        <w:t xml:space="preserve"> developed by the International Health Terminology Standards Development Organization (IHTSDO), it is comprehensive, multilingual clinical healthcare terminology</w:t>
      </w:r>
      <w:r w:rsidR="00B854A2">
        <w:rPr>
          <w:rFonts w:ascii="Calibri" w:eastAsia="Calibri" w:hAnsi="Calibri" w:cs="Calibri"/>
        </w:rPr>
        <w:t xml:space="preserve"> originally intended</w:t>
      </w:r>
      <w:r>
        <w:rPr>
          <w:rFonts w:ascii="Calibri" w:eastAsia="Calibri" w:hAnsi="Calibri" w:cs="Calibri"/>
        </w:rPr>
        <w:t xml:space="preserve"> to record observations for pathologists </w:t>
      </w:r>
    </w:p>
    <w:p w14:paraId="28090968" w14:textId="0B6B82E1" w:rsidR="006264A0" w:rsidRDefault="00591101">
      <w:pPr>
        <w:numPr>
          <w:ilvl w:val="0"/>
          <w:numId w:val="3"/>
        </w:numPr>
        <w:ind w:left="720" w:hanging="360"/>
        <w:rPr>
          <w:rFonts w:ascii="Calibri" w:eastAsia="Calibri" w:hAnsi="Calibri" w:cs="Calibri"/>
        </w:rPr>
      </w:pPr>
      <w:r>
        <w:rPr>
          <w:rFonts w:ascii="Calibri" w:eastAsia="Calibri" w:hAnsi="Calibri" w:cs="Calibri"/>
        </w:rPr>
        <w:t>RxNorm: developed by the National Library of Medicine (NLM), it provides normalized names for clinical drugs and links its names to many of the drug vocabularies commonly used in pharmacy management and drug interaction software</w:t>
      </w:r>
    </w:p>
    <w:p w14:paraId="7DBAA52E" w14:textId="73F731B8" w:rsidR="006264A0" w:rsidRDefault="00591101">
      <w:pPr>
        <w:numPr>
          <w:ilvl w:val="0"/>
          <w:numId w:val="3"/>
        </w:numPr>
        <w:ind w:left="720" w:hanging="360"/>
        <w:rPr>
          <w:rFonts w:ascii="Calibri" w:eastAsia="Calibri" w:hAnsi="Calibri" w:cs="Calibri"/>
        </w:rPr>
      </w:pPr>
      <w:r>
        <w:rPr>
          <w:rFonts w:ascii="Calibri" w:eastAsia="Calibri" w:hAnsi="Calibri" w:cs="Calibri"/>
        </w:rPr>
        <w:t>LOINC (Logical Observation Identifiers Names and Codes): developed by Regenstrief, LOINC serves as an international standard for identifying health measurements, observations, and documents</w:t>
      </w:r>
      <w:r w:rsidR="00D059DE">
        <w:rPr>
          <w:rFonts w:ascii="Calibri" w:eastAsia="Calibri" w:hAnsi="Calibri" w:cs="Calibri"/>
        </w:rPr>
        <w:t>,</w:t>
      </w:r>
      <w:r w:rsidR="00B854A2">
        <w:rPr>
          <w:rFonts w:ascii="Calibri" w:eastAsia="Calibri" w:hAnsi="Calibri" w:cs="Calibri"/>
        </w:rPr>
        <w:t xml:space="preserve"> and</w:t>
      </w:r>
      <w:r>
        <w:rPr>
          <w:rFonts w:ascii="Calibri" w:eastAsia="Calibri" w:hAnsi="Calibri" w:cs="Calibri"/>
        </w:rPr>
        <w:t xml:space="preserve"> was </w:t>
      </w:r>
      <w:r w:rsidR="00B854A2">
        <w:rPr>
          <w:rFonts w:ascii="Calibri" w:eastAsia="Calibri" w:hAnsi="Calibri" w:cs="Calibri"/>
        </w:rPr>
        <w:t xml:space="preserve">originally intended </w:t>
      </w:r>
      <w:r>
        <w:rPr>
          <w:rFonts w:ascii="Calibri" w:eastAsia="Calibri" w:hAnsi="Calibri" w:cs="Calibri"/>
        </w:rPr>
        <w:t>for reporting lab results</w:t>
      </w:r>
    </w:p>
    <w:p w14:paraId="7C5FE412" w14:textId="450D2CCE" w:rsidR="006264A0" w:rsidRDefault="00591101">
      <w:pPr>
        <w:numPr>
          <w:ilvl w:val="0"/>
          <w:numId w:val="3"/>
        </w:numPr>
        <w:ind w:left="720" w:hanging="360"/>
        <w:rPr>
          <w:rFonts w:ascii="Calibri" w:eastAsia="Calibri" w:hAnsi="Calibri" w:cs="Calibri"/>
        </w:rPr>
      </w:pPr>
      <w:r>
        <w:rPr>
          <w:rFonts w:ascii="Calibri" w:eastAsia="Calibri" w:hAnsi="Calibri" w:cs="Calibri"/>
        </w:rPr>
        <w:t xml:space="preserve">CPT® (Current Procedural Terminology): developed by the American Medical Association (AMA) for the purpose of billing outpatient </w:t>
      </w:r>
      <w:r w:rsidR="00D059DE">
        <w:rPr>
          <w:rFonts w:ascii="Calibri" w:eastAsia="Calibri" w:hAnsi="Calibri" w:cs="Calibri"/>
        </w:rPr>
        <w:t>and</w:t>
      </w:r>
      <w:r>
        <w:rPr>
          <w:rFonts w:ascii="Calibri" w:eastAsia="Calibri" w:hAnsi="Calibri" w:cs="Calibri"/>
        </w:rPr>
        <w:t xml:space="preserve"> office procedures</w:t>
      </w:r>
    </w:p>
    <w:p w14:paraId="05BD8B3E" w14:textId="3B2D009B" w:rsidR="006264A0" w:rsidRDefault="00591101">
      <w:pPr>
        <w:numPr>
          <w:ilvl w:val="0"/>
          <w:numId w:val="3"/>
        </w:numPr>
        <w:ind w:left="720" w:hanging="360"/>
        <w:rPr>
          <w:rFonts w:ascii="Calibri" w:eastAsia="Calibri" w:hAnsi="Calibri" w:cs="Calibri"/>
        </w:rPr>
      </w:pPr>
      <w:r>
        <w:rPr>
          <w:rFonts w:ascii="Calibri" w:eastAsia="Calibri" w:hAnsi="Calibri" w:cs="Calibri"/>
        </w:rPr>
        <w:t>ICD-10 (International Statistical Classification of Diseases and Related Health Problems 10th revision):  a medical classification list developed by the World Health Organization (WHO)</w:t>
      </w:r>
      <w:r w:rsidR="007909DF">
        <w:rPr>
          <w:rFonts w:ascii="Calibri" w:eastAsia="Calibri" w:hAnsi="Calibri" w:cs="Calibri"/>
        </w:rPr>
        <w:t xml:space="preserve">, </w:t>
      </w:r>
      <w:r>
        <w:rPr>
          <w:rFonts w:ascii="Calibri" w:eastAsia="Calibri" w:hAnsi="Calibri" w:cs="Calibri"/>
        </w:rPr>
        <w:t>contain</w:t>
      </w:r>
      <w:r w:rsidR="007909DF">
        <w:rPr>
          <w:rFonts w:ascii="Calibri" w:eastAsia="Calibri" w:hAnsi="Calibri" w:cs="Calibri"/>
        </w:rPr>
        <w:t>ing</w:t>
      </w:r>
      <w:r>
        <w:rPr>
          <w:rFonts w:ascii="Calibri" w:eastAsia="Calibri" w:hAnsi="Calibri" w:cs="Calibri"/>
        </w:rPr>
        <w:t xml:space="preserve"> codes for diseases, signs and symptoms, abnormal findings, complaints, social circumstances, and external causes of injury or diseases. ICD-10 is commonly used for billing purposes</w:t>
      </w:r>
    </w:p>
    <w:p w14:paraId="53937103" w14:textId="7C458D63" w:rsidR="006264A0" w:rsidRDefault="00E24C3C">
      <w:pPr>
        <w:numPr>
          <w:ilvl w:val="0"/>
          <w:numId w:val="3"/>
        </w:numPr>
        <w:ind w:left="720" w:hanging="360"/>
        <w:rPr>
          <w:rFonts w:ascii="Calibri" w:eastAsia="Calibri" w:hAnsi="Calibri" w:cs="Calibri"/>
        </w:rPr>
      </w:pPr>
      <w:r>
        <w:rPr>
          <w:rFonts w:ascii="Calibri" w:eastAsia="Calibri" w:hAnsi="Calibri" w:cs="Calibri"/>
        </w:rPr>
        <w:t>DSM-5 (</w:t>
      </w:r>
      <w:r w:rsidR="00591101">
        <w:rPr>
          <w:rFonts w:ascii="Calibri" w:eastAsia="Calibri" w:hAnsi="Calibri" w:cs="Calibri"/>
        </w:rPr>
        <w:t xml:space="preserve">The Diagnostic and Statistical Manual of Mental Disorders): developed </w:t>
      </w:r>
      <w:r w:rsidR="00EC5DF2">
        <w:rPr>
          <w:rFonts w:ascii="Calibri" w:eastAsia="Calibri" w:hAnsi="Calibri" w:cs="Calibri"/>
        </w:rPr>
        <w:t>and administered</w:t>
      </w:r>
      <w:r w:rsidR="00591101">
        <w:rPr>
          <w:rFonts w:ascii="Calibri" w:eastAsia="Calibri" w:hAnsi="Calibri" w:cs="Calibri"/>
        </w:rPr>
        <w:t xml:space="preserve"> by the American Psychiatric Association (APA), serves as a psychiatric classification and diagnostic reference tool</w:t>
      </w:r>
    </w:p>
    <w:p w14:paraId="0AEE68B0" w14:textId="0047A1A5" w:rsidR="00294FAB" w:rsidRDefault="005A601A" w:rsidP="00D57FCB">
      <w:r>
        <w:t xml:space="preserve">In addition to the standards mentioned above, </w:t>
      </w:r>
      <w:r w:rsidR="00D57FCB">
        <w:t>health information i</w:t>
      </w:r>
      <w:r w:rsidR="0039011C">
        <w:t>s</w:t>
      </w:r>
      <w:r w:rsidR="00D57FCB">
        <w:t xml:space="preserve"> protected by a number of privacy and security laws that proscribe the type of terminology to utilize as well as the protections around the information being shared. </w:t>
      </w:r>
    </w:p>
    <w:p w14:paraId="00046992" w14:textId="5BEA502E" w:rsidR="005A601A" w:rsidRDefault="00F57816" w:rsidP="00D57FCB">
      <w:r w:rsidRPr="00F57816">
        <w:rPr>
          <w:noProof/>
        </w:rPr>
        <w:lastRenderedPageBreak/>
        <w:drawing>
          <wp:inline distT="0" distB="0" distL="0" distR="0" wp14:anchorId="7CFA1D32" wp14:editId="44C0BCC9">
            <wp:extent cx="5943600" cy="2842895"/>
            <wp:effectExtent l="0" t="0" r="0" b="0"/>
            <wp:docPr id="7" name="Picture 3">
              <a:extLst xmlns:a="http://schemas.openxmlformats.org/drawingml/2006/main">
                <a:ext uri="{FF2B5EF4-FFF2-40B4-BE49-F238E27FC236}">
                  <a16:creationId xmlns:a16="http://schemas.microsoft.com/office/drawing/2014/main" id="{26A000A0-378F-433E-AB58-C2B123070A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6A000A0-378F-433E-AB58-C2B123070A2F}"/>
                        </a:ext>
                      </a:extLst>
                    </pic:cNvPr>
                    <pic:cNvPicPr>
                      <a:picLocks noChangeAspect="1"/>
                    </pic:cNvPicPr>
                  </pic:nvPicPr>
                  <pic:blipFill rotWithShape="1">
                    <a:blip r:embed="rId15"/>
                    <a:srcRect l="1166" t="8445" r="1212" b="8553"/>
                    <a:stretch/>
                  </pic:blipFill>
                  <pic:spPr>
                    <a:xfrm>
                      <a:off x="0" y="0"/>
                      <a:ext cx="5943600" cy="2842895"/>
                    </a:xfrm>
                    <a:prstGeom prst="rect">
                      <a:avLst/>
                    </a:prstGeom>
                  </pic:spPr>
                </pic:pic>
              </a:graphicData>
            </a:graphic>
          </wp:inline>
        </w:drawing>
      </w:r>
    </w:p>
    <w:p w14:paraId="0D34702F" w14:textId="257CB042" w:rsidR="00C42277" w:rsidRDefault="00F27FD2" w:rsidP="008047D4">
      <w:r>
        <w:t xml:space="preserve">The combination of a history of multiple healthcare information exchange standards and multiple different specialized healthcare vocabulary standards results in a very sophisticated health IT environment that is challenging for non-healthcare domains to implement </w:t>
      </w:r>
      <w:r w:rsidR="00D8647C">
        <w:t>directly.</w:t>
      </w:r>
    </w:p>
    <w:p w14:paraId="738D6A5D" w14:textId="3B828A26" w:rsidR="00B239EA" w:rsidRPr="00891EC0" w:rsidRDefault="00B239EA" w:rsidP="00891EC0">
      <w:pPr>
        <w:pStyle w:val="Heading1"/>
        <w:rPr>
          <w:rFonts w:eastAsia="Calibri Light"/>
        </w:rPr>
      </w:pPr>
      <w:bookmarkStart w:id="18" w:name="_Toc5370683"/>
      <w:r w:rsidRPr="00B239EA">
        <w:rPr>
          <w:rFonts w:eastAsia="Calibri Light"/>
        </w:rPr>
        <w:t xml:space="preserve">The National Information Exchange </w:t>
      </w:r>
      <w:r w:rsidR="00E7050E">
        <w:rPr>
          <w:rFonts w:eastAsia="Calibri Light"/>
        </w:rPr>
        <w:t>Model</w:t>
      </w:r>
      <w:r w:rsidR="00E7050E" w:rsidRPr="00B239EA">
        <w:rPr>
          <w:rFonts w:eastAsia="Calibri Light"/>
        </w:rPr>
        <w:t xml:space="preserve"> </w:t>
      </w:r>
      <w:r w:rsidRPr="00B239EA">
        <w:rPr>
          <w:rFonts w:eastAsia="Calibri Light"/>
        </w:rPr>
        <w:t>(NIEM</w:t>
      </w:r>
      <w:r>
        <w:rPr>
          <w:rFonts w:eastAsia="Calibri Light"/>
        </w:rPr>
        <w:t>)</w:t>
      </w:r>
      <w:bookmarkEnd w:id="18"/>
    </w:p>
    <w:p w14:paraId="1D3C85C1" w14:textId="7E011F76" w:rsidR="00F063CB" w:rsidRDefault="001727F2" w:rsidP="001727F2">
      <w:pPr>
        <w:spacing w:after="150" w:line="240" w:lineRule="auto"/>
        <w:rPr>
          <w:rFonts w:ascii="Calibri" w:eastAsia="Times New Roman" w:hAnsi="Calibri" w:cs="Times New Roman"/>
        </w:rPr>
      </w:pPr>
      <w:r w:rsidRPr="008E137B">
        <w:rPr>
          <w:rFonts w:ascii="Calibri" w:eastAsia="Times New Roman" w:hAnsi="Calibri" w:cs="Times New Roman"/>
        </w:rPr>
        <w:t xml:space="preserve">NIEM is an XML information exchange standard, </w:t>
      </w:r>
      <w:r w:rsidR="00082AED">
        <w:rPr>
          <w:rFonts w:ascii="Calibri" w:eastAsia="Times New Roman" w:hAnsi="Calibri" w:cs="Times New Roman"/>
        </w:rPr>
        <w:t xml:space="preserve">initially </w:t>
      </w:r>
      <w:r w:rsidRPr="008E137B">
        <w:rPr>
          <w:rFonts w:ascii="Calibri" w:eastAsia="Times New Roman" w:hAnsi="Calibri" w:cs="Times New Roman"/>
        </w:rPr>
        <w:t xml:space="preserve">adopted </w:t>
      </w:r>
      <w:r w:rsidR="00082AED">
        <w:rPr>
          <w:rFonts w:ascii="Calibri" w:eastAsia="Times New Roman" w:hAnsi="Calibri" w:cs="Times New Roman"/>
        </w:rPr>
        <w:t>by</w:t>
      </w:r>
      <w:r w:rsidR="00082AED" w:rsidRPr="008E137B">
        <w:rPr>
          <w:rFonts w:ascii="Calibri" w:eastAsia="Times New Roman" w:hAnsi="Calibri" w:cs="Times New Roman"/>
        </w:rPr>
        <w:t xml:space="preserve"> </w:t>
      </w:r>
      <w:r w:rsidRPr="008E137B">
        <w:rPr>
          <w:rFonts w:ascii="Calibri" w:eastAsia="Times New Roman" w:hAnsi="Calibri" w:cs="Times New Roman"/>
        </w:rPr>
        <w:t xml:space="preserve">law enforcement and public safety information exchanges at the national and regional level. The systematic breakdown in communications and information sharing between emergency and first responders during the catastrophic events of 9/11 served as an inter-agency driver to develop NIEM. </w:t>
      </w:r>
    </w:p>
    <w:p w14:paraId="29F1EED4" w14:textId="520A2105" w:rsidR="001727F2" w:rsidRDefault="008F38B0" w:rsidP="001727F2">
      <w:pPr>
        <w:spacing w:after="150" w:line="240" w:lineRule="auto"/>
        <w:rPr>
          <w:rFonts w:ascii="Calibri" w:eastAsia="Times New Roman" w:hAnsi="Calibri" w:cs="Times New Roman"/>
        </w:rPr>
      </w:pPr>
      <w:r>
        <w:rPr>
          <w:noProof/>
        </w:rPr>
        <w:drawing>
          <wp:anchor distT="0" distB="0" distL="114300" distR="114300" simplePos="0" relativeHeight="251669504" behindDoc="0" locked="0" layoutInCell="1" allowOverlap="1" wp14:anchorId="3999939D" wp14:editId="7002A829">
            <wp:simplePos x="0" y="0"/>
            <wp:positionH relativeFrom="margin">
              <wp:posOffset>3467735</wp:posOffset>
            </wp:positionH>
            <wp:positionV relativeFrom="margin">
              <wp:posOffset>5462905</wp:posOffset>
            </wp:positionV>
            <wp:extent cx="2609850" cy="2609850"/>
            <wp:effectExtent l="0" t="0" r="0" b="0"/>
            <wp:wrapSquare wrapText="bothSides"/>
            <wp:docPr id="6" name="Picture 6" descr="Image result for niem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em domai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27F2" w:rsidRPr="008E137B">
        <w:rPr>
          <w:rFonts w:ascii="Calibri" w:eastAsia="Times New Roman" w:hAnsi="Calibri" w:cs="Times New Roman"/>
        </w:rPr>
        <w:t>NIEM specifies the foundation and building blocks for interoperable information exchange by serving as a common XML vocabulary, integrated with established information exchange standards and processes</w:t>
      </w:r>
      <w:r w:rsidR="00F063CB">
        <w:rPr>
          <w:rFonts w:ascii="Calibri" w:eastAsia="Times New Roman" w:hAnsi="Calibri" w:cs="Times New Roman"/>
        </w:rPr>
        <w:t>,</w:t>
      </w:r>
      <w:r w:rsidR="001727F2" w:rsidRPr="008E137B">
        <w:rPr>
          <w:rFonts w:ascii="Calibri" w:eastAsia="Times New Roman" w:hAnsi="Calibri" w:cs="Times New Roman"/>
        </w:rPr>
        <w:t xml:space="preserve"> to support cross-domain information sharing and efficient information exchange between inter-related public </w:t>
      </w:r>
      <w:r w:rsidR="00E7050E">
        <w:rPr>
          <w:rFonts w:ascii="Calibri" w:eastAsia="Times New Roman" w:hAnsi="Calibri" w:cs="Times New Roman"/>
        </w:rPr>
        <w:t xml:space="preserve">and private </w:t>
      </w:r>
      <w:r w:rsidR="001727F2" w:rsidRPr="008E137B">
        <w:rPr>
          <w:rFonts w:ascii="Calibri" w:eastAsia="Times New Roman" w:hAnsi="Calibri" w:cs="Times New Roman"/>
        </w:rPr>
        <w:t>service domains (e.g.</w:t>
      </w:r>
      <w:r w:rsidR="00F063CB">
        <w:rPr>
          <w:rFonts w:ascii="Calibri" w:eastAsia="Times New Roman" w:hAnsi="Calibri" w:cs="Times New Roman"/>
        </w:rPr>
        <w:t>,</w:t>
      </w:r>
      <w:r w:rsidR="001727F2" w:rsidRPr="008E137B">
        <w:rPr>
          <w:rFonts w:ascii="Calibri" w:eastAsia="Times New Roman" w:hAnsi="Calibri" w:cs="Times New Roman"/>
        </w:rPr>
        <w:t xml:space="preserve"> law enforcement, public safety, healthcare, etc.). </w:t>
      </w:r>
      <w:r w:rsidR="000D25EE">
        <w:rPr>
          <w:rFonts w:ascii="Calibri" w:eastAsia="Times New Roman" w:hAnsi="Calibri" w:cs="Times New Roman"/>
        </w:rPr>
        <w:t>As a result:</w:t>
      </w:r>
    </w:p>
    <w:p w14:paraId="578443C2" w14:textId="670E2409" w:rsidR="00F22025" w:rsidRPr="00E7050E" w:rsidRDefault="00E9415B" w:rsidP="00B77FDB">
      <w:pPr>
        <w:pStyle w:val="ListParagraph"/>
        <w:numPr>
          <w:ilvl w:val="0"/>
          <w:numId w:val="13"/>
        </w:numPr>
        <w:rPr>
          <w:rFonts w:eastAsia="Times New Roman"/>
        </w:rPr>
      </w:pPr>
      <w:r>
        <w:rPr>
          <w:rFonts w:eastAsia="Times New Roman"/>
        </w:rPr>
        <w:t>NI</w:t>
      </w:r>
      <w:r w:rsidR="00C11FCA" w:rsidRPr="00E7050E">
        <w:rPr>
          <w:rFonts w:eastAsia="Times New Roman"/>
        </w:rPr>
        <w:t>EM breaks down interagency stovepipes</w:t>
      </w:r>
    </w:p>
    <w:p w14:paraId="0828438B" w14:textId="4A8211AB" w:rsidR="00F22025" w:rsidRPr="000D25EE" w:rsidRDefault="00C11FCA" w:rsidP="00B77FDB">
      <w:pPr>
        <w:pStyle w:val="ListParagraph"/>
        <w:numPr>
          <w:ilvl w:val="0"/>
          <w:numId w:val="13"/>
        </w:numPr>
        <w:rPr>
          <w:rFonts w:eastAsia="Times New Roman"/>
        </w:rPr>
      </w:pPr>
      <w:r w:rsidRPr="000D25EE">
        <w:rPr>
          <w:rFonts w:eastAsia="Times New Roman"/>
        </w:rPr>
        <w:t>NIEM enables agencies to share information that crosses sys</w:t>
      </w:r>
      <w:r w:rsidR="000D25EE" w:rsidRPr="000D25EE">
        <w:rPr>
          <w:rFonts w:eastAsia="Times New Roman"/>
        </w:rPr>
        <w:t>tem, agency, and jurisdictional</w:t>
      </w:r>
      <w:r w:rsidR="000D25EE">
        <w:rPr>
          <w:rFonts w:eastAsia="Times New Roman"/>
        </w:rPr>
        <w:t xml:space="preserve"> </w:t>
      </w:r>
      <w:r w:rsidRPr="000D25EE">
        <w:rPr>
          <w:rFonts w:eastAsia="Times New Roman"/>
        </w:rPr>
        <w:t>borders</w:t>
      </w:r>
    </w:p>
    <w:p w14:paraId="7D7BDBBB" w14:textId="23015E65" w:rsidR="00D31746" w:rsidRPr="000D25EE" w:rsidRDefault="00C11FCA" w:rsidP="00B77FDB">
      <w:pPr>
        <w:pStyle w:val="ListParagraph"/>
        <w:numPr>
          <w:ilvl w:val="0"/>
          <w:numId w:val="13"/>
        </w:numPr>
        <w:rPr>
          <w:rFonts w:eastAsia="Times New Roman"/>
        </w:rPr>
      </w:pPr>
      <w:r w:rsidRPr="000D25EE">
        <w:rPr>
          <w:rFonts w:eastAsia="Times New Roman"/>
        </w:rPr>
        <w:t>NIEM improves decision-making, agility, and efficiency in satisfying business needs</w:t>
      </w:r>
    </w:p>
    <w:p w14:paraId="7D555BAE" w14:textId="34B2FFBF" w:rsidR="00294FAB" w:rsidRPr="00D31746" w:rsidRDefault="00C11FCA" w:rsidP="00AE543E">
      <w:pPr>
        <w:pStyle w:val="ListParagraph"/>
        <w:numPr>
          <w:ilvl w:val="0"/>
          <w:numId w:val="13"/>
        </w:numPr>
        <w:rPr>
          <w:rFonts w:eastAsia="Times New Roman"/>
        </w:rPr>
      </w:pPr>
      <w:r w:rsidRPr="00D31746">
        <w:rPr>
          <w:rFonts w:eastAsia="Times New Roman"/>
        </w:rPr>
        <w:t>NIEM supports interoperability and reuse</w:t>
      </w:r>
      <w:r w:rsidR="00F063CB">
        <w:rPr>
          <w:rFonts w:eastAsia="Times New Roman"/>
        </w:rPr>
        <w:t>,</w:t>
      </w:r>
      <w:r w:rsidRPr="00D31746">
        <w:rPr>
          <w:rFonts w:eastAsia="Times New Roman"/>
        </w:rPr>
        <w:t xml:space="preserve"> reducing costs</w:t>
      </w:r>
    </w:p>
    <w:p w14:paraId="3931C71E" w14:textId="34FF8E1F" w:rsidR="008F38B0" w:rsidRDefault="008F38B0" w:rsidP="00B77FDB">
      <w:pPr>
        <w:pStyle w:val="ListParagraph"/>
        <w:ind w:left="0"/>
        <w:rPr>
          <w:rFonts w:ascii="Calibri" w:eastAsia="Calibri" w:hAnsi="Calibri" w:cs="Calibri"/>
        </w:rPr>
      </w:pPr>
    </w:p>
    <w:p w14:paraId="68FFE9B0" w14:textId="31A9BEE7" w:rsidR="000D25EE" w:rsidRPr="000D25EE" w:rsidRDefault="008F38B0" w:rsidP="00B77FDB">
      <w:pPr>
        <w:pStyle w:val="ListParagraph"/>
        <w:ind w:left="0"/>
        <w:rPr>
          <w:rFonts w:ascii="Calibri" w:eastAsia="Calibri" w:hAnsi="Calibri" w:cs="Calibri"/>
        </w:rPr>
      </w:pPr>
      <w:r>
        <w:rPr>
          <w:rFonts w:ascii="Calibri" w:eastAsia="Calibri" w:hAnsi="Calibri" w:cs="Calibri"/>
        </w:rPr>
        <w:t xml:space="preserve">Originally </w:t>
      </w:r>
      <w:r w:rsidRPr="000D25EE">
        <w:rPr>
          <w:rFonts w:ascii="Calibri" w:eastAsia="Calibri" w:hAnsi="Calibri" w:cs="Calibri"/>
        </w:rPr>
        <w:t>based on the Global Justice XML Data Model (GJXDM)</w:t>
      </w:r>
      <w:r>
        <w:rPr>
          <w:rFonts w:ascii="Calibri" w:eastAsia="Calibri" w:hAnsi="Calibri" w:cs="Calibri"/>
        </w:rPr>
        <w:t xml:space="preserve">, </w:t>
      </w:r>
      <w:r w:rsidR="000D25EE" w:rsidRPr="000D25EE">
        <w:rPr>
          <w:rFonts w:ascii="Calibri" w:eastAsia="Calibri" w:hAnsi="Calibri" w:cs="Calibri"/>
        </w:rPr>
        <w:t xml:space="preserve">NIEM has </w:t>
      </w:r>
      <w:r w:rsidR="00F62023">
        <w:rPr>
          <w:rFonts w:ascii="Calibri" w:eastAsia="Calibri" w:hAnsi="Calibri" w:cs="Calibri"/>
        </w:rPr>
        <w:t>expanded and seen many iterative changes</w:t>
      </w:r>
      <w:r w:rsidR="000D25EE" w:rsidRPr="000D25EE">
        <w:rPr>
          <w:rFonts w:ascii="Calibri" w:eastAsia="Calibri" w:hAnsi="Calibri" w:cs="Calibri"/>
        </w:rPr>
        <w:t xml:space="preserve"> since it</w:t>
      </w:r>
      <w:r w:rsidR="00F62023">
        <w:rPr>
          <w:rFonts w:ascii="Calibri" w:eastAsia="Calibri" w:hAnsi="Calibri" w:cs="Calibri"/>
        </w:rPr>
        <w:t>s</w:t>
      </w:r>
      <w:r w:rsidR="000D25EE" w:rsidRPr="000D25EE">
        <w:rPr>
          <w:rFonts w:ascii="Calibri" w:eastAsia="Calibri" w:hAnsi="Calibri" w:cs="Calibri"/>
        </w:rPr>
        <w:t xml:space="preserve"> formal launch in April 2005 by the </w:t>
      </w:r>
      <w:r w:rsidR="00F063CB">
        <w:rPr>
          <w:rFonts w:ascii="Calibri" w:eastAsia="Calibri" w:hAnsi="Calibri" w:cs="Calibri"/>
        </w:rPr>
        <w:t>c</w:t>
      </w:r>
      <w:r w:rsidR="000D25EE" w:rsidRPr="000D25EE">
        <w:rPr>
          <w:rFonts w:ascii="Calibri" w:eastAsia="Calibri" w:hAnsi="Calibri" w:cs="Calibri"/>
        </w:rPr>
        <w:t xml:space="preserve">hief </w:t>
      </w:r>
      <w:r w:rsidR="00F063CB">
        <w:rPr>
          <w:rFonts w:ascii="Calibri" w:eastAsia="Calibri" w:hAnsi="Calibri" w:cs="Calibri"/>
        </w:rPr>
        <w:t>i</w:t>
      </w:r>
      <w:r w:rsidR="000D25EE" w:rsidRPr="000D25EE">
        <w:rPr>
          <w:rFonts w:ascii="Calibri" w:eastAsia="Calibri" w:hAnsi="Calibri" w:cs="Calibri"/>
        </w:rPr>
        <w:t xml:space="preserve">nformation </w:t>
      </w:r>
      <w:r w:rsidR="00F063CB">
        <w:rPr>
          <w:rFonts w:ascii="Calibri" w:eastAsia="Calibri" w:hAnsi="Calibri" w:cs="Calibri"/>
        </w:rPr>
        <w:t>o</w:t>
      </w:r>
      <w:r w:rsidR="000D25EE" w:rsidRPr="000D25EE">
        <w:rPr>
          <w:rFonts w:ascii="Calibri" w:eastAsia="Calibri" w:hAnsi="Calibri" w:cs="Calibri"/>
        </w:rPr>
        <w:t xml:space="preserve">fficers of </w:t>
      </w:r>
      <w:r w:rsidR="00F063CB">
        <w:rPr>
          <w:rFonts w:ascii="Calibri" w:eastAsia="Calibri" w:hAnsi="Calibri" w:cs="Calibri"/>
        </w:rPr>
        <w:t xml:space="preserve">the </w:t>
      </w:r>
      <w:r w:rsidR="000D25EE" w:rsidRPr="000D25EE">
        <w:rPr>
          <w:rFonts w:ascii="Calibri" w:eastAsia="Calibri" w:hAnsi="Calibri" w:cs="Calibri"/>
        </w:rPr>
        <w:t>U.S.</w:t>
      </w:r>
      <w:r w:rsidR="00F62023">
        <w:rPr>
          <w:rFonts w:ascii="Calibri" w:eastAsia="Calibri" w:hAnsi="Calibri" w:cs="Calibri"/>
        </w:rPr>
        <w:t xml:space="preserve"> </w:t>
      </w:r>
      <w:r w:rsidR="000D25EE" w:rsidRPr="000D25EE">
        <w:rPr>
          <w:rFonts w:ascii="Calibri" w:eastAsia="Calibri" w:hAnsi="Calibri" w:cs="Calibri"/>
        </w:rPr>
        <w:t xml:space="preserve">Department of Homeland Security and the U.S. Department of Justice. As of </w:t>
      </w:r>
      <w:r w:rsidR="006A2F79">
        <w:rPr>
          <w:rFonts w:ascii="Calibri" w:eastAsia="Calibri" w:hAnsi="Calibri" w:cs="Calibri"/>
        </w:rPr>
        <w:t>June</w:t>
      </w:r>
      <w:r w:rsidR="006A2F79" w:rsidRPr="000D25EE">
        <w:rPr>
          <w:rFonts w:ascii="Calibri" w:eastAsia="Calibri" w:hAnsi="Calibri" w:cs="Calibri"/>
        </w:rPr>
        <w:t xml:space="preserve"> </w:t>
      </w:r>
      <w:r w:rsidR="000D25EE" w:rsidRPr="000D25EE">
        <w:rPr>
          <w:rFonts w:ascii="Calibri" w:eastAsia="Calibri" w:hAnsi="Calibri" w:cs="Calibri"/>
        </w:rPr>
        <w:t>201</w:t>
      </w:r>
      <w:r w:rsidR="006A2F79">
        <w:rPr>
          <w:rFonts w:ascii="Calibri" w:eastAsia="Calibri" w:hAnsi="Calibri" w:cs="Calibri"/>
        </w:rPr>
        <w:t>9</w:t>
      </w:r>
      <w:r w:rsidR="00F62023">
        <w:rPr>
          <w:rFonts w:ascii="Calibri" w:eastAsia="Calibri" w:hAnsi="Calibri" w:cs="Calibri"/>
        </w:rPr>
        <w:t>,</w:t>
      </w:r>
      <w:r w:rsidR="000D25EE" w:rsidRPr="000D25EE">
        <w:rPr>
          <w:rFonts w:ascii="Calibri" w:eastAsia="Calibri" w:hAnsi="Calibri" w:cs="Calibri"/>
        </w:rPr>
        <w:t xml:space="preserve"> there are over 14 NIEM </w:t>
      </w:r>
      <w:r w:rsidR="00F063CB">
        <w:rPr>
          <w:rFonts w:ascii="Calibri" w:eastAsia="Calibri" w:hAnsi="Calibri" w:cs="Calibri"/>
        </w:rPr>
        <w:t>d</w:t>
      </w:r>
      <w:r w:rsidR="000D25EE" w:rsidRPr="000D25EE">
        <w:rPr>
          <w:rFonts w:ascii="Calibri" w:eastAsia="Calibri" w:hAnsi="Calibri" w:cs="Calibri"/>
        </w:rPr>
        <w:t xml:space="preserve">omains and emerging </w:t>
      </w:r>
      <w:r w:rsidR="00F063CB">
        <w:rPr>
          <w:rFonts w:ascii="Calibri" w:eastAsia="Calibri" w:hAnsi="Calibri" w:cs="Calibri"/>
        </w:rPr>
        <w:lastRenderedPageBreak/>
        <w:t>c</w:t>
      </w:r>
      <w:r w:rsidR="000D25EE" w:rsidRPr="000D25EE">
        <w:rPr>
          <w:rFonts w:ascii="Calibri" w:eastAsia="Calibri" w:hAnsi="Calibri" w:cs="Calibri"/>
        </w:rPr>
        <w:t xml:space="preserve">ommunities of </w:t>
      </w:r>
      <w:r w:rsidR="00F063CB">
        <w:rPr>
          <w:rFonts w:ascii="Calibri" w:eastAsia="Calibri" w:hAnsi="Calibri" w:cs="Calibri"/>
        </w:rPr>
        <w:t>i</w:t>
      </w:r>
      <w:r w:rsidR="000D25EE" w:rsidRPr="000D25EE">
        <w:rPr>
          <w:rFonts w:ascii="Calibri" w:eastAsia="Calibri" w:hAnsi="Calibri" w:cs="Calibri"/>
        </w:rPr>
        <w:t xml:space="preserve">nterest (CoI), including Agriculture, Biometrics, </w:t>
      </w:r>
      <w:r w:rsidR="00F62023">
        <w:rPr>
          <w:rFonts w:ascii="Calibri" w:eastAsia="Calibri" w:hAnsi="Calibri" w:cs="Calibri"/>
        </w:rPr>
        <w:t>Chemical Biological Radiological and Nuclear D</w:t>
      </w:r>
      <w:r w:rsidR="00D31746" w:rsidRPr="00D31746">
        <w:rPr>
          <w:rFonts w:ascii="Calibri" w:eastAsia="Calibri" w:hAnsi="Calibri" w:cs="Calibri"/>
        </w:rPr>
        <w:t xml:space="preserve">efense </w:t>
      </w:r>
      <w:r w:rsidR="00F62023">
        <w:rPr>
          <w:rFonts w:ascii="Calibri" w:eastAsia="Calibri" w:hAnsi="Calibri" w:cs="Calibri"/>
        </w:rPr>
        <w:t>(</w:t>
      </w:r>
      <w:r w:rsidR="000D25EE" w:rsidRPr="000D25EE">
        <w:rPr>
          <w:rFonts w:ascii="Calibri" w:eastAsia="Calibri" w:hAnsi="Calibri" w:cs="Calibri"/>
        </w:rPr>
        <w:t>CBRN</w:t>
      </w:r>
      <w:r w:rsidR="00F62023">
        <w:rPr>
          <w:rFonts w:ascii="Calibri" w:eastAsia="Calibri" w:hAnsi="Calibri" w:cs="Calibri"/>
        </w:rPr>
        <w:t>)</w:t>
      </w:r>
      <w:r w:rsidR="000D25EE" w:rsidRPr="000D25EE">
        <w:rPr>
          <w:rFonts w:ascii="Calibri" w:eastAsia="Calibri" w:hAnsi="Calibri" w:cs="Calibri"/>
        </w:rPr>
        <w:t xml:space="preserve">, Emergency Management, Human Services, Immigration, Infrastructure Protection, Intelligence, International Trade, Justice, Maritime, Military Operations, Screening, and Surface Transportation. Today all 50 states and over 19 federal agencies are using NIEM. The benefits of NIEM have also extended to Europe, the Americas, Australia, and Asia. </w:t>
      </w:r>
    </w:p>
    <w:p w14:paraId="7D4ED3D8" w14:textId="1CA66BA3" w:rsidR="006264A0" w:rsidRDefault="00173CCB">
      <w:pPr>
        <w:rPr>
          <w:rFonts w:ascii="Calibri" w:eastAsia="Calibri" w:hAnsi="Calibri" w:cs="Calibri"/>
          <w:shd w:val="clear" w:color="auto" w:fill="FFFFFF"/>
        </w:rPr>
      </w:pPr>
      <w:r>
        <w:rPr>
          <w:rFonts w:ascii="Calibri" w:eastAsia="Calibri" w:hAnsi="Calibri" w:cs="Calibri"/>
        </w:rPr>
        <w:t>A</w:t>
      </w:r>
      <w:r w:rsidR="00477505">
        <w:rPr>
          <w:rFonts w:ascii="Calibri" w:eastAsia="Calibri" w:hAnsi="Calibri" w:cs="Calibri"/>
        </w:rPr>
        <w:t>s</w:t>
      </w:r>
      <w:r w:rsidR="00591101">
        <w:rPr>
          <w:rFonts w:ascii="Calibri" w:eastAsia="Calibri" w:hAnsi="Calibri" w:cs="Calibri"/>
        </w:rPr>
        <w:t xml:space="preserve"> NIEM's adoption</w:t>
      </w:r>
      <w:r w:rsidR="00BD6790">
        <w:rPr>
          <w:rFonts w:ascii="Calibri" w:eastAsia="Calibri" w:hAnsi="Calibri" w:cs="Calibri"/>
        </w:rPr>
        <w:t xml:space="preserve"> continues to </w:t>
      </w:r>
      <w:r w:rsidR="003B53C8">
        <w:rPr>
          <w:rFonts w:ascii="Calibri" w:eastAsia="Calibri" w:hAnsi="Calibri" w:cs="Calibri"/>
        </w:rPr>
        <w:t xml:space="preserve">expand to new </w:t>
      </w:r>
      <w:r w:rsidR="00082AED">
        <w:rPr>
          <w:rFonts w:ascii="Calibri" w:eastAsia="Calibri" w:hAnsi="Calibri" w:cs="Calibri"/>
        </w:rPr>
        <w:t>domains</w:t>
      </w:r>
      <w:r w:rsidR="00BD6790">
        <w:rPr>
          <w:rFonts w:ascii="Calibri" w:eastAsia="Calibri" w:hAnsi="Calibri" w:cs="Calibri"/>
        </w:rPr>
        <w:t xml:space="preserve">, </w:t>
      </w:r>
      <w:r w:rsidR="009F55BD">
        <w:rPr>
          <w:rFonts w:ascii="Calibri" w:eastAsia="Calibri" w:hAnsi="Calibri" w:cs="Calibri"/>
        </w:rPr>
        <w:t xml:space="preserve">non-clinical </w:t>
      </w:r>
      <w:r w:rsidR="00591101">
        <w:rPr>
          <w:rFonts w:ascii="Calibri" w:eastAsia="Calibri" w:hAnsi="Calibri" w:cs="Calibri"/>
        </w:rPr>
        <w:t xml:space="preserve">domains that </w:t>
      </w:r>
      <w:r w:rsidR="009F55BD">
        <w:rPr>
          <w:rFonts w:ascii="Calibri" w:eastAsia="Calibri" w:hAnsi="Calibri" w:cs="Calibri"/>
        </w:rPr>
        <w:t>utilize</w:t>
      </w:r>
      <w:r w:rsidR="00591101">
        <w:rPr>
          <w:rFonts w:ascii="Calibri" w:eastAsia="Calibri" w:hAnsi="Calibri" w:cs="Calibri"/>
        </w:rPr>
        <w:t xml:space="preserve"> health data elements for </w:t>
      </w:r>
      <w:r w:rsidR="009F55BD">
        <w:rPr>
          <w:rFonts w:ascii="Calibri" w:eastAsia="Calibri" w:hAnsi="Calibri" w:cs="Calibri"/>
        </w:rPr>
        <w:t xml:space="preserve">information exchange will </w:t>
      </w:r>
      <w:r w:rsidR="00591101">
        <w:rPr>
          <w:rFonts w:ascii="Calibri" w:eastAsia="Calibri" w:hAnsi="Calibri" w:cs="Calibri"/>
        </w:rPr>
        <w:t xml:space="preserve">require clinical </w:t>
      </w:r>
      <w:r w:rsidR="009F55BD">
        <w:rPr>
          <w:rFonts w:ascii="Calibri" w:eastAsia="Calibri" w:hAnsi="Calibri" w:cs="Calibri"/>
        </w:rPr>
        <w:t xml:space="preserve">informatics </w:t>
      </w:r>
      <w:r w:rsidR="002B164E">
        <w:rPr>
          <w:rFonts w:ascii="Calibri" w:eastAsia="Calibri" w:hAnsi="Calibri" w:cs="Calibri"/>
        </w:rPr>
        <w:t>subject matter expertise</w:t>
      </w:r>
      <w:r w:rsidR="00591101">
        <w:rPr>
          <w:rFonts w:ascii="Calibri" w:eastAsia="Calibri" w:hAnsi="Calibri" w:cs="Calibri"/>
        </w:rPr>
        <w:t xml:space="preserve"> to successfully navigate through the complexities of the </w:t>
      </w:r>
      <w:r w:rsidR="00F063CB">
        <w:rPr>
          <w:rFonts w:ascii="Calibri" w:eastAsia="Calibri" w:hAnsi="Calibri" w:cs="Calibri"/>
        </w:rPr>
        <w:t xml:space="preserve">health </w:t>
      </w:r>
      <w:r w:rsidR="00591101">
        <w:rPr>
          <w:rFonts w:ascii="Calibri" w:eastAsia="Calibri" w:hAnsi="Calibri" w:cs="Calibri"/>
        </w:rPr>
        <w:t>IT</w:t>
      </w:r>
      <w:r w:rsidR="00477505">
        <w:rPr>
          <w:rFonts w:ascii="Calibri" w:eastAsia="Calibri" w:hAnsi="Calibri" w:cs="Calibri"/>
        </w:rPr>
        <w:t>/</w:t>
      </w:r>
      <w:r w:rsidR="00F63AEA">
        <w:rPr>
          <w:rFonts w:ascii="Calibri" w:eastAsia="Calibri" w:hAnsi="Calibri" w:cs="Calibri"/>
        </w:rPr>
        <w:t>health information exchange (</w:t>
      </w:r>
      <w:r w:rsidR="00477505">
        <w:rPr>
          <w:rFonts w:ascii="Calibri" w:eastAsia="Calibri" w:hAnsi="Calibri" w:cs="Calibri"/>
        </w:rPr>
        <w:t>HIE</w:t>
      </w:r>
      <w:r w:rsidR="00F63AEA">
        <w:rPr>
          <w:rFonts w:ascii="Calibri" w:eastAsia="Calibri" w:hAnsi="Calibri" w:cs="Calibri"/>
        </w:rPr>
        <w:t>)</w:t>
      </w:r>
      <w:r w:rsidR="00591101">
        <w:rPr>
          <w:rFonts w:ascii="Calibri" w:eastAsia="Calibri" w:hAnsi="Calibri" w:cs="Calibri"/>
        </w:rPr>
        <w:t xml:space="preserve"> environment. </w:t>
      </w:r>
      <w:r w:rsidR="00A32740">
        <w:rPr>
          <w:rFonts w:ascii="Calibri" w:eastAsia="Calibri" w:hAnsi="Calibri" w:cs="Calibri"/>
        </w:rPr>
        <w:t xml:space="preserve">Furthermore, </w:t>
      </w:r>
      <w:r w:rsidR="00BB3797">
        <w:rPr>
          <w:rFonts w:ascii="Calibri" w:eastAsia="Calibri" w:hAnsi="Calibri" w:cs="Calibri"/>
        </w:rPr>
        <w:t>operational</w:t>
      </w:r>
      <w:r w:rsidR="00A32740">
        <w:rPr>
          <w:rFonts w:ascii="Calibri" w:eastAsia="Calibri" w:hAnsi="Calibri" w:cs="Calibri"/>
        </w:rPr>
        <w:t xml:space="preserve"> </w:t>
      </w:r>
      <w:r w:rsidR="00F063CB">
        <w:rPr>
          <w:rFonts w:ascii="Calibri" w:eastAsia="Calibri" w:hAnsi="Calibri" w:cs="Calibri"/>
        </w:rPr>
        <w:t xml:space="preserve">health </w:t>
      </w:r>
      <w:r w:rsidR="00BB3797">
        <w:rPr>
          <w:rFonts w:ascii="Calibri" w:eastAsia="Calibri" w:hAnsi="Calibri" w:cs="Calibri"/>
        </w:rPr>
        <w:t xml:space="preserve">IT/HIE </w:t>
      </w:r>
      <w:r w:rsidR="00A32740">
        <w:rPr>
          <w:rFonts w:ascii="Calibri" w:eastAsia="Calibri" w:hAnsi="Calibri" w:cs="Calibri"/>
        </w:rPr>
        <w:t xml:space="preserve">safeguards must be in place to ensure that the exchange of health information </w:t>
      </w:r>
      <w:r w:rsidR="00BB3797">
        <w:rPr>
          <w:rFonts w:ascii="Calibri" w:eastAsia="Calibri" w:hAnsi="Calibri" w:cs="Calibri"/>
        </w:rPr>
        <w:t xml:space="preserve">is always legal, secure, and private. </w:t>
      </w:r>
      <w:r w:rsidR="00591101">
        <w:rPr>
          <w:rFonts w:ascii="Calibri" w:eastAsia="Calibri" w:hAnsi="Calibri" w:cs="Calibri"/>
        </w:rPr>
        <w:t xml:space="preserve">The </w:t>
      </w:r>
      <w:r w:rsidR="00AE543E">
        <w:rPr>
          <w:rFonts w:ascii="Calibri" w:eastAsia="Calibri" w:hAnsi="Calibri" w:cs="Calibri"/>
        </w:rPr>
        <w:t>real-world</w:t>
      </w:r>
      <w:r w:rsidR="00591101">
        <w:rPr>
          <w:rFonts w:ascii="Calibri" w:eastAsia="Calibri" w:hAnsi="Calibri" w:cs="Calibri"/>
        </w:rPr>
        <w:t xml:space="preserve"> challenge is to harmonize across all </w:t>
      </w:r>
      <w:r w:rsidR="009F55BD">
        <w:rPr>
          <w:rFonts w:ascii="Calibri" w:eastAsia="Calibri" w:hAnsi="Calibri" w:cs="Calibri"/>
        </w:rPr>
        <w:t>information exchange</w:t>
      </w:r>
      <w:r w:rsidR="002B164E">
        <w:rPr>
          <w:rFonts w:ascii="Calibri" w:eastAsia="Calibri" w:hAnsi="Calibri" w:cs="Calibri"/>
        </w:rPr>
        <w:t xml:space="preserve"> </w:t>
      </w:r>
      <w:r w:rsidR="00591101">
        <w:rPr>
          <w:rFonts w:ascii="Calibri" w:eastAsia="Calibri" w:hAnsi="Calibri" w:cs="Calibri"/>
        </w:rPr>
        <w:t>standards</w:t>
      </w:r>
      <w:r w:rsidR="007F0317">
        <w:rPr>
          <w:rFonts w:ascii="Calibri" w:eastAsia="Calibri" w:hAnsi="Calibri" w:cs="Calibri"/>
        </w:rPr>
        <w:t xml:space="preserve"> and to </w:t>
      </w:r>
      <w:r w:rsidR="002B164E">
        <w:rPr>
          <w:rFonts w:ascii="Calibri" w:eastAsia="Calibri" w:hAnsi="Calibri" w:cs="Calibri"/>
        </w:rPr>
        <w:t>build a compelling</w:t>
      </w:r>
      <w:r w:rsidR="00591101">
        <w:rPr>
          <w:rFonts w:ascii="Calibri" w:eastAsia="Calibri" w:hAnsi="Calibri" w:cs="Calibri"/>
        </w:rPr>
        <w:t xml:space="preserve"> business case</w:t>
      </w:r>
      <w:r w:rsidR="009F55BD">
        <w:rPr>
          <w:rFonts w:ascii="Calibri" w:eastAsia="Calibri" w:hAnsi="Calibri" w:cs="Calibri"/>
        </w:rPr>
        <w:t>,</w:t>
      </w:r>
      <w:r w:rsidR="00591101">
        <w:rPr>
          <w:rFonts w:ascii="Calibri" w:eastAsia="Calibri" w:hAnsi="Calibri" w:cs="Calibri"/>
        </w:rPr>
        <w:t xml:space="preserve"> through the Federal Health Information Modeling and Standards </w:t>
      </w:r>
      <w:r w:rsidR="002B164E">
        <w:rPr>
          <w:rFonts w:ascii="Calibri" w:eastAsia="Calibri" w:hAnsi="Calibri" w:cs="Calibri"/>
        </w:rPr>
        <w:t xml:space="preserve">(FHIMS) </w:t>
      </w:r>
      <w:r w:rsidR="00591101">
        <w:rPr>
          <w:rFonts w:ascii="Calibri" w:eastAsia="Calibri" w:hAnsi="Calibri" w:cs="Calibri"/>
        </w:rPr>
        <w:t xml:space="preserve">program and </w:t>
      </w:r>
      <w:r w:rsidR="007F0317">
        <w:rPr>
          <w:rFonts w:ascii="Calibri" w:eastAsia="Calibri" w:hAnsi="Calibri" w:cs="Calibri"/>
        </w:rPr>
        <w:t xml:space="preserve">its </w:t>
      </w:r>
      <w:r w:rsidR="009F55BD">
        <w:rPr>
          <w:rFonts w:ascii="Calibri" w:eastAsia="Calibri" w:hAnsi="Calibri" w:cs="Calibri"/>
        </w:rPr>
        <w:t>corresponding FHIM</w:t>
      </w:r>
      <w:r w:rsidR="007F0317">
        <w:rPr>
          <w:rFonts w:ascii="Calibri" w:eastAsia="Calibri" w:hAnsi="Calibri" w:cs="Calibri"/>
        </w:rPr>
        <w:t xml:space="preserve"> that</w:t>
      </w:r>
      <w:r w:rsidR="009F55BD">
        <w:rPr>
          <w:rFonts w:ascii="Calibri" w:eastAsia="Calibri" w:hAnsi="Calibri" w:cs="Calibri"/>
        </w:rPr>
        <w:t xml:space="preserve"> defines</w:t>
      </w:r>
      <w:r w:rsidR="00591101">
        <w:rPr>
          <w:rFonts w:ascii="Calibri" w:eastAsia="Calibri" w:hAnsi="Calibri" w:cs="Calibri"/>
        </w:rPr>
        <w:t xml:space="preserve"> standardized terminology and </w:t>
      </w:r>
      <w:r w:rsidR="002B164E">
        <w:rPr>
          <w:rFonts w:ascii="Calibri" w:eastAsia="Calibri" w:hAnsi="Calibri" w:cs="Calibri"/>
        </w:rPr>
        <w:t xml:space="preserve">the </w:t>
      </w:r>
      <w:r w:rsidR="00591101">
        <w:rPr>
          <w:rFonts w:ascii="Calibri" w:eastAsia="Calibri" w:hAnsi="Calibri" w:cs="Calibri"/>
        </w:rPr>
        <w:t xml:space="preserve">mapping of </w:t>
      </w:r>
      <w:r w:rsidR="009F55BD">
        <w:rPr>
          <w:rFonts w:ascii="Calibri" w:eastAsia="Calibri" w:hAnsi="Calibri" w:cs="Calibri"/>
        </w:rPr>
        <w:t xml:space="preserve">data </w:t>
      </w:r>
      <w:r w:rsidR="00591101">
        <w:rPr>
          <w:rFonts w:ascii="Calibri" w:eastAsia="Calibri" w:hAnsi="Calibri" w:cs="Calibri"/>
        </w:rPr>
        <w:t>relationships</w:t>
      </w:r>
      <w:r w:rsidR="002B164E">
        <w:rPr>
          <w:rFonts w:ascii="Calibri" w:eastAsia="Calibri" w:hAnsi="Calibri" w:cs="Calibri"/>
        </w:rPr>
        <w:t xml:space="preserve">, both </w:t>
      </w:r>
      <w:r w:rsidR="00591101">
        <w:rPr>
          <w:rFonts w:ascii="Calibri" w:eastAsia="Calibri" w:hAnsi="Calibri" w:cs="Calibri"/>
        </w:rPr>
        <w:t xml:space="preserve">key to </w:t>
      </w:r>
      <w:r w:rsidR="002B164E">
        <w:rPr>
          <w:rFonts w:ascii="Calibri" w:eastAsia="Calibri" w:hAnsi="Calibri" w:cs="Calibri"/>
        </w:rPr>
        <w:t xml:space="preserve">the </w:t>
      </w:r>
      <w:r w:rsidR="009F55BD">
        <w:rPr>
          <w:rFonts w:ascii="Calibri" w:eastAsia="Calibri" w:hAnsi="Calibri" w:cs="Calibri"/>
        </w:rPr>
        <w:t xml:space="preserve">efficient </w:t>
      </w:r>
      <w:r w:rsidR="00591101">
        <w:rPr>
          <w:rFonts w:ascii="Calibri" w:eastAsia="Calibri" w:hAnsi="Calibri" w:cs="Calibri"/>
        </w:rPr>
        <w:t>exchange of healthcare information.</w:t>
      </w:r>
    </w:p>
    <w:p w14:paraId="54220B11" w14:textId="17791A58" w:rsidR="006264A0" w:rsidRDefault="00B239EA" w:rsidP="00891EC0">
      <w:pPr>
        <w:pStyle w:val="Heading1"/>
        <w:rPr>
          <w:rFonts w:eastAsia="Calibri Light"/>
        </w:rPr>
      </w:pPr>
      <w:bookmarkStart w:id="19" w:name="_Toc5370684"/>
      <w:bookmarkStart w:id="20" w:name="_Hlk521318744"/>
      <w:r w:rsidRPr="00B239EA">
        <w:rPr>
          <w:rFonts w:eastAsia="Calibri Light"/>
        </w:rPr>
        <w:t xml:space="preserve">Federal Health </w:t>
      </w:r>
      <w:r w:rsidR="000D25EE" w:rsidRPr="000D25EE">
        <w:rPr>
          <w:rFonts w:eastAsia="Calibri Light"/>
        </w:rPr>
        <w:t xml:space="preserve">Interoperability </w:t>
      </w:r>
      <w:r w:rsidR="008F38B0" w:rsidRPr="008F38B0">
        <w:rPr>
          <w:rFonts w:eastAsia="Calibri Light"/>
        </w:rPr>
        <w:t>Modeling and Standards</w:t>
      </w:r>
      <w:r w:rsidR="008F38B0" w:rsidRPr="008F38B0" w:rsidDel="008F38B0">
        <w:rPr>
          <w:rFonts w:eastAsia="Calibri Light"/>
        </w:rPr>
        <w:t xml:space="preserve"> </w:t>
      </w:r>
      <w:r w:rsidR="00C9215C">
        <w:rPr>
          <w:rFonts w:eastAsia="Calibri Light"/>
        </w:rPr>
        <w:t>(FHIM</w:t>
      </w:r>
      <w:r w:rsidR="00A82C93">
        <w:rPr>
          <w:rFonts w:eastAsia="Calibri Light"/>
        </w:rPr>
        <w:t>S</w:t>
      </w:r>
      <w:r w:rsidR="00C9215C">
        <w:rPr>
          <w:rFonts w:eastAsia="Calibri Light"/>
        </w:rPr>
        <w:t>)</w:t>
      </w:r>
      <w:bookmarkEnd w:id="19"/>
    </w:p>
    <w:bookmarkEnd w:id="20"/>
    <w:p w14:paraId="72FA97B3" w14:textId="28EFFD1E" w:rsidR="000D25EE" w:rsidRDefault="00F35CA5">
      <w:pPr>
        <w:tabs>
          <w:tab w:val="left" w:pos="360"/>
        </w:tabs>
        <w:spacing w:after="0"/>
        <w:rPr>
          <w:rFonts w:ascii="Calibri" w:eastAsia="Calibri" w:hAnsi="Calibri" w:cs="Calibri"/>
        </w:rPr>
      </w:pPr>
      <w:r w:rsidRPr="00F35CA5">
        <w:rPr>
          <w:rFonts w:ascii="Calibri" w:eastAsia="Calibri" w:hAnsi="Calibri" w:cs="Calibri"/>
        </w:rPr>
        <w:t xml:space="preserve">The Federal Health </w:t>
      </w:r>
      <w:bookmarkStart w:id="21" w:name="_Hlk521596827"/>
      <w:r w:rsidRPr="00F35CA5">
        <w:rPr>
          <w:rFonts w:ascii="Calibri" w:eastAsia="Calibri" w:hAnsi="Calibri" w:cs="Calibri"/>
        </w:rPr>
        <w:t xml:space="preserve">Interoperability </w:t>
      </w:r>
      <w:bookmarkStart w:id="22" w:name="_Hlk10967236"/>
      <w:r w:rsidRPr="00F35CA5">
        <w:rPr>
          <w:rFonts w:ascii="Calibri" w:eastAsia="Calibri" w:hAnsi="Calibri" w:cs="Calibri"/>
        </w:rPr>
        <w:t>Modeling and Standards</w:t>
      </w:r>
      <w:bookmarkEnd w:id="22"/>
      <w:r w:rsidRPr="00F35CA5">
        <w:rPr>
          <w:rFonts w:ascii="Calibri" w:eastAsia="Calibri" w:hAnsi="Calibri" w:cs="Calibri"/>
        </w:rPr>
        <w:t xml:space="preserve"> </w:t>
      </w:r>
      <w:bookmarkEnd w:id="21"/>
      <w:r w:rsidRPr="00F35CA5">
        <w:rPr>
          <w:rFonts w:ascii="Calibri" w:eastAsia="Calibri" w:hAnsi="Calibri" w:cs="Calibri"/>
        </w:rPr>
        <w:t>(FHIMS)</w:t>
      </w:r>
      <w:r>
        <w:rPr>
          <w:rFonts w:ascii="Calibri" w:eastAsia="Calibri" w:hAnsi="Calibri" w:cs="Calibri"/>
        </w:rPr>
        <w:t xml:space="preserve"> program</w:t>
      </w:r>
      <w:r w:rsidR="00591101">
        <w:rPr>
          <w:rFonts w:ascii="Calibri" w:eastAsia="Calibri" w:hAnsi="Calibri" w:cs="Calibri"/>
        </w:rPr>
        <w:t xml:space="preserve"> coordinates with partner agencies includ</w:t>
      </w:r>
      <w:r w:rsidR="00F161FB">
        <w:rPr>
          <w:rFonts w:ascii="Calibri" w:eastAsia="Calibri" w:hAnsi="Calibri" w:cs="Calibri"/>
        </w:rPr>
        <w:t>ing</w:t>
      </w:r>
      <w:r w:rsidR="000D25EE">
        <w:rPr>
          <w:rFonts w:ascii="Calibri" w:eastAsia="Calibri" w:hAnsi="Calibri" w:cs="Calibri"/>
        </w:rPr>
        <w:t>:</w:t>
      </w:r>
      <w:r w:rsidR="00591101">
        <w:rPr>
          <w:rFonts w:ascii="Calibri" w:eastAsia="Calibri" w:hAnsi="Calibri" w:cs="Calibri"/>
        </w:rPr>
        <w:t xml:space="preserve"> </w:t>
      </w:r>
    </w:p>
    <w:p w14:paraId="5A9FDAE9" w14:textId="371868B9" w:rsidR="000D25EE" w:rsidRDefault="00694159" w:rsidP="00B77FDB">
      <w:pPr>
        <w:pStyle w:val="ListParagraph"/>
        <w:numPr>
          <w:ilvl w:val="0"/>
          <w:numId w:val="14"/>
        </w:numPr>
        <w:tabs>
          <w:tab w:val="left" w:pos="360"/>
        </w:tabs>
        <w:spacing w:after="0"/>
        <w:rPr>
          <w:rFonts w:ascii="Calibri" w:eastAsia="Calibri" w:hAnsi="Calibri" w:cs="Calibri"/>
        </w:rPr>
      </w:pPr>
      <w:r w:rsidRPr="00B77FDB">
        <w:rPr>
          <w:rFonts w:ascii="Calibri" w:eastAsia="Calibri" w:hAnsi="Calibri" w:cs="Calibri"/>
        </w:rPr>
        <w:t>Department of Defense (Do</w:t>
      </w:r>
      <w:r w:rsidR="00EC5DF2" w:rsidRPr="00B77FDB">
        <w:rPr>
          <w:rFonts w:ascii="Calibri" w:eastAsia="Calibri" w:hAnsi="Calibri" w:cs="Calibri"/>
        </w:rPr>
        <w:t>D</w:t>
      </w:r>
      <w:r w:rsidRPr="00B77FDB">
        <w:rPr>
          <w:rFonts w:ascii="Calibri" w:eastAsia="Calibri" w:hAnsi="Calibri" w:cs="Calibri"/>
        </w:rPr>
        <w:t>)</w:t>
      </w:r>
    </w:p>
    <w:p w14:paraId="6547B63B" w14:textId="3E76435E" w:rsidR="000D25EE" w:rsidRDefault="00694159" w:rsidP="00B77FDB">
      <w:pPr>
        <w:pStyle w:val="ListParagraph"/>
        <w:numPr>
          <w:ilvl w:val="0"/>
          <w:numId w:val="14"/>
        </w:numPr>
        <w:tabs>
          <w:tab w:val="left" w:pos="360"/>
        </w:tabs>
        <w:spacing w:after="0"/>
        <w:rPr>
          <w:rFonts w:ascii="Calibri" w:eastAsia="Calibri" w:hAnsi="Calibri" w:cs="Calibri"/>
        </w:rPr>
      </w:pPr>
      <w:r w:rsidRPr="00B77FDB">
        <w:rPr>
          <w:rFonts w:ascii="Calibri" w:eastAsia="Calibri" w:hAnsi="Calibri" w:cs="Calibri"/>
        </w:rPr>
        <w:t xml:space="preserve">Department of </w:t>
      </w:r>
      <w:r w:rsidR="00591101" w:rsidRPr="00B77FDB">
        <w:rPr>
          <w:rFonts w:ascii="Calibri" w:eastAsia="Calibri" w:hAnsi="Calibri" w:cs="Calibri"/>
        </w:rPr>
        <w:t>V</w:t>
      </w:r>
      <w:r w:rsidRPr="00B77FDB">
        <w:rPr>
          <w:rFonts w:ascii="Calibri" w:eastAsia="Calibri" w:hAnsi="Calibri" w:cs="Calibri"/>
        </w:rPr>
        <w:t xml:space="preserve">eteran </w:t>
      </w:r>
      <w:r w:rsidR="00591101" w:rsidRPr="00B77FDB">
        <w:rPr>
          <w:rFonts w:ascii="Calibri" w:eastAsia="Calibri" w:hAnsi="Calibri" w:cs="Calibri"/>
        </w:rPr>
        <w:t>A</w:t>
      </w:r>
      <w:r w:rsidRPr="00B77FDB">
        <w:rPr>
          <w:rFonts w:ascii="Calibri" w:eastAsia="Calibri" w:hAnsi="Calibri" w:cs="Calibri"/>
        </w:rPr>
        <w:t>ffairs (VA)</w:t>
      </w:r>
      <w:r w:rsidR="00591101" w:rsidRPr="00B77FDB">
        <w:rPr>
          <w:rFonts w:ascii="Calibri" w:eastAsia="Calibri" w:hAnsi="Calibri" w:cs="Calibri"/>
        </w:rPr>
        <w:t xml:space="preserve"> </w:t>
      </w:r>
    </w:p>
    <w:p w14:paraId="706B02BB" w14:textId="5A0355E6" w:rsidR="000D25EE" w:rsidRDefault="00694159" w:rsidP="00B77FDB">
      <w:pPr>
        <w:pStyle w:val="ListParagraph"/>
        <w:numPr>
          <w:ilvl w:val="0"/>
          <w:numId w:val="14"/>
        </w:numPr>
        <w:tabs>
          <w:tab w:val="left" w:pos="360"/>
        </w:tabs>
        <w:spacing w:after="0"/>
        <w:rPr>
          <w:rFonts w:ascii="Calibri" w:eastAsia="Calibri" w:hAnsi="Calibri" w:cs="Calibri"/>
        </w:rPr>
      </w:pPr>
      <w:r w:rsidRPr="00B77FDB">
        <w:rPr>
          <w:rFonts w:ascii="Calibri" w:eastAsia="Calibri" w:hAnsi="Calibri" w:cs="Calibri"/>
        </w:rPr>
        <w:t xml:space="preserve">Department of </w:t>
      </w:r>
      <w:r w:rsidR="00591101" w:rsidRPr="00B77FDB">
        <w:rPr>
          <w:rFonts w:ascii="Calibri" w:eastAsia="Calibri" w:hAnsi="Calibri" w:cs="Calibri"/>
        </w:rPr>
        <w:t>H</w:t>
      </w:r>
      <w:r w:rsidRPr="00B77FDB">
        <w:rPr>
          <w:rFonts w:ascii="Calibri" w:eastAsia="Calibri" w:hAnsi="Calibri" w:cs="Calibri"/>
        </w:rPr>
        <w:t>ealth and Human Services (H</w:t>
      </w:r>
      <w:r w:rsidR="00591101" w:rsidRPr="00B77FDB">
        <w:rPr>
          <w:rFonts w:ascii="Calibri" w:eastAsia="Calibri" w:hAnsi="Calibri" w:cs="Calibri"/>
        </w:rPr>
        <w:t>HS</w:t>
      </w:r>
      <w:r w:rsidRPr="00B77FDB">
        <w:rPr>
          <w:rFonts w:ascii="Calibri" w:eastAsia="Calibri" w:hAnsi="Calibri" w:cs="Calibri"/>
        </w:rPr>
        <w:t>)</w:t>
      </w:r>
      <w:r w:rsidR="00591101" w:rsidRPr="00B77FDB">
        <w:rPr>
          <w:rFonts w:ascii="Calibri" w:eastAsia="Calibri" w:hAnsi="Calibri" w:cs="Calibri"/>
        </w:rPr>
        <w:t xml:space="preserve"> </w:t>
      </w:r>
    </w:p>
    <w:p w14:paraId="4EA17B66" w14:textId="76CD252F" w:rsidR="000D25EE" w:rsidRDefault="00694159" w:rsidP="00B77FDB">
      <w:pPr>
        <w:pStyle w:val="ListParagraph"/>
        <w:numPr>
          <w:ilvl w:val="0"/>
          <w:numId w:val="14"/>
        </w:numPr>
        <w:tabs>
          <w:tab w:val="left" w:pos="360"/>
        </w:tabs>
        <w:spacing w:after="0"/>
        <w:rPr>
          <w:rFonts w:ascii="Calibri" w:eastAsia="Calibri" w:hAnsi="Calibri" w:cs="Calibri"/>
        </w:rPr>
      </w:pPr>
      <w:r w:rsidRPr="00B77FDB">
        <w:rPr>
          <w:rFonts w:ascii="Calibri" w:eastAsia="Calibri" w:hAnsi="Calibri" w:cs="Calibri"/>
        </w:rPr>
        <w:t>The Office of the National Coordinator for Health IT (</w:t>
      </w:r>
      <w:r w:rsidR="00591101" w:rsidRPr="00B77FDB">
        <w:rPr>
          <w:rFonts w:ascii="Calibri" w:eastAsia="Calibri" w:hAnsi="Calibri" w:cs="Calibri"/>
        </w:rPr>
        <w:t>ONC</w:t>
      </w:r>
      <w:r w:rsidRPr="00B77FDB">
        <w:rPr>
          <w:rFonts w:ascii="Calibri" w:eastAsia="Calibri" w:hAnsi="Calibri" w:cs="Calibri"/>
        </w:rPr>
        <w:t>)</w:t>
      </w:r>
      <w:r w:rsidR="00591101" w:rsidRPr="00B77FDB">
        <w:rPr>
          <w:rFonts w:ascii="Calibri" w:eastAsia="Calibri" w:hAnsi="Calibri" w:cs="Calibri"/>
        </w:rPr>
        <w:t xml:space="preserve"> </w:t>
      </w:r>
    </w:p>
    <w:p w14:paraId="5A17BADB" w14:textId="35AFE78E" w:rsidR="000D25EE" w:rsidRDefault="00694159" w:rsidP="00B77FDB">
      <w:pPr>
        <w:pStyle w:val="ListParagraph"/>
        <w:numPr>
          <w:ilvl w:val="0"/>
          <w:numId w:val="14"/>
        </w:numPr>
        <w:tabs>
          <w:tab w:val="left" w:pos="360"/>
        </w:tabs>
        <w:spacing w:after="0"/>
        <w:rPr>
          <w:rFonts w:ascii="Calibri" w:eastAsia="Calibri" w:hAnsi="Calibri" w:cs="Calibri"/>
        </w:rPr>
      </w:pPr>
      <w:r w:rsidRPr="00B77FDB">
        <w:rPr>
          <w:rFonts w:ascii="Calibri" w:eastAsia="Calibri" w:hAnsi="Calibri" w:cs="Calibri"/>
        </w:rPr>
        <w:t xml:space="preserve">The </w:t>
      </w:r>
      <w:r w:rsidR="00591101" w:rsidRPr="00B77FDB">
        <w:rPr>
          <w:rFonts w:ascii="Calibri" w:eastAsia="Calibri" w:hAnsi="Calibri" w:cs="Calibri"/>
        </w:rPr>
        <w:t>C</w:t>
      </w:r>
      <w:r w:rsidRPr="00B77FDB">
        <w:rPr>
          <w:rFonts w:ascii="Calibri" w:eastAsia="Calibri" w:hAnsi="Calibri" w:cs="Calibri"/>
        </w:rPr>
        <w:t>enter</w:t>
      </w:r>
      <w:r w:rsidR="00F063CB">
        <w:rPr>
          <w:rFonts w:ascii="Calibri" w:eastAsia="Calibri" w:hAnsi="Calibri" w:cs="Calibri"/>
        </w:rPr>
        <w:t>s</w:t>
      </w:r>
      <w:r w:rsidRPr="00B77FDB">
        <w:rPr>
          <w:rFonts w:ascii="Calibri" w:eastAsia="Calibri" w:hAnsi="Calibri" w:cs="Calibri"/>
        </w:rPr>
        <w:t xml:space="preserve"> for </w:t>
      </w:r>
      <w:r w:rsidR="00591101" w:rsidRPr="00B77FDB">
        <w:rPr>
          <w:rFonts w:ascii="Calibri" w:eastAsia="Calibri" w:hAnsi="Calibri" w:cs="Calibri"/>
        </w:rPr>
        <w:t>M</w:t>
      </w:r>
      <w:r w:rsidRPr="00B77FDB">
        <w:rPr>
          <w:rFonts w:ascii="Calibri" w:eastAsia="Calibri" w:hAnsi="Calibri" w:cs="Calibri"/>
        </w:rPr>
        <w:t>edica</w:t>
      </w:r>
      <w:r w:rsidR="00F063CB">
        <w:rPr>
          <w:rFonts w:ascii="Calibri" w:eastAsia="Calibri" w:hAnsi="Calibri" w:cs="Calibri"/>
        </w:rPr>
        <w:t>re</w:t>
      </w:r>
      <w:r w:rsidRPr="00B77FDB">
        <w:rPr>
          <w:rFonts w:ascii="Calibri" w:eastAsia="Calibri" w:hAnsi="Calibri" w:cs="Calibri"/>
        </w:rPr>
        <w:t xml:space="preserve"> </w:t>
      </w:r>
      <w:r w:rsidR="00F063CB">
        <w:rPr>
          <w:rFonts w:ascii="Calibri" w:eastAsia="Calibri" w:hAnsi="Calibri" w:cs="Calibri"/>
        </w:rPr>
        <w:t>&amp;</w:t>
      </w:r>
      <w:r w:rsidRPr="00B77FDB">
        <w:rPr>
          <w:rFonts w:ascii="Calibri" w:eastAsia="Calibri" w:hAnsi="Calibri" w:cs="Calibri"/>
        </w:rPr>
        <w:t xml:space="preserve"> Medica</w:t>
      </w:r>
      <w:r w:rsidR="00F063CB">
        <w:rPr>
          <w:rFonts w:ascii="Calibri" w:eastAsia="Calibri" w:hAnsi="Calibri" w:cs="Calibri"/>
        </w:rPr>
        <w:t>id</w:t>
      </w:r>
      <w:r w:rsidRPr="00B77FDB">
        <w:rPr>
          <w:rFonts w:ascii="Calibri" w:eastAsia="Calibri" w:hAnsi="Calibri" w:cs="Calibri"/>
        </w:rPr>
        <w:t xml:space="preserve"> </w:t>
      </w:r>
      <w:r w:rsidR="00591101" w:rsidRPr="00B77FDB">
        <w:rPr>
          <w:rFonts w:ascii="Calibri" w:eastAsia="Calibri" w:hAnsi="Calibri" w:cs="Calibri"/>
        </w:rPr>
        <w:t>S</w:t>
      </w:r>
      <w:r w:rsidRPr="00B77FDB">
        <w:rPr>
          <w:rFonts w:ascii="Calibri" w:eastAsia="Calibri" w:hAnsi="Calibri" w:cs="Calibri"/>
        </w:rPr>
        <w:t>ervices (CMS)</w:t>
      </w:r>
      <w:r w:rsidR="00591101" w:rsidRPr="00B77FDB">
        <w:rPr>
          <w:rFonts w:ascii="Calibri" w:eastAsia="Calibri" w:hAnsi="Calibri" w:cs="Calibri"/>
        </w:rPr>
        <w:t xml:space="preserve"> </w:t>
      </w:r>
    </w:p>
    <w:p w14:paraId="14D502CF" w14:textId="6903943A" w:rsidR="00C9215C" w:rsidRDefault="00F063CB" w:rsidP="000D25EE">
      <w:pPr>
        <w:tabs>
          <w:tab w:val="left" w:pos="360"/>
        </w:tabs>
        <w:spacing w:after="0"/>
        <w:rPr>
          <w:rFonts w:ascii="Calibri" w:eastAsia="Calibri" w:hAnsi="Calibri" w:cs="Calibri"/>
        </w:rPr>
      </w:pPr>
      <w:r>
        <w:rPr>
          <w:rFonts w:ascii="Calibri" w:eastAsia="Calibri" w:hAnsi="Calibri" w:cs="Calibri"/>
        </w:rPr>
        <w:t>The</w:t>
      </w:r>
      <w:r w:rsidR="00A82C93">
        <w:rPr>
          <w:rFonts w:ascii="Calibri" w:eastAsia="Calibri" w:hAnsi="Calibri" w:cs="Calibri"/>
        </w:rPr>
        <w:t>se</w:t>
      </w:r>
      <w:r>
        <w:rPr>
          <w:rFonts w:ascii="Calibri" w:eastAsia="Calibri" w:hAnsi="Calibri" w:cs="Calibri"/>
        </w:rPr>
        <w:t xml:space="preserve"> agencies collaborate i</w:t>
      </w:r>
      <w:r w:rsidR="00062B36">
        <w:rPr>
          <w:rFonts w:ascii="Calibri" w:eastAsia="Calibri" w:hAnsi="Calibri" w:cs="Calibri"/>
        </w:rPr>
        <w:t>n</w:t>
      </w:r>
      <w:r w:rsidR="00062B36" w:rsidRPr="00B77FDB">
        <w:rPr>
          <w:rFonts w:ascii="Calibri" w:eastAsia="Calibri" w:hAnsi="Calibri" w:cs="Calibri"/>
        </w:rPr>
        <w:t xml:space="preserve"> </w:t>
      </w:r>
      <w:r w:rsidR="00591101" w:rsidRPr="00B77FDB">
        <w:rPr>
          <w:rFonts w:ascii="Calibri" w:eastAsia="Calibri" w:hAnsi="Calibri" w:cs="Calibri"/>
        </w:rPr>
        <w:t xml:space="preserve">the development of </w:t>
      </w:r>
      <w:r w:rsidR="00062B36">
        <w:rPr>
          <w:rFonts w:ascii="Calibri" w:eastAsia="Calibri" w:hAnsi="Calibri" w:cs="Calibri"/>
        </w:rPr>
        <w:t xml:space="preserve">standards for </w:t>
      </w:r>
      <w:r>
        <w:rPr>
          <w:rFonts w:ascii="Calibri" w:eastAsia="Calibri" w:hAnsi="Calibri" w:cs="Calibri"/>
        </w:rPr>
        <w:t>e</w:t>
      </w:r>
      <w:r w:rsidR="00591101" w:rsidRPr="00B77FDB">
        <w:rPr>
          <w:rFonts w:ascii="Calibri" w:eastAsia="Calibri" w:hAnsi="Calibri" w:cs="Calibri"/>
        </w:rPr>
        <w:t xml:space="preserve">lectronic </w:t>
      </w:r>
      <w:r>
        <w:rPr>
          <w:rFonts w:ascii="Calibri" w:eastAsia="Calibri" w:hAnsi="Calibri" w:cs="Calibri"/>
        </w:rPr>
        <w:t>m</w:t>
      </w:r>
      <w:r w:rsidR="00591101" w:rsidRPr="00B77FDB">
        <w:rPr>
          <w:rFonts w:ascii="Calibri" w:eastAsia="Calibri" w:hAnsi="Calibri" w:cs="Calibri"/>
        </w:rPr>
        <w:t>edical</w:t>
      </w:r>
      <w:r w:rsidR="002B164E" w:rsidRPr="00B77FDB">
        <w:rPr>
          <w:rFonts w:ascii="Calibri" w:eastAsia="Calibri" w:hAnsi="Calibri" w:cs="Calibri"/>
        </w:rPr>
        <w:t>/</w:t>
      </w:r>
      <w:r>
        <w:rPr>
          <w:rFonts w:ascii="Calibri" w:eastAsia="Calibri" w:hAnsi="Calibri" w:cs="Calibri"/>
        </w:rPr>
        <w:t>h</w:t>
      </w:r>
      <w:r w:rsidR="002B164E" w:rsidRPr="00B77FDB">
        <w:rPr>
          <w:rFonts w:ascii="Calibri" w:eastAsia="Calibri" w:hAnsi="Calibri" w:cs="Calibri"/>
        </w:rPr>
        <w:t>ealth</w:t>
      </w:r>
      <w:r w:rsidR="00591101" w:rsidRPr="00B77FDB">
        <w:rPr>
          <w:rFonts w:ascii="Calibri" w:eastAsia="Calibri" w:hAnsi="Calibri" w:cs="Calibri"/>
        </w:rPr>
        <w:t xml:space="preserve"> </w:t>
      </w:r>
      <w:r>
        <w:rPr>
          <w:rFonts w:ascii="Calibri" w:eastAsia="Calibri" w:hAnsi="Calibri" w:cs="Calibri"/>
        </w:rPr>
        <w:t>r</w:t>
      </w:r>
      <w:r w:rsidR="00591101" w:rsidRPr="00B77FDB">
        <w:rPr>
          <w:rFonts w:ascii="Calibri" w:eastAsia="Calibri" w:hAnsi="Calibri" w:cs="Calibri"/>
        </w:rPr>
        <w:t>ecords (EMR</w:t>
      </w:r>
      <w:r w:rsidR="002B164E" w:rsidRPr="00B77FDB">
        <w:rPr>
          <w:rFonts w:ascii="Calibri" w:eastAsia="Calibri" w:hAnsi="Calibri" w:cs="Calibri"/>
        </w:rPr>
        <w:t>/EHR</w:t>
      </w:r>
      <w:r w:rsidR="00591101" w:rsidRPr="00B77FDB">
        <w:rPr>
          <w:rFonts w:ascii="Calibri" w:eastAsia="Calibri" w:hAnsi="Calibri" w:cs="Calibri"/>
        </w:rPr>
        <w:t>)</w:t>
      </w:r>
      <w:r w:rsidR="00DD11E3" w:rsidRPr="00B77FDB">
        <w:rPr>
          <w:rFonts w:ascii="Calibri" w:eastAsia="Calibri" w:hAnsi="Calibri" w:cs="Calibri"/>
        </w:rPr>
        <w:t>,</w:t>
      </w:r>
      <w:r w:rsidR="00F35CA5" w:rsidRPr="00B77FDB">
        <w:rPr>
          <w:rFonts w:ascii="Calibri" w:eastAsia="Calibri" w:hAnsi="Calibri" w:cs="Calibri"/>
        </w:rPr>
        <w:t xml:space="preserve"> </w:t>
      </w:r>
      <w:r w:rsidR="00591101" w:rsidRPr="00B77FDB">
        <w:rPr>
          <w:rFonts w:ascii="Calibri" w:eastAsia="Calibri" w:hAnsi="Calibri" w:cs="Calibri"/>
        </w:rPr>
        <w:t>health information and terminology</w:t>
      </w:r>
      <w:r w:rsidR="00DD11E3" w:rsidRPr="00B77FDB">
        <w:rPr>
          <w:rFonts w:ascii="Calibri" w:eastAsia="Calibri" w:hAnsi="Calibri" w:cs="Calibri"/>
        </w:rPr>
        <w:t>,</w:t>
      </w:r>
      <w:r w:rsidR="00F35CA5" w:rsidRPr="00B77FDB">
        <w:rPr>
          <w:rFonts w:ascii="Calibri" w:eastAsia="Calibri" w:hAnsi="Calibri" w:cs="Calibri"/>
        </w:rPr>
        <w:t xml:space="preserve"> and t</w:t>
      </w:r>
      <w:r w:rsidR="00591101" w:rsidRPr="00B77FDB">
        <w:rPr>
          <w:rFonts w:ascii="Calibri" w:eastAsia="Calibri" w:hAnsi="Calibri" w:cs="Calibri"/>
        </w:rPr>
        <w:t xml:space="preserve">he coordination of </w:t>
      </w:r>
      <w:r w:rsidR="00062B36">
        <w:rPr>
          <w:rFonts w:ascii="Calibri" w:eastAsia="Calibri" w:hAnsi="Calibri" w:cs="Calibri"/>
        </w:rPr>
        <w:t>cross-</w:t>
      </w:r>
      <w:r w:rsidR="00591101" w:rsidRPr="00B77FDB">
        <w:rPr>
          <w:rFonts w:ascii="Calibri" w:eastAsia="Calibri" w:hAnsi="Calibri" w:cs="Calibri"/>
        </w:rPr>
        <w:t xml:space="preserve">agency efforts </w:t>
      </w:r>
      <w:r w:rsidR="00062B36">
        <w:rPr>
          <w:rFonts w:ascii="Calibri" w:eastAsia="Calibri" w:hAnsi="Calibri" w:cs="Calibri"/>
        </w:rPr>
        <w:t>in</w:t>
      </w:r>
      <w:r w:rsidR="00062B36" w:rsidRPr="00B77FDB">
        <w:rPr>
          <w:rFonts w:ascii="Calibri" w:eastAsia="Calibri" w:hAnsi="Calibri" w:cs="Calibri"/>
        </w:rPr>
        <w:t xml:space="preserve"> </w:t>
      </w:r>
      <w:r w:rsidR="00591101" w:rsidRPr="00B77FDB">
        <w:rPr>
          <w:rFonts w:ascii="Calibri" w:eastAsia="Calibri" w:hAnsi="Calibri" w:cs="Calibri"/>
        </w:rPr>
        <w:t>relevant SDOs. Many partner agencies are active in SDOs</w:t>
      </w:r>
      <w:r w:rsidR="006A1263">
        <w:rPr>
          <w:rFonts w:ascii="Calibri" w:eastAsia="Calibri" w:hAnsi="Calibri" w:cs="Calibri"/>
        </w:rPr>
        <w:t>; t</w:t>
      </w:r>
      <w:r w:rsidR="00F35CA5" w:rsidRPr="00B77FDB">
        <w:rPr>
          <w:rFonts w:ascii="Calibri" w:eastAsia="Calibri" w:hAnsi="Calibri" w:cs="Calibri"/>
        </w:rPr>
        <w:t xml:space="preserve">his </w:t>
      </w:r>
      <w:r w:rsidR="00591101" w:rsidRPr="00B77FDB">
        <w:rPr>
          <w:rFonts w:ascii="Calibri" w:eastAsia="Calibri" w:hAnsi="Calibri" w:cs="Calibri"/>
        </w:rPr>
        <w:t>enables the FHIMS program to unify agencies into a single voice</w:t>
      </w:r>
      <w:r w:rsidR="00F35CA5" w:rsidRPr="00B77FDB">
        <w:rPr>
          <w:rFonts w:ascii="Calibri" w:eastAsia="Calibri" w:hAnsi="Calibri" w:cs="Calibri"/>
        </w:rPr>
        <w:t xml:space="preserve"> while limiting </w:t>
      </w:r>
      <w:r w:rsidR="00591101" w:rsidRPr="00B77FDB">
        <w:rPr>
          <w:rFonts w:ascii="Calibri" w:eastAsia="Calibri" w:hAnsi="Calibri" w:cs="Calibri"/>
        </w:rPr>
        <w:t>redundant SDO participation. For those agencies that do not yet have a presence in a</w:t>
      </w:r>
      <w:r>
        <w:rPr>
          <w:rFonts w:ascii="Calibri" w:eastAsia="Calibri" w:hAnsi="Calibri" w:cs="Calibri"/>
        </w:rPr>
        <w:t>n</w:t>
      </w:r>
      <w:r w:rsidR="00591101" w:rsidRPr="00B77FDB">
        <w:rPr>
          <w:rFonts w:ascii="Calibri" w:eastAsia="Calibri" w:hAnsi="Calibri" w:cs="Calibri"/>
        </w:rPr>
        <w:t xml:space="preserve"> </w:t>
      </w:r>
      <w:r w:rsidR="00D8647C" w:rsidRPr="00B77FDB">
        <w:rPr>
          <w:rFonts w:ascii="Calibri" w:eastAsia="Calibri" w:hAnsi="Calibri" w:cs="Calibri"/>
        </w:rPr>
        <w:t>SDO</w:t>
      </w:r>
      <w:r w:rsidR="00591101" w:rsidRPr="00B77FDB">
        <w:rPr>
          <w:rFonts w:ascii="Calibri" w:eastAsia="Calibri" w:hAnsi="Calibri" w:cs="Calibri"/>
        </w:rPr>
        <w:t>, the FHIMS program provide</w:t>
      </w:r>
      <w:r w:rsidR="006A1263">
        <w:rPr>
          <w:rFonts w:ascii="Calibri" w:eastAsia="Calibri" w:hAnsi="Calibri" w:cs="Calibri"/>
        </w:rPr>
        <w:t>s</w:t>
      </w:r>
      <w:r w:rsidR="00591101" w:rsidRPr="00B77FDB">
        <w:rPr>
          <w:rFonts w:ascii="Calibri" w:eastAsia="Calibri" w:hAnsi="Calibri" w:cs="Calibri"/>
        </w:rPr>
        <w:t xml:space="preserve"> a mechanism for agencies to delegate issues to another agency. </w:t>
      </w:r>
    </w:p>
    <w:p w14:paraId="6340006E" w14:textId="77777777" w:rsidR="008F38B0" w:rsidRDefault="008F38B0" w:rsidP="008F38B0">
      <w:pPr>
        <w:pStyle w:val="Heading1"/>
        <w:rPr>
          <w:rFonts w:eastAsia="Calibri Light"/>
        </w:rPr>
      </w:pPr>
      <w:r w:rsidRPr="00B239EA">
        <w:rPr>
          <w:rFonts w:eastAsia="Calibri Light"/>
        </w:rPr>
        <w:t xml:space="preserve">Federal Health </w:t>
      </w:r>
      <w:r w:rsidRPr="000D25EE">
        <w:rPr>
          <w:rFonts w:eastAsia="Calibri Light"/>
        </w:rPr>
        <w:t>Interoperability Model</w:t>
      </w:r>
      <w:r>
        <w:rPr>
          <w:rFonts w:eastAsia="Calibri Light"/>
        </w:rPr>
        <w:t xml:space="preserve"> (FHIM)</w:t>
      </w:r>
    </w:p>
    <w:p w14:paraId="1DDFA4EC" w14:textId="04991754" w:rsidR="006264A0" w:rsidRDefault="00591101" w:rsidP="000D25EE">
      <w:pPr>
        <w:tabs>
          <w:tab w:val="left" w:pos="360"/>
        </w:tabs>
        <w:spacing w:after="0"/>
        <w:rPr>
          <w:rFonts w:eastAsia="Calibri" w:cstheme="minorHAnsi"/>
        </w:rPr>
      </w:pPr>
      <w:r w:rsidRPr="00B77FDB">
        <w:rPr>
          <w:rFonts w:ascii="Calibri" w:eastAsia="Calibri" w:hAnsi="Calibri" w:cs="Calibri"/>
        </w:rPr>
        <w:t>Together these agency experts</w:t>
      </w:r>
      <w:r w:rsidR="00CA2BDC" w:rsidRPr="00B77FDB">
        <w:rPr>
          <w:rFonts w:ascii="Calibri" w:eastAsia="Calibri" w:hAnsi="Calibri" w:cs="Calibri"/>
        </w:rPr>
        <w:t xml:space="preserve">, including </w:t>
      </w:r>
      <w:r w:rsidR="00F063CB">
        <w:rPr>
          <w:rFonts w:ascii="Calibri" w:eastAsia="Calibri" w:hAnsi="Calibri" w:cs="Calibri"/>
        </w:rPr>
        <w:t>a</w:t>
      </w:r>
      <w:r w:rsidR="00CA2BDC" w:rsidRPr="00B77FDB">
        <w:rPr>
          <w:rFonts w:ascii="Calibri" w:eastAsia="Calibri" w:hAnsi="Calibri" w:cs="Calibri"/>
        </w:rPr>
        <w:t xml:space="preserve">gency </w:t>
      </w:r>
      <w:r w:rsidR="00F063CB">
        <w:rPr>
          <w:rFonts w:ascii="Calibri" w:eastAsia="Calibri" w:hAnsi="Calibri" w:cs="Calibri"/>
        </w:rPr>
        <w:t>s</w:t>
      </w:r>
      <w:r w:rsidR="00CA2BDC" w:rsidRPr="00B77FDB">
        <w:rPr>
          <w:rFonts w:ascii="Calibri" w:eastAsia="Calibri" w:hAnsi="Calibri" w:cs="Calibri"/>
        </w:rPr>
        <w:t xml:space="preserve">ubject </w:t>
      </w:r>
      <w:r w:rsidR="00F063CB">
        <w:rPr>
          <w:rFonts w:ascii="Calibri" w:eastAsia="Calibri" w:hAnsi="Calibri" w:cs="Calibri"/>
        </w:rPr>
        <w:t>m</w:t>
      </w:r>
      <w:r w:rsidR="00CA2BDC" w:rsidRPr="00B77FDB">
        <w:rPr>
          <w:rFonts w:ascii="Calibri" w:eastAsia="Calibri" w:hAnsi="Calibri" w:cs="Calibri"/>
        </w:rPr>
        <w:t xml:space="preserve">atter </w:t>
      </w:r>
      <w:r w:rsidR="00F063CB">
        <w:rPr>
          <w:rFonts w:ascii="Calibri" w:eastAsia="Calibri" w:hAnsi="Calibri" w:cs="Calibri"/>
        </w:rPr>
        <w:t>e</w:t>
      </w:r>
      <w:r w:rsidR="00CA2BDC" w:rsidRPr="00B77FDB">
        <w:rPr>
          <w:rFonts w:ascii="Calibri" w:eastAsia="Calibri" w:hAnsi="Calibri" w:cs="Calibri"/>
        </w:rPr>
        <w:t>xperts (SMEs), clinicians</w:t>
      </w:r>
      <w:r w:rsidR="00F063CB">
        <w:rPr>
          <w:rFonts w:ascii="Calibri" w:eastAsia="Calibri" w:hAnsi="Calibri" w:cs="Calibri"/>
        </w:rPr>
        <w:t>,</w:t>
      </w:r>
      <w:r w:rsidR="00CA2BDC" w:rsidRPr="00B77FDB">
        <w:rPr>
          <w:rFonts w:ascii="Calibri" w:eastAsia="Calibri" w:hAnsi="Calibri" w:cs="Calibri"/>
        </w:rPr>
        <w:t xml:space="preserve"> and terminologists </w:t>
      </w:r>
      <w:r w:rsidR="00C9215C">
        <w:rPr>
          <w:rFonts w:ascii="Calibri" w:eastAsia="Calibri" w:hAnsi="Calibri" w:cs="Calibri"/>
        </w:rPr>
        <w:t xml:space="preserve">have </w:t>
      </w:r>
      <w:r w:rsidR="00CA2BDC" w:rsidRPr="00B77FDB">
        <w:rPr>
          <w:rFonts w:ascii="Calibri" w:eastAsia="Calibri" w:hAnsi="Calibri" w:cs="Calibri"/>
        </w:rPr>
        <w:t>developed and now maintain the F</w:t>
      </w:r>
      <w:r w:rsidR="00C3644F" w:rsidRPr="00B77FDB">
        <w:rPr>
          <w:rFonts w:ascii="Calibri" w:eastAsia="Calibri" w:hAnsi="Calibri" w:cs="Calibri"/>
        </w:rPr>
        <w:t xml:space="preserve">ederal </w:t>
      </w:r>
      <w:r w:rsidR="00CA2BDC" w:rsidRPr="00B77FDB">
        <w:rPr>
          <w:rFonts w:ascii="Calibri" w:eastAsia="Calibri" w:hAnsi="Calibri" w:cs="Calibri"/>
        </w:rPr>
        <w:t>H</w:t>
      </w:r>
      <w:r w:rsidR="00C3644F" w:rsidRPr="00B77FDB">
        <w:rPr>
          <w:rFonts w:ascii="Calibri" w:eastAsia="Calibri" w:hAnsi="Calibri" w:cs="Calibri"/>
        </w:rPr>
        <w:t>ealth</w:t>
      </w:r>
      <w:r w:rsidR="00D250D6" w:rsidRPr="00B77FDB">
        <w:rPr>
          <w:rFonts w:ascii="Calibri" w:eastAsia="Calibri" w:hAnsi="Calibri" w:cs="Calibri"/>
        </w:rPr>
        <w:t xml:space="preserve"> Information Model (FHIM)</w:t>
      </w:r>
      <w:r w:rsidR="00CA2BDC" w:rsidRPr="00B77FDB">
        <w:rPr>
          <w:rFonts w:ascii="Calibri" w:eastAsia="Calibri" w:hAnsi="Calibri" w:cs="Calibri"/>
        </w:rPr>
        <w:t>.</w:t>
      </w:r>
      <w:r w:rsidR="00D250D6" w:rsidRPr="00B77FDB">
        <w:rPr>
          <w:rFonts w:ascii="Calibri" w:eastAsia="Calibri" w:hAnsi="Calibri" w:cs="Calibri"/>
        </w:rPr>
        <w:t xml:space="preserve"> FHIM encompasses over 85% of the health domain and </w:t>
      </w:r>
      <w:r w:rsidR="006C6B4A" w:rsidRPr="00B77FDB">
        <w:rPr>
          <w:rFonts w:ascii="Calibri" w:eastAsia="Calibri" w:hAnsi="Calibri" w:cs="Calibri"/>
        </w:rPr>
        <w:t xml:space="preserve">proscribes to the implementer exactly which terminology should be used for a given exchange, dictated by HIPAA, NCPDP, etc. </w:t>
      </w:r>
      <w:r w:rsidR="00C9215C">
        <w:rPr>
          <w:rFonts w:ascii="Calibri" w:eastAsia="Calibri" w:hAnsi="Calibri" w:cs="Calibri"/>
        </w:rPr>
        <w:t>This allows NIEM Health developers to</w:t>
      </w:r>
      <w:r w:rsidR="00CC48F1">
        <w:rPr>
          <w:rFonts w:eastAsia="Calibri" w:cstheme="minorHAnsi"/>
        </w:rPr>
        <w:t xml:space="preserve"> </w:t>
      </w:r>
      <w:r w:rsidR="00CC48F1" w:rsidRPr="005D695A">
        <w:rPr>
          <w:rFonts w:eastAsia="Calibri" w:cstheme="minorHAnsi"/>
        </w:rPr>
        <w:t>identify</w:t>
      </w:r>
      <w:r w:rsidR="00CC48F1">
        <w:rPr>
          <w:rFonts w:eastAsia="Calibri" w:cstheme="minorHAnsi"/>
        </w:rPr>
        <w:t xml:space="preserve"> and map</w:t>
      </w:r>
      <w:r w:rsidR="00CC48F1" w:rsidRPr="005D695A">
        <w:rPr>
          <w:rFonts w:eastAsia="Calibri" w:cstheme="minorHAnsi"/>
        </w:rPr>
        <w:t xml:space="preserve"> key health </w:t>
      </w:r>
      <w:r w:rsidR="00CC48F1">
        <w:rPr>
          <w:rFonts w:eastAsia="Calibri" w:cstheme="minorHAnsi"/>
        </w:rPr>
        <w:t xml:space="preserve">standard </w:t>
      </w:r>
      <w:r w:rsidR="00CC48F1" w:rsidRPr="005D695A">
        <w:rPr>
          <w:rFonts w:eastAsia="Calibri" w:cstheme="minorHAnsi"/>
        </w:rPr>
        <w:t xml:space="preserve">data elements </w:t>
      </w:r>
      <w:r w:rsidR="00C9215C">
        <w:rPr>
          <w:rFonts w:eastAsia="Calibri" w:cstheme="minorHAnsi"/>
        </w:rPr>
        <w:t>from the FHIM</w:t>
      </w:r>
      <w:r w:rsidR="00CC48F1">
        <w:rPr>
          <w:rFonts w:eastAsia="Calibri" w:cstheme="minorHAnsi"/>
        </w:rPr>
        <w:t xml:space="preserve"> instead of </w:t>
      </w:r>
      <w:r w:rsidR="00CC48F1" w:rsidRPr="005D695A">
        <w:rPr>
          <w:rFonts w:eastAsia="Calibri" w:cstheme="minorHAnsi"/>
        </w:rPr>
        <w:t>model</w:t>
      </w:r>
      <w:r w:rsidR="00CC48F1">
        <w:rPr>
          <w:rFonts w:eastAsia="Calibri" w:cstheme="minorHAnsi"/>
        </w:rPr>
        <w:t>ing</w:t>
      </w:r>
      <w:r w:rsidR="00CC48F1" w:rsidRPr="005D695A">
        <w:rPr>
          <w:rFonts w:eastAsia="Calibri" w:cstheme="minorHAnsi"/>
        </w:rPr>
        <w:t xml:space="preserve"> a </w:t>
      </w:r>
      <w:r w:rsidR="00CC48F1">
        <w:rPr>
          <w:rFonts w:eastAsia="Calibri" w:cstheme="minorHAnsi"/>
        </w:rPr>
        <w:t xml:space="preserve">NIEM Health </w:t>
      </w:r>
      <w:r w:rsidR="00CC48F1" w:rsidRPr="005D695A">
        <w:rPr>
          <w:rFonts w:eastAsia="Calibri" w:cstheme="minorHAnsi"/>
        </w:rPr>
        <w:t>domain</w:t>
      </w:r>
      <w:r w:rsidR="00CC48F1">
        <w:rPr>
          <w:rFonts w:eastAsia="Calibri" w:cstheme="minorHAnsi"/>
        </w:rPr>
        <w:t xml:space="preserve"> from scratch. </w:t>
      </w:r>
    </w:p>
    <w:p w14:paraId="1E2B5D19" w14:textId="77777777" w:rsidR="00F063CB" w:rsidRPr="00B77FDB" w:rsidRDefault="00F063CB" w:rsidP="000D25EE">
      <w:pPr>
        <w:tabs>
          <w:tab w:val="left" w:pos="360"/>
        </w:tabs>
        <w:spacing w:after="0"/>
        <w:rPr>
          <w:rFonts w:ascii="Calibri" w:eastAsia="Calibri" w:hAnsi="Calibri" w:cs="Calibri"/>
        </w:rPr>
      </w:pPr>
    </w:p>
    <w:p w14:paraId="0C6C06E5" w14:textId="1BF45359" w:rsidR="006264A0" w:rsidRDefault="00591101">
      <w:pPr>
        <w:tabs>
          <w:tab w:val="left" w:pos="360"/>
        </w:tabs>
        <w:spacing w:after="0"/>
        <w:rPr>
          <w:rFonts w:ascii="Calibri" w:eastAsia="Calibri" w:hAnsi="Calibri" w:cs="Calibri"/>
        </w:rPr>
      </w:pPr>
      <w:r>
        <w:rPr>
          <w:rFonts w:ascii="Calibri" w:eastAsia="Calibri" w:hAnsi="Calibri" w:cs="Calibri"/>
        </w:rPr>
        <w:t xml:space="preserve">FHIM is a logical health information </w:t>
      </w:r>
      <w:r w:rsidR="006B1A1E">
        <w:rPr>
          <w:rFonts w:ascii="Calibri" w:eastAsia="Calibri" w:hAnsi="Calibri" w:cs="Calibri"/>
        </w:rPr>
        <w:t>model that</w:t>
      </w:r>
      <w:r>
        <w:rPr>
          <w:rFonts w:ascii="Calibri" w:eastAsia="Calibri" w:hAnsi="Calibri" w:cs="Calibri"/>
        </w:rPr>
        <w:t xml:space="preserve"> supports semantic interoperability through development of a comprehensive and integrated set of implementation guides. The model harmonizes information and terminology content across federal partners and SDOs</w:t>
      </w:r>
      <w:r w:rsidR="00AD3951">
        <w:rPr>
          <w:rFonts w:ascii="Calibri" w:eastAsia="Calibri" w:hAnsi="Calibri" w:cs="Calibri"/>
        </w:rPr>
        <w:t>,</w:t>
      </w:r>
      <w:r>
        <w:rPr>
          <w:rFonts w:ascii="Calibri" w:eastAsia="Calibri" w:hAnsi="Calibri" w:cs="Calibri"/>
        </w:rPr>
        <w:t xml:space="preserve"> and can standardize data concepts and serve as a repository of such concepts. </w:t>
      </w:r>
      <w:r w:rsidR="00B17ACC">
        <w:rPr>
          <w:rFonts w:ascii="Calibri" w:eastAsia="Calibri" w:hAnsi="Calibri" w:cs="Calibri"/>
        </w:rPr>
        <w:t xml:space="preserve">As </w:t>
      </w:r>
      <w:r w:rsidR="009F55BD" w:rsidRPr="009F55BD">
        <w:rPr>
          <w:rFonts w:ascii="Calibri" w:eastAsia="Calibri" w:hAnsi="Calibri" w:cs="Calibri"/>
        </w:rPr>
        <w:t>a</w:t>
      </w:r>
      <w:r w:rsidR="00CA2BDC">
        <w:rPr>
          <w:rFonts w:ascii="Calibri" w:eastAsia="Calibri" w:hAnsi="Calibri" w:cs="Calibri"/>
        </w:rPr>
        <w:t>n</w:t>
      </w:r>
      <w:r w:rsidR="009F55BD" w:rsidRPr="009F55BD">
        <w:rPr>
          <w:rFonts w:ascii="Calibri" w:eastAsia="Calibri" w:hAnsi="Calibri" w:cs="Calibri"/>
        </w:rPr>
        <w:t xml:space="preserve"> </w:t>
      </w:r>
      <w:r w:rsidR="00CA2BDC">
        <w:rPr>
          <w:rFonts w:ascii="Calibri" w:eastAsia="Calibri" w:hAnsi="Calibri" w:cs="Calibri"/>
        </w:rPr>
        <w:t>implementation-</w:t>
      </w:r>
      <w:r w:rsidR="00CA2BDC" w:rsidRPr="009F55BD">
        <w:rPr>
          <w:rFonts w:ascii="Calibri" w:eastAsia="Calibri" w:hAnsi="Calibri" w:cs="Calibri"/>
        </w:rPr>
        <w:t xml:space="preserve">neutral </w:t>
      </w:r>
      <w:r w:rsidR="00CA2BDC">
        <w:rPr>
          <w:rFonts w:ascii="Calibri" w:eastAsia="Calibri" w:hAnsi="Calibri" w:cs="Calibri"/>
        </w:rPr>
        <w:t>planning and reference tool</w:t>
      </w:r>
      <w:r w:rsidR="00F063CB">
        <w:rPr>
          <w:rFonts w:ascii="Calibri" w:eastAsia="Calibri" w:hAnsi="Calibri" w:cs="Calibri"/>
        </w:rPr>
        <w:t>,</w:t>
      </w:r>
      <w:r w:rsidR="00CA2BDC">
        <w:rPr>
          <w:rFonts w:ascii="Calibri" w:eastAsia="Calibri" w:hAnsi="Calibri" w:cs="Calibri"/>
        </w:rPr>
        <w:t xml:space="preserve"> </w:t>
      </w:r>
      <w:r w:rsidR="00B17ACC">
        <w:rPr>
          <w:rFonts w:ascii="Calibri" w:eastAsia="Calibri" w:hAnsi="Calibri" w:cs="Calibri"/>
        </w:rPr>
        <w:t xml:space="preserve">FHIM </w:t>
      </w:r>
      <w:r w:rsidR="009F55BD" w:rsidRPr="009F55BD">
        <w:rPr>
          <w:rFonts w:ascii="Calibri" w:eastAsia="Calibri" w:hAnsi="Calibri" w:cs="Calibri"/>
        </w:rPr>
        <w:t xml:space="preserve">can be used to </w:t>
      </w:r>
      <w:r w:rsidR="00C76581">
        <w:rPr>
          <w:rFonts w:ascii="Calibri" w:eastAsia="Calibri" w:hAnsi="Calibri" w:cs="Calibri"/>
        </w:rPr>
        <w:t>develop</w:t>
      </w:r>
      <w:r w:rsidR="00C76581" w:rsidRPr="009F55BD">
        <w:rPr>
          <w:rFonts w:ascii="Calibri" w:eastAsia="Calibri" w:hAnsi="Calibri" w:cs="Calibri"/>
        </w:rPr>
        <w:t xml:space="preserve"> </w:t>
      </w:r>
      <w:r w:rsidR="009F55BD" w:rsidRPr="009F55BD">
        <w:rPr>
          <w:rFonts w:ascii="Calibri" w:eastAsia="Calibri" w:hAnsi="Calibri" w:cs="Calibri"/>
        </w:rPr>
        <w:t xml:space="preserve">other </w:t>
      </w:r>
      <w:r w:rsidR="00B17ACC">
        <w:rPr>
          <w:rFonts w:ascii="Calibri" w:eastAsia="Calibri" w:hAnsi="Calibri" w:cs="Calibri"/>
        </w:rPr>
        <w:t>health information models</w:t>
      </w:r>
      <w:r w:rsidR="00CA2BDC">
        <w:rPr>
          <w:rFonts w:ascii="Calibri" w:eastAsia="Calibri" w:hAnsi="Calibri" w:cs="Calibri"/>
        </w:rPr>
        <w:t>,</w:t>
      </w:r>
      <w:r w:rsidR="009F55BD" w:rsidRPr="009F55BD">
        <w:rPr>
          <w:rFonts w:ascii="Calibri" w:eastAsia="Calibri" w:hAnsi="Calibri" w:cs="Calibri"/>
        </w:rPr>
        <w:t xml:space="preserve"> </w:t>
      </w:r>
      <w:r w:rsidR="00C76581">
        <w:rPr>
          <w:rFonts w:ascii="Calibri" w:eastAsia="Calibri" w:hAnsi="Calibri" w:cs="Calibri"/>
        </w:rPr>
        <w:t xml:space="preserve">including NIEM Health elements and </w:t>
      </w:r>
      <w:r w:rsidR="009F55BD" w:rsidRPr="009F55BD">
        <w:rPr>
          <w:rFonts w:ascii="Calibri" w:eastAsia="Calibri" w:hAnsi="Calibri" w:cs="Calibri"/>
        </w:rPr>
        <w:t>NIEM</w:t>
      </w:r>
      <w:r w:rsidR="00C76581">
        <w:rPr>
          <w:rFonts w:ascii="Calibri" w:eastAsia="Calibri" w:hAnsi="Calibri" w:cs="Calibri"/>
        </w:rPr>
        <w:t xml:space="preserve"> Health</w:t>
      </w:r>
      <w:r w:rsidR="009F55BD" w:rsidRPr="009F55BD">
        <w:rPr>
          <w:rFonts w:ascii="Calibri" w:eastAsia="Calibri" w:hAnsi="Calibri" w:cs="Calibri"/>
        </w:rPr>
        <w:t xml:space="preserve"> </w:t>
      </w:r>
      <w:r w:rsidR="00C81AB2">
        <w:rPr>
          <w:rFonts w:ascii="Calibri" w:eastAsia="Calibri" w:hAnsi="Calibri" w:cs="Calibri"/>
        </w:rPr>
        <w:t>IEPD</w:t>
      </w:r>
      <w:r w:rsidR="00C76581">
        <w:rPr>
          <w:rFonts w:ascii="Calibri" w:eastAsia="Calibri" w:hAnsi="Calibri" w:cs="Calibri"/>
        </w:rPr>
        <w:t>s.</w:t>
      </w:r>
    </w:p>
    <w:p w14:paraId="27512DE0" w14:textId="77777777" w:rsidR="006264A0" w:rsidRDefault="006264A0">
      <w:pPr>
        <w:tabs>
          <w:tab w:val="left" w:pos="360"/>
        </w:tabs>
        <w:spacing w:after="0"/>
        <w:rPr>
          <w:rFonts w:ascii="Calibri" w:eastAsia="Calibri" w:hAnsi="Calibri" w:cs="Calibri"/>
        </w:rPr>
      </w:pPr>
    </w:p>
    <w:p w14:paraId="2F88CE4D" w14:textId="1A0C1855" w:rsidR="00294FAB" w:rsidRDefault="00591101" w:rsidP="00EB0FC6">
      <w:pPr>
        <w:rPr>
          <w:rFonts w:ascii="Calibri" w:eastAsia="Calibri" w:hAnsi="Calibri" w:cs="Calibri"/>
        </w:rPr>
      </w:pPr>
      <w:r>
        <w:rPr>
          <w:rFonts w:ascii="Calibri" w:eastAsia="Calibri" w:hAnsi="Calibri" w:cs="Calibri"/>
        </w:rPr>
        <w:t>FHIM is modeled in standard Unified Modeling Language (UML) with both structural and terminology concept</w:t>
      </w:r>
      <w:r w:rsidR="00DD11E3">
        <w:rPr>
          <w:rFonts w:ascii="Calibri" w:eastAsia="Calibri" w:hAnsi="Calibri" w:cs="Calibri"/>
        </w:rPr>
        <w:t xml:space="preserve">s, </w:t>
      </w:r>
      <w:r>
        <w:rPr>
          <w:rFonts w:ascii="Calibri" w:eastAsia="Calibri" w:hAnsi="Calibri" w:cs="Calibri"/>
        </w:rPr>
        <w:t>defin</w:t>
      </w:r>
      <w:r w:rsidR="00DD11E3">
        <w:rPr>
          <w:rFonts w:ascii="Calibri" w:eastAsia="Calibri" w:hAnsi="Calibri" w:cs="Calibri"/>
        </w:rPr>
        <w:t>ing</w:t>
      </w:r>
      <w:r>
        <w:rPr>
          <w:rFonts w:ascii="Calibri" w:eastAsia="Calibri" w:hAnsi="Calibri" w:cs="Calibri"/>
        </w:rPr>
        <w:t xml:space="preserve"> code systems, concept domains, and value sets. The </w:t>
      </w:r>
      <w:r w:rsidR="00F063CB">
        <w:rPr>
          <w:rFonts w:ascii="Calibri" w:eastAsia="Calibri" w:hAnsi="Calibri" w:cs="Calibri"/>
        </w:rPr>
        <w:t>t</w:t>
      </w:r>
      <w:r>
        <w:rPr>
          <w:rFonts w:ascii="Calibri" w:eastAsia="Calibri" w:hAnsi="Calibri" w:cs="Calibri"/>
        </w:rPr>
        <w:t xml:space="preserve">erminology model describes the underlying </w:t>
      </w:r>
      <w:r>
        <w:rPr>
          <w:rFonts w:ascii="Calibri" w:eastAsia="Calibri" w:hAnsi="Calibri" w:cs="Calibri"/>
        </w:rPr>
        <w:lastRenderedPageBreak/>
        <w:t>terminology constructs, including URLs and version numbers</w:t>
      </w:r>
      <w:r w:rsidR="00DD11E3">
        <w:rPr>
          <w:rFonts w:ascii="Calibri" w:eastAsia="Calibri" w:hAnsi="Calibri" w:cs="Calibri"/>
        </w:rPr>
        <w:t xml:space="preserve">. </w:t>
      </w:r>
      <w:r w:rsidR="003B53C8">
        <w:rPr>
          <w:rFonts w:ascii="Calibri" w:eastAsia="Calibri" w:hAnsi="Calibri" w:cs="Calibri"/>
        </w:rPr>
        <w:t xml:space="preserve">The </w:t>
      </w:r>
      <w:r>
        <w:rPr>
          <w:rFonts w:ascii="Calibri" w:eastAsia="Calibri" w:hAnsi="Calibri" w:cs="Calibri"/>
        </w:rPr>
        <w:t>FHIM logical</w:t>
      </w:r>
      <w:r w:rsidR="003B53C8">
        <w:rPr>
          <w:rFonts w:ascii="Calibri" w:eastAsia="Calibri" w:hAnsi="Calibri" w:cs="Calibri"/>
        </w:rPr>
        <w:t xml:space="preserve"> </w:t>
      </w:r>
      <w:r>
        <w:rPr>
          <w:rFonts w:ascii="Calibri" w:eastAsia="Calibri" w:hAnsi="Calibri" w:cs="Calibri"/>
        </w:rPr>
        <w:t xml:space="preserve">model “binds to” (i.e. links to) the FHIM </w:t>
      </w:r>
      <w:r w:rsidR="00F063CB">
        <w:rPr>
          <w:rFonts w:ascii="Calibri" w:eastAsia="Calibri" w:hAnsi="Calibri" w:cs="Calibri"/>
        </w:rPr>
        <w:t>t</w:t>
      </w:r>
      <w:r>
        <w:rPr>
          <w:rFonts w:ascii="Calibri" w:eastAsia="Calibri" w:hAnsi="Calibri" w:cs="Calibri"/>
        </w:rPr>
        <w:t xml:space="preserve">erminology model using the same UML </w:t>
      </w:r>
      <w:r w:rsidR="00F063CB">
        <w:rPr>
          <w:rFonts w:ascii="Calibri" w:eastAsia="Calibri" w:hAnsi="Calibri" w:cs="Calibri"/>
        </w:rPr>
        <w:t>p</w:t>
      </w:r>
      <w:r>
        <w:rPr>
          <w:rFonts w:ascii="Calibri" w:eastAsia="Calibri" w:hAnsi="Calibri" w:cs="Calibri"/>
        </w:rPr>
        <w:t>rofile. The combination of the two FHIM models result in rigorous specifications against which conformance can be tested</w:t>
      </w:r>
      <w:r w:rsidR="00DD11E3">
        <w:rPr>
          <w:rFonts w:ascii="Calibri" w:eastAsia="Calibri" w:hAnsi="Calibri" w:cs="Calibri"/>
        </w:rPr>
        <w:t xml:space="preserve">. </w:t>
      </w:r>
      <w:r>
        <w:rPr>
          <w:rFonts w:ascii="Calibri" w:eastAsia="Calibri" w:hAnsi="Calibri" w:cs="Calibri"/>
        </w:rPr>
        <w:t xml:space="preserve">FHIM maintains traceability to underlying standards </w:t>
      </w:r>
      <w:r w:rsidR="00834C06">
        <w:rPr>
          <w:rFonts w:ascii="Calibri" w:eastAsia="Calibri" w:hAnsi="Calibri" w:cs="Calibri"/>
        </w:rPr>
        <w:t>–</w:t>
      </w:r>
      <w:r>
        <w:rPr>
          <w:rFonts w:ascii="Calibri" w:eastAsia="Calibri" w:hAnsi="Calibri" w:cs="Calibri"/>
        </w:rPr>
        <w:t xml:space="preserve"> especially HL7, NCPDP, and X12 – as well as to S</w:t>
      </w:r>
      <w:r w:rsidR="00F063CB">
        <w:rPr>
          <w:rFonts w:ascii="Calibri" w:eastAsia="Calibri" w:hAnsi="Calibri" w:cs="Calibri"/>
        </w:rPr>
        <w:t>tandards &amp; Interoperability (S&amp;I)</w:t>
      </w:r>
      <w:r>
        <w:rPr>
          <w:rFonts w:ascii="Calibri" w:eastAsia="Calibri" w:hAnsi="Calibri" w:cs="Calibri"/>
        </w:rPr>
        <w:t xml:space="preserve"> </w:t>
      </w:r>
      <w:r w:rsidR="00F063CB">
        <w:rPr>
          <w:rFonts w:ascii="Calibri" w:eastAsia="Calibri" w:hAnsi="Calibri" w:cs="Calibri"/>
        </w:rPr>
        <w:t>i</w:t>
      </w:r>
      <w:r>
        <w:rPr>
          <w:rFonts w:ascii="Calibri" w:eastAsia="Calibri" w:hAnsi="Calibri" w:cs="Calibri"/>
        </w:rPr>
        <w:t>nitiatives. FHIM leverages the HL7 Reference Information Model (RIM) as a reference model, but can also leverage other reference models. FHIM derivative models add “interoperability use cases</w:t>
      </w:r>
      <w:r w:rsidR="00F063CB">
        <w:rPr>
          <w:rFonts w:ascii="Calibri" w:eastAsia="Calibri" w:hAnsi="Calibri" w:cs="Calibri"/>
        </w:rPr>
        <w:t>,</w:t>
      </w:r>
      <w:r>
        <w:rPr>
          <w:rFonts w:ascii="Calibri" w:eastAsia="Calibri" w:hAnsi="Calibri" w:cs="Calibri"/>
        </w:rPr>
        <w:t xml:space="preserve">” which provide additional constraints. These derivative models maintain traceability to the use cases and to the HL7 EHR-S </w:t>
      </w:r>
      <w:r w:rsidR="00F063CB">
        <w:rPr>
          <w:rFonts w:ascii="Calibri" w:eastAsia="Calibri" w:hAnsi="Calibri" w:cs="Calibri"/>
        </w:rPr>
        <w:t>f</w:t>
      </w:r>
      <w:r>
        <w:rPr>
          <w:rFonts w:ascii="Calibri" w:eastAsia="Calibri" w:hAnsi="Calibri" w:cs="Calibri"/>
        </w:rPr>
        <w:t xml:space="preserve">unctional </w:t>
      </w:r>
      <w:r w:rsidR="00F063CB">
        <w:rPr>
          <w:rFonts w:ascii="Calibri" w:eastAsia="Calibri" w:hAnsi="Calibri" w:cs="Calibri"/>
        </w:rPr>
        <w:t>m</w:t>
      </w:r>
      <w:r>
        <w:rPr>
          <w:rFonts w:ascii="Calibri" w:eastAsia="Calibri" w:hAnsi="Calibri" w:cs="Calibri"/>
        </w:rPr>
        <w:t>odel. The models can be leveraged by organizations for internal use in systems and database development.</w:t>
      </w:r>
    </w:p>
    <w:p w14:paraId="5EE08C1A" w14:textId="25510064" w:rsidR="006264A0" w:rsidRDefault="00163258" w:rsidP="00EB0FC6">
      <w:pPr>
        <w:rPr>
          <w:rFonts w:ascii="Calibri" w:eastAsia="Calibri" w:hAnsi="Calibri" w:cs="Calibri"/>
        </w:rPr>
      </w:pPr>
      <w:r>
        <w:rPr>
          <w:rFonts w:ascii="Calibri" w:eastAsia="Calibri" w:hAnsi="Calibri" w:cs="Calibri"/>
          <w:noProof/>
        </w:rPr>
        <w:drawing>
          <wp:inline distT="0" distB="0" distL="0" distR="0" wp14:anchorId="1017B2EB" wp14:editId="7501C319">
            <wp:extent cx="5943600" cy="3404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420A62FD03B6420A62FD03C1.b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676BA7DF" w14:textId="77777777" w:rsidR="006264A0" w:rsidRDefault="00591101" w:rsidP="008A5770">
      <w:pPr>
        <w:tabs>
          <w:tab w:val="left" w:pos="360"/>
        </w:tabs>
        <w:rPr>
          <w:rFonts w:ascii="Calibri" w:eastAsia="Calibri" w:hAnsi="Calibri" w:cs="Calibri"/>
        </w:rPr>
      </w:pPr>
      <w:r>
        <w:rPr>
          <w:rFonts w:ascii="Calibri" w:eastAsia="Calibri" w:hAnsi="Calibri" w:cs="Calibri"/>
        </w:rPr>
        <w:t>There are multiple benefits of FHIM's model-driven approach:</w:t>
      </w:r>
    </w:p>
    <w:p w14:paraId="2813FB77" w14:textId="77777777" w:rsidR="006264A0" w:rsidRDefault="00591101">
      <w:pPr>
        <w:numPr>
          <w:ilvl w:val="0"/>
          <w:numId w:val="6"/>
        </w:numPr>
        <w:tabs>
          <w:tab w:val="left" w:pos="360"/>
        </w:tabs>
        <w:spacing w:after="0"/>
        <w:ind w:left="720" w:hanging="360"/>
        <w:rPr>
          <w:rFonts w:ascii="Calibri" w:eastAsia="Calibri" w:hAnsi="Calibri" w:cs="Calibri"/>
        </w:rPr>
      </w:pPr>
      <w:r>
        <w:rPr>
          <w:rFonts w:ascii="Calibri" w:eastAsia="Calibri" w:hAnsi="Calibri" w:cs="Calibri"/>
        </w:rPr>
        <w:t xml:space="preserve">Analyze once, yet implement multiple times because clinical and business concepts remain the same regardless of HIE standards  </w:t>
      </w:r>
    </w:p>
    <w:p w14:paraId="21A2DBD3" w14:textId="5D0E450D" w:rsidR="006264A0" w:rsidRDefault="00591101">
      <w:pPr>
        <w:numPr>
          <w:ilvl w:val="0"/>
          <w:numId w:val="6"/>
        </w:numPr>
        <w:tabs>
          <w:tab w:val="left" w:pos="360"/>
        </w:tabs>
        <w:spacing w:after="0"/>
        <w:ind w:left="720" w:hanging="360"/>
        <w:rPr>
          <w:rFonts w:ascii="Calibri" w:eastAsia="Calibri" w:hAnsi="Calibri" w:cs="Calibri"/>
        </w:rPr>
      </w:pPr>
      <w:r>
        <w:rPr>
          <w:rFonts w:ascii="Calibri" w:eastAsia="Calibri" w:hAnsi="Calibri" w:cs="Calibri"/>
        </w:rPr>
        <w:t>Ensure uniformity across HIE conceptual landscape for consistent HIE structures and clinical models</w:t>
      </w:r>
    </w:p>
    <w:p w14:paraId="7FD7EE16" w14:textId="4B76FC99" w:rsidR="006264A0" w:rsidRDefault="00591101">
      <w:pPr>
        <w:numPr>
          <w:ilvl w:val="0"/>
          <w:numId w:val="6"/>
        </w:numPr>
        <w:tabs>
          <w:tab w:val="left" w:pos="360"/>
        </w:tabs>
        <w:spacing w:after="0"/>
        <w:ind w:left="720" w:hanging="360"/>
        <w:rPr>
          <w:rFonts w:ascii="Calibri" w:eastAsia="Calibri" w:hAnsi="Calibri" w:cs="Calibri"/>
        </w:rPr>
      </w:pPr>
      <w:r>
        <w:rPr>
          <w:rFonts w:ascii="Calibri" w:eastAsia="Calibri" w:hAnsi="Calibri" w:cs="Calibri"/>
        </w:rPr>
        <w:t>FHIM can be used to create standards (e.g.</w:t>
      </w:r>
      <w:r w:rsidR="00ED3297">
        <w:rPr>
          <w:rFonts w:ascii="Calibri" w:eastAsia="Calibri" w:hAnsi="Calibri" w:cs="Calibri"/>
        </w:rPr>
        <w:t>,</w:t>
      </w:r>
      <w:r>
        <w:rPr>
          <w:rFonts w:ascii="Calibri" w:eastAsia="Calibri" w:hAnsi="Calibri" w:cs="Calibri"/>
        </w:rPr>
        <w:t xml:space="preserve"> HL7 </w:t>
      </w:r>
      <w:r w:rsidR="00ED3297">
        <w:rPr>
          <w:rFonts w:ascii="Calibri" w:eastAsia="Calibri" w:hAnsi="Calibri" w:cs="Calibri"/>
        </w:rPr>
        <w:t>i</w:t>
      </w:r>
      <w:r>
        <w:rPr>
          <w:rFonts w:ascii="Calibri" w:eastAsia="Calibri" w:hAnsi="Calibri" w:cs="Calibri"/>
        </w:rPr>
        <w:t xml:space="preserve">mplementation </w:t>
      </w:r>
      <w:r w:rsidR="00ED3297">
        <w:rPr>
          <w:rFonts w:ascii="Calibri" w:eastAsia="Calibri" w:hAnsi="Calibri" w:cs="Calibri"/>
        </w:rPr>
        <w:t>g</w:t>
      </w:r>
      <w:r>
        <w:rPr>
          <w:rFonts w:ascii="Calibri" w:eastAsia="Calibri" w:hAnsi="Calibri" w:cs="Calibri"/>
        </w:rPr>
        <w:t>uides) because it is a</w:t>
      </w:r>
      <w:r w:rsidR="00AD3951">
        <w:rPr>
          <w:rFonts w:ascii="Calibri" w:eastAsia="Calibri" w:hAnsi="Calibri" w:cs="Calibri"/>
        </w:rPr>
        <w:t xml:space="preserve"> product information management</w:t>
      </w:r>
      <w:r>
        <w:rPr>
          <w:rFonts w:ascii="Calibri" w:eastAsia="Calibri" w:hAnsi="Calibri" w:cs="Calibri"/>
        </w:rPr>
        <w:t xml:space="preserve"> </w:t>
      </w:r>
      <w:r w:rsidR="00AD3951">
        <w:rPr>
          <w:rFonts w:ascii="Calibri" w:eastAsia="Calibri" w:hAnsi="Calibri" w:cs="Calibri"/>
        </w:rPr>
        <w:t>(</w:t>
      </w:r>
      <w:r>
        <w:rPr>
          <w:rFonts w:ascii="Calibri" w:eastAsia="Calibri" w:hAnsi="Calibri" w:cs="Calibri"/>
        </w:rPr>
        <w:t>PIM</w:t>
      </w:r>
      <w:r w:rsidR="00AD3951">
        <w:rPr>
          <w:rFonts w:ascii="Calibri" w:eastAsia="Calibri" w:hAnsi="Calibri" w:cs="Calibri"/>
        </w:rPr>
        <w:t>) system</w:t>
      </w:r>
      <w:r>
        <w:rPr>
          <w:rFonts w:ascii="Calibri" w:eastAsia="Calibri" w:hAnsi="Calibri" w:cs="Calibri"/>
        </w:rPr>
        <w:t xml:space="preserve"> </w:t>
      </w:r>
    </w:p>
    <w:p w14:paraId="19D5CA4A" w14:textId="2D281B0A" w:rsidR="006264A0" w:rsidRDefault="00591101">
      <w:pPr>
        <w:numPr>
          <w:ilvl w:val="0"/>
          <w:numId w:val="6"/>
        </w:numPr>
        <w:tabs>
          <w:tab w:val="left" w:pos="360"/>
        </w:tabs>
        <w:spacing w:after="0"/>
        <w:ind w:left="720" w:hanging="360"/>
        <w:rPr>
          <w:rFonts w:ascii="Calibri" w:eastAsia="Calibri" w:hAnsi="Calibri" w:cs="Calibri"/>
        </w:rPr>
      </w:pPr>
      <w:r>
        <w:rPr>
          <w:rFonts w:ascii="Calibri" w:eastAsia="Calibri" w:hAnsi="Calibri" w:cs="Calibri"/>
        </w:rPr>
        <w:t xml:space="preserve">Generate code to minimize cost and human errors </w:t>
      </w:r>
    </w:p>
    <w:p w14:paraId="39BE3BF2" w14:textId="76A21450" w:rsidR="006264A0" w:rsidRDefault="00591101">
      <w:pPr>
        <w:numPr>
          <w:ilvl w:val="0"/>
          <w:numId w:val="6"/>
        </w:numPr>
        <w:tabs>
          <w:tab w:val="left" w:pos="360"/>
        </w:tabs>
        <w:spacing w:after="0"/>
        <w:ind w:left="720" w:hanging="360"/>
        <w:rPr>
          <w:rFonts w:ascii="Calibri" w:eastAsia="Calibri" w:hAnsi="Calibri" w:cs="Calibri"/>
        </w:rPr>
      </w:pPr>
      <w:r>
        <w:rPr>
          <w:rFonts w:ascii="Calibri" w:eastAsia="Calibri" w:hAnsi="Calibri" w:cs="Calibri"/>
        </w:rPr>
        <w:t xml:space="preserve">Generate other artifacts, including implementation guides, developer interactive assistance, etc. </w:t>
      </w:r>
    </w:p>
    <w:p w14:paraId="520E7C31" w14:textId="42F23E6B" w:rsidR="006264A0" w:rsidRDefault="00591101">
      <w:pPr>
        <w:numPr>
          <w:ilvl w:val="0"/>
          <w:numId w:val="6"/>
        </w:numPr>
        <w:tabs>
          <w:tab w:val="left" w:pos="360"/>
        </w:tabs>
        <w:spacing w:after="0"/>
        <w:ind w:left="720" w:hanging="360"/>
        <w:rPr>
          <w:rFonts w:ascii="Calibri" w:eastAsia="Calibri" w:hAnsi="Calibri" w:cs="Calibri"/>
        </w:rPr>
      </w:pPr>
      <w:r>
        <w:rPr>
          <w:rFonts w:ascii="Calibri" w:eastAsia="Calibri" w:hAnsi="Calibri" w:cs="Calibri"/>
        </w:rPr>
        <w:t>Enabl</w:t>
      </w:r>
      <w:r w:rsidR="00ED3297">
        <w:rPr>
          <w:rFonts w:ascii="Calibri" w:eastAsia="Calibri" w:hAnsi="Calibri" w:cs="Calibri"/>
        </w:rPr>
        <w:t>e</w:t>
      </w:r>
      <w:r>
        <w:rPr>
          <w:rFonts w:ascii="Calibri" w:eastAsia="Calibri" w:hAnsi="Calibri" w:cs="Calibri"/>
        </w:rPr>
        <w:t xml:space="preserve"> seamless transition from one HIE to another HIE</w:t>
      </w:r>
    </w:p>
    <w:p w14:paraId="4CD97D03" w14:textId="77777777" w:rsidR="00CA2BDC" w:rsidRDefault="00CA2BDC">
      <w:pPr>
        <w:tabs>
          <w:tab w:val="left" w:pos="360"/>
        </w:tabs>
        <w:spacing w:after="0"/>
        <w:rPr>
          <w:rFonts w:ascii="Calibri" w:eastAsia="Calibri" w:hAnsi="Calibri" w:cs="Calibri"/>
        </w:rPr>
      </w:pPr>
    </w:p>
    <w:p w14:paraId="0D742D61" w14:textId="1E836008" w:rsidR="00C9215C" w:rsidRPr="00B77FDB" w:rsidRDefault="00CA2BDC" w:rsidP="00C9215C">
      <w:pPr>
        <w:tabs>
          <w:tab w:val="left" w:pos="360"/>
        </w:tabs>
        <w:spacing w:after="0"/>
        <w:rPr>
          <w:rFonts w:ascii="Calibri" w:eastAsia="Calibri" w:hAnsi="Calibri" w:cs="Calibri"/>
        </w:rPr>
      </w:pPr>
      <w:r>
        <w:rPr>
          <w:rFonts w:ascii="Calibri" w:eastAsia="Calibri" w:hAnsi="Calibri" w:cs="Calibri"/>
        </w:rPr>
        <w:t>FHIM continues to evolve</w:t>
      </w:r>
      <w:r w:rsidR="00A615AE">
        <w:rPr>
          <w:rFonts w:ascii="Calibri" w:eastAsia="Calibri" w:hAnsi="Calibri" w:cs="Calibri"/>
        </w:rPr>
        <w:t xml:space="preserve"> as </w:t>
      </w:r>
      <w:r w:rsidR="00ED3297">
        <w:rPr>
          <w:rFonts w:ascii="Calibri" w:eastAsia="Calibri" w:hAnsi="Calibri" w:cs="Calibri"/>
        </w:rPr>
        <w:t>i</w:t>
      </w:r>
      <w:r w:rsidR="00A615AE">
        <w:rPr>
          <w:rFonts w:ascii="Calibri" w:eastAsia="Calibri" w:hAnsi="Calibri" w:cs="Calibri"/>
        </w:rPr>
        <w:t xml:space="preserve">nformation </w:t>
      </w:r>
      <w:r w:rsidR="00ED3297">
        <w:rPr>
          <w:rFonts w:ascii="Calibri" w:eastAsia="Calibri" w:hAnsi="Calibri" w:cs="Calibri"/>
        </w:rPr>
        <w:t>m</w:t>
      </w:r>
      <w:r w:rsidR="00A615AE">
        <w:rPr>
          <w:rFonts w:ascii="Calibri" w:eastAsia="Calibri" w:hAnsi="Calibri" w:cs="Calibri"/>
        </w:rPr>
        <w:t xml:space="preserve">odeling and </w:t>
      </w:r>
      <w:r w:rsidR="00ED3297">
        <w:rPr>
          <w:rFonts w:ascii="Calibri" w:eastAsia="Calibri" w:hAnsi="Calibri" w:cs="Calibri"/>
        </w:rPr>
        <w:t>t</w:t>
      </w:r>
      <w:r w:rsidR="00A615AE">
        <w:rPr>
          <w:rFonts w:ascii="Calibri" w:eastAsia="Calibri" w:hAnsi="Calibri" w:cs="Calibri"/>
        </w:rPr>
        <w:t xml:space="preserve">erminology teams work closely together on health informatics concepts to promote the implementation of FHIM.  </w:t>
      </w:r>
      <w:r w:rsidR="00C9215C" w:rsidRPr="00B77FDB">
        <w:rPr>
          <w:rFonts w:ascii="Calibri" w:eastAsia="Calibri" w:hAnsi="Calibri" w:cs="Calibri"/>
        </w:rPr>
        <w:t>To learn more about leverag</w:t>
      </w:r>
      <w:r w:rsidR="00C9215C">
        <w:rPr>
          <w:rFonts w:ascii="Calibri" w:eastAsia="Calibri" w:hAnsi="Calibri" w:cs="Calibri"/>
        </w:rPr>
        <w:t xml:space="preserve">ing health standards </w:t>
      </w:r>
      <w:r w:rsidR="00C9215C" w:rsidRPr="00B77FDB">
        <w:rPr>
          <w:rFonts w:ascii="Calibri" w:eastAsia="Calibri" w:hAnsi="Calibri" w:cs="Calibri"/>
        </w:rPr>
        <w:t xml:space="preserve">for NIEM </w:t>
      </w:r>
      <w:r w:rsidR="00C9215C">
        <w:rPr>
          <w:rFonts w:ascii="Calibri" w:eastAsia="Calibri" w:hAnsi="Calibri" w:cs="Calibri"/>
        </w:rPr>
        <w:t>IEPD</w:t>
      </w:r>
      <w:r w:rsidR="00C9215C" w:rsidRPr="00B77FDB">
        <w:rPr>
          <w:rFonts w:ascii="Calibri" w:eastAsia="Calibri" w:hAnsi="Calibri" w:cs="Calibri"/>
        </w:rPr>
        <w:t xml:space="preserve"> development</w:t>
      </w:r>
      <w:r w:rsidR="00C9215C">
        <w:rPr>
          <w:rFonts w:ascii="Calibri" w:eastAsia="Calibri" w:hAnsi="Calibri" w:cs="Calibri"/>
        </w:rPr>
        <w:t>,</w:t>
      </w:r>
      <w:r w:rsidR="00C9215C" w:rsidRPr="00B77FDB">
        <w:rPr>
          <w:rFonts w:ascii="Calibri" w:eastAsia="Calibri" w:hAnsi="Calibri" w:cs="Calibri"/>
        </w:rPr>
        <w:t xml:space="preserve"> </w:t>
      </w:r>
      <w:r w:rsidR="00C9215C">
        <w:rPr>
          <w:rFonts w:ascii="Calibri" w:eastAsia="Calibri" w:hAnsi="Calibri" w:cs="Calibri"/>
        </w:rPr>
        <w:t>refer to</w:t>
      </w:r>
      <w:r w:rsidR="00C9215C" w:rsidRPr="00B77FDB">
        <w:rPr>
          <w:rFonts w:ascii="Calibri" w:eastAsia="Calibri" w:hAnsi="Calibri" w:cs="Calibri"/>
        </w:rPr>
        <w:t xml:space="preserve"> the follow up tutorial to this work, NIEM 201</w:t>
      </w:r>
      <w:r w:rsidR="00C9215C" w:rsidRPr="002F1A6E">
        <w:rPr>
          <w:rFonts w:ascii="Calibri" w:eastAsia="Calibri" w:hAnsi="Calibri" w:cs="Calibri"/>
        </w:rPr>
        <w:t xml:space="preserve">: </w:t>
      </w:r>
      <w:r w:rsidR="00C9215C" w:rsidRPr="00E6142A">
        <w:rPr>
          <w:rFonts w:ascii="Calibri" w:eastAsia="Calibri" w:hAnsi="Calibri" w:cs="Calibri"/>
        </w:rPr>
        <w:t>Architecting NIEM Health IEPDs using Health Information Models</w:t>
      </w:r>
      <w:r w:rsidR="00C9215C" w:rsidRPr="00B77FDB">
        <w:rPr>
          <w:rFonts w:ascii="Calibri" w:eastAsia="Calibri" w:hAnsi="Calibri" w:cs="Calibri"/>
        </w:rPr>
        <w:t>.</w:t>
      </w:r>
    </w:p>
    <w:p w14:paraId="10BF565F" w14:textId="5A73DB3F" w:rsidR="006264A0" w:rsidRDefault="006264A0">
      <w:pPr>
        <w:tabs>
          <w:tab w:val="left" w:pos="360"/>
        </w:tabs>
        <w:spacing w:after="0"/>
        <w:rPr>
          <w:rFonts w:ascii="Calibri" w:eastAsia="Calibri" w:hAnsi="Calibri" w:cs="Calibri"/>
        </w:rPr>
      </w:pPr>
    </w:p>
    <w:p w14:paraId="178EBEA8" w14:textId="77777777" w:rsidR="008E137B" w:rsidRPr="008E137B" w:rsidRDefault="008E137B" w:rsidP="00891EC0">
      <w:pPr>
        <w:pStyle w:val="Heading1"/>
        <w:rPr>
          <w:rFonts w:ascii="Times New Roman" w:eastAsia="Times New Roman" w:hAnsi="Times New Roman"/>
          <w:sz w:val="24"/>
          <w:szCs w:val="24"/>
        </w:rPr>
      </w:pPr>
      <w:bookmarkStart w:id="23" w:name="_Toc5370685"/>
      <w:r w:rsidRPr="008E137B">
        <w:rPr>
          <w:rFonts w:eastAsia="Times New Roman"/>
        </w:rPr>
        <w:lastRenderedPageBreak/>
        <w:t>NIEM and FHIM: A Brief Comparison</w:t>
      </w:r>
      <w:bookmarkEnd w:id="23"/>
      <w:r w:rsidRPr="008E137B">
        <w:rPr>
          <w:rFonts w:eastAsia="Times New Roman"/>
        </w:rPr>
        <w:t xml:space="preserve"> </w:t>
      </w:r>
    </w:p>
    <w:p w14:paraId="5C5F6C91" w14:textId="437E3752" w:rsidR="00981A6D" w:rsidRPr="00981A6D" w:rsidRDefault="008E137B" w:rsidP="00981A6D">
      <w:pPr>
        <w:spacing w:after="100" w:afterAutospacing="1"/>
      </w:pPr>
      <w:r w:rsidRPr="00891EC0">
        <w:rPr>
          <w:rFonts w:eastAsia="Times New Roman" w:cs="Times New Roman"/>
        </w:rPr>
        <w:t>NIEM and FHIM are logical information models.</w:t>
      </w:r>
      <w:r w:rsidR="00981A6D">
        <w:rPr>
          <w:rFonts w:eastAsia="Times New Roman" w:cs="Times New Roman"/>
        </w:rPr>
        <w:t xml:space="preserve"> Combining the best features of FHIM and NIEM</w:t>
      </w:r>
      <w:r w:rsidR="00BD68E3">
        <w:rPr>
          <w:rFonts w:eastAsia="Times New Roman"/>
        </w:rPr>
        <w:t xml:space="preserve"> </w:t>
      </w:r>
      <w:r w:rsidR="00B17ACC">
        <w:rPr>
          <w:rFonts w:eastAsia="Times New Roman" w:cs="Times New Roman"/>
        </w:rPr>
        <w:t>can result in</w:t>
      </w:r>
      <w:r w:rsidR="00062B36" w:rsidRPr="00981A6D">
        <w:rPr>
          <w:rFonts w:eastAsia="Times New Roman" w:cs="Times New Roman"/>
        </w:rPr>
        <w:t xml:space="preserve"> NIEM </w:t>
      </w:r>
      <w:r w:rsidR="00B17ACC">
        <w:rPr>
          <w:rFonts w:eastAsia="Times New Roman" w:cs="Times New Roman"/>
        </w:rPr>
        <w:t xml:space="preserve">Health </w:t>
      </w:r>
      <w:r w:rsidR="00C81AB2">
        <w:rPr>
          <w:rFonts w:eastAsia="Times New Roman" w:cs="Times New Roman"/>
        </w:rPr>
        <w:t>IEPD</w:t>
      </w:r>
      <w:r w:rsidR="00062B36">
        <w:rPr>
          <w:rFonts w:eastAsia="Times New Roman" w:cs="Times New Roman"/>
        </w:rPr>
        <w:t>s that are</w:t>
      </w:r>
      <w:r w:rsidR="00981A6D" w:rsidRPr="00981A6D">
        <w:rPr>
          <w:rFonts w:eastAsia="Times New Roman"/>
        </w:rPr>
        <w:t>:</w:t>
      </w:r>
    </w:p>
    <w:p w14:paraId="2907CA54" w14:textId="7C76492C" w:rsidR="00F22025" w:rsidRPr="00981A6D" w:rsidRDefault="006473D4" w:rsidP="00981A6D">
      <w:pPr>
        <w:numPr>
          <w:ilvl w:val="0"/>
          <w:numId w:val="15"/>
        </w:numPr>
        <w:spacing w:after="100" w:afterAutospacing="1" w:line="240" w:lineRule="auto"/>
        <w:rPr>
          <w:rFonts w:eastAsia="Times New Roman" w:cs="Times New Roman"/>
        </w:rPr>
      </w:pPr>
      <w:r>
        <w:rPr>
          <w:rFonts w:eastAsia="Times New Roman" w:cs="Times New Roman"/>
        </w:rPr>
        <w:t>B</w:t>
      </w:r>
      <w:r w:rsidR="00C11FCA" w:rsidRPr="00981A6D">
        <w:rPr>
          <w:rFonts w:eastAsia="Times New Roman" w:cs="Times New Roman"/>
        </w:rPr>
        <w:t>ased on structures and constraints defined in NIEM</w:t>
      </w:r>
    </w:p>
    <w:p w14:paraId="2AE9D20E" w14:textId="7EAC3DE0" w:rsidR="00F22025" w:rsidRPr="00981A6D" w:rsidRDefault="006473D4" w:rsidP="00981A6D">
      <w:pPr>
        <w:numPr>
          <w:ilvl w:val="0"/>
          <w:numId w:val="15"/>
        </w:numPr>
        <w:spacing w:after="100" w:afterAutospacing="1" w:line="240" w:lineRule="auto"/>
        <w:rPr>
          <w:rFonts w:eastAsia="Times New Roman" w:cs="Times New Roman"/>
        </w:rPr>
      </w:pPr>
      <w:r>
        <w:rPr>
          <w:rFonts w:eastAsia="Times New Roman" w:cs="Times New Roman"/>
        </w:rPr>
        <w:t>C</w:t>
      </w:r>
      <w:r w:rsidR="00BD68E3" w:rsidRPr="00981A6D">
        <w:rPr>
          <w:rFonts w:eastAsia="Times New Roman" w:cs="Times New Roman"/>
        </w:rPr>
        <w:t>ompatible</w:t>
      </w:r>
      <w:r w:rsidR="00C11FCA" w:rsidRPr="00981A6D">
        <w:rPr>
          <w:rFonts w:eastAsia="Times New Roman" w:cs="Times New Roman"/>
        </w:rPr>
        <w:t xml:space="preserve"> with similar structures in </w:t>
      </w:r>
      <w:r>
        <w:rPr>
          <w:rFonts w:eastAsia="Times New Roman" w:cs="Times New Roman"/>
        </w:rPr>
        <w:t>c</w:t>
      </w:r>
      <w:r w:rsidR="00C11FCA" w:rsidRPr="00981A6D">
        <w:rPr>
          <w:rFonts w:eastAsia="Times New Roman" w:cs="Times New Roman"/>
        </w:rPr>
        <w:t>onsolidated CDA implementation guides required for meaningful use</w:t>
      </w:r>
    </w:p>
    <w:p w14:paraId="70E52E90" w14:textId="412D04F7" w:rsidR="00F22025" w:rsidRPr="00981A6D" w:rsidRDefault="00981A6D" w:rsidP="00B77FDB">
      <w:pPr>
        <w:spacing w:after="100" w:afterAutospacing="1" w:line="240" w:lineRule="auto"/>
        <w:rPr>
          <w:rFonts w:eastAsia="Times New Roman" w:cs="Times New Roman"/>
        </w:rPr>
      </w:pPr>
      <w:r w:rsidRPr="00981A6D">
        <w:rPr>
          <w:rFonts w:eastAsia="Times New Roman" w:cs="Times New Roman"/>
        </w:rPr>
        <w:t>FHIM’s biggest value is that it is proscriptive,</w:t>
      </w:r>
      <w:r w:rsidR="00294FAB">
        <w:rPr>
          <w:rFonts w:eastAsia="Times New Roman" w:cs="Times New Roman"/>
        </w:rPr>
        <w:t xml:space="preserve"> so that</w:t>
      </w:r>
      <w:r w:rsidRPr="00981A6D">
        <w:rPr>
          <w:rFonts w:eastAsia="Times New Roman" w:cs="Times New Roman"/>
        </w:rPr>
        <w:t xml:space="preserve"> implementers know exactly which terminologies to use for a given element</w:t>
      </w:r>
      <w:r w:rsidR="00294FAB">
        <w:rPr>
          <w:rFonts w:eastAsia="Times New Roman" w:cs="Times New Roman"/>
        </w:rPr>
        <w:t xml:space="preserve">. </w:t>
      </w:r>
      <w:r w:rsidR="00411F56">
        <w:rPr>
          <w:rFonts w:eastAsia="Times New Roman" w:cs="Times New Roman"/>
        </w:rPr>
        <w:t>C</w:t>
      </w:r>
      <w:r w:rsidR="00294FAB">
        <w:rPr>
          <w:rFonts w:eastAsia="Times New Roman" w:cs="Times New Roman"/>
        </w:rPr>
        <w:t>onsequen</w:t>
      </w:r>
      <w:r w:rsidR="00834C06">
        <w:rPr>
          <w:rFonts w:eastAsia="Times New Roman" w:cs="Times New Roman"/>
        </w:rPr>
        <w:t>tly</w:t>
      </w:r>
      <w:r w:rsidR="00294FAB">
        <w:rPr>
          <w:rFonts w:eastAsia="Times New Roman" w:cs="Times New Roman"/>
        </w:rPr>
        <w:t>,</w:t>
      </w:r>
      <w:r>
        <w:rPr>
          <w:rFonts w:eastAsia="Times New Roman" w:cs="Times New Roman"/>
        </w:rPr>
        <w:t xml:space="preserve"> the resulting NIEM </w:t>
      </w:r>
      <w:r w:rsidR="00C81AB2">
        <w:rPr>
          <w:rFonts w:eastAsia="Times New Roman" w:cs="Times New Roman"/>
        </w:rPr>
        <w:t>IEPD</w:t>
      </w:r>
      <w:r>
        <w:rPr>
          <w:rFonts w:eastAsia="Times New Roman" w:cs="Times New Roman"/>
        </w:rPr>
        <w:t>s comply</w:t>
      </w:r>
      <w:r w:rsidR="00C11FCA" w:rsidRPr="00981A6D">
        <w:rPr>
          <w:rFonts w:eastAsia="Times New Roman" w:cs="Times New Roman"/>
        </w:rPr>
        <w:t xml:space="preserve"> with federal laws</w:t>
      </w:r>
      <w:r>
        <w:rPr>
          <w:rFonts w:eastAsia="Times New Roman" w:cs="Times New Roman"/>
        </w:rPr>
        <w:t xml:space="preserve"> and are interoperable with existing standards-based health IT systems.</w:t>
      </w:r>
    </w:p>
    <w:p w14:paraId="3A287EA6" w14:textId="30CEC299" w:rsidR="008E137B" w:rsidRPr="00891EC0" w:rsidRDefault="008E137B" w:rsidP="00891EC0">
      <w:pPr>
        <w:spacing w:after="100" w:afterAutospacing="1" w:line="240" w:lineRule="auto"/>
        <w:rPr>
          <w:rFonts w:eastAsia="Times New Roman" w:cs="Times New Roman"/>
        </w:rPr>
      </w:pPr>
      <w:r w:rsidRPr="00891EC0">
        <w:rPr>
          <w:rFonts w:eastAsia="Times New Roman" w:cs="Times New Roman"/>
        </w:rPr>
        <w:t xml:space="preserve"> The table below provides a high-level view</w:t>
      </w:r>
      <w:r w:rsidR="006473D4">
        <w:rPr>
          <w:rFonts w:eastAsia="Times New Roman" w:cs="Times New Roman"/>
        </w:rPr>
        <w:t xml:space="preserve"> </w:t>
      </w:r>
      <w:r w:rsidRPr="00891EC0">
        <w:rPr>
          <w:rFonts w:eastAsia="Times New Roman" w:cs="Times New Roman"/>
        </w:rPr>
        <w:t>of the similarities and differences between NIEM and FHIM.</w:t>
      </w:r>
    </w:p>
    <w:tbl>
      <w:tblPr>
        <w:tblW w:w="10255" w:type="dxa"/>
        <w:tblCellMar>
          <w:left w:w="0" w:type="dxa"/>
          <w:right w:w="0" w:type="dxa"/>
        </w:tblCellMar>
        <w:tblLook w:val="04A0" w:firstRow="1" w:lastRow="0" w:firstColumn="1" w:lastColumn="0" w:noHBand="0" w:noVBand="1"/>
      </w:tblPr>
      <w:tblGrid>
        <w:gridCol w:w="1687"/>
        <w:gridCol w:w="3978"/>
        <w:gridCol w:w="4590"/>
      </w:tblGrid>
      <w:tr w:rsidR="008E137B" w:rsidRPr="001727F2" w14:paraId="34633F12" w14:textId="77777777" w:rsidTr="00756A14">
        <w:trPr>
          <w:trHeight w:val="1"/>
        </w:trPr>
        <w:tc>
          <w:tcPr>
            <w:tcW w:w="1687" w:type="dxa"/>
            <w:tcBorders>
              <w:top w:val="single" w:sz="8" w:space="0" w:color="5B9BD5"/>
              <w:left w:val="single" w:sz="8" w:space="0" w:color="5B9BD5"/>
              <w:bottom w:val="single" w:sz="8" w:space="0" w:color="5B9BD5"/>
              <w:right w:val="nil"/>
            </w:tcBorders>
            <w:shd w:val="clear" w:color="auto" w:fill="5B9BD5"/>
            <w:tcMar>
              <w:top w:w="0" w:type="dxa"/>
              <w:left w:w="108" w:type="dxa"/>
              <w:bottom w:w="0" w:type="dxa"/>
              <w:right w:w="108" w:type="dxa"/>
            </w:tcMar>
            <w:vAlign w:val="center"/>
            <w:hideMark/>
          </w:tcPr>
          <w:p w14:paraId="3E8F841E" w14:textId="2914ACDA" w:rsidR="008E137B" w:rsidRPr="00891EC0" w:rsidRDefault="008E137B" w:rsidP="00BD68E3">
            <w:pPr>
              <w:spacing w:before="100" w:beforeAutospacing="1" w:after="100" w:afterAutospacing="1" w:line="240" w:lineRule="auto"/>
              <w:jc w:val="center"/>
              <w:rPr>
                <w:rFonts w:eastAsia="Times New Roman" w:cs="Times New Roman"/>
              </w:rPr>
            </w:pPr>
          </w:p>
        </w:tc>
        <w:tc>
          <w:tcPr>
            <w:tcW w:w="3978" w:type="dxa"/>
            <w:tcBorders>
              <w:top w:val="single" w:sz="8" w:space="0" w:color="5B9BD5"/>
              <w:left w:val="nil"/>
              <w:bottom w:val="single" w:sz="8" w:space="0" w:color="5B9BD5"/>
              <w:right w:val="nil"/>
            </w:tcBorders>
            <w:shd w:val="clear" w:color="auto" w:fill="5B9BD5"/>
            <w:tcMar>
              <w:top w:w="0" w:type="dxa"/>
              <w:left w:w="108" w:type="dxa"/>
              <w:bottom w:w="0" w:type="dxa"/>
              <w:right w:w="108" w:type="dxa"/>
            </w:tcMar>
            <w:vAlign w:val="center"/>
            <w:hideMark/>
          </w:tcPr>
          <w:p w14:paraId="22CC3643"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b/>
                <w:bCs/>
                <w:color w:val="FFFFFF"/>
              </w:rPr>
              <w:t>NIEM</w:t>
            </w:r>
          </w:p>
        </w:tc>
        <w:tc>
          <w:tcPr>
            <w:tcW w:w="4590" w:type="dxa"/>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vAlign w:val="center"/>
            <w:hideMark/>
          </w:tcPr>
          <w:p w14:paraId="0F4A6722"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b/>
                <w:bCs/>
                <w:color w:val="FFFFFF"/>
              </w:rPr>
              <w:t>FHIM</w:t>
            </w:r>
          </w:p>
        </w:tc>
      </w:tr>
      <w:tr w:rsidR="008E137B" w:rsidRPr="001727F2" w14:paraId="4DFFE85D" w14:textId="77777777" w:rsidTr="00756A14">
        <w:trPr>
          <w:trHeight w:val="1"/>
        </w:trPr>
        <w:tc>
          <w:tcPr>
            <w:tcW w:w="1687"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5E776676" w14:textId="77777777"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Purpose</w:t>
            </w:r>
          </w:p>
        </w:tc>
        <w:tc>
          <w:tcPr>
            <w:tcW w:w="3978"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25A29D4D"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Provides a common vocabulary to enable efficient information exchange across diverse public and private organizations</w:t>
            </w:r>
          </w:p>
        </w:tc>
        <w:tc>
          <w:tcPr>
            <w:tcW w:w="459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6A79640B" w14:textId="1A27E31B"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Supports semantic interoperability and harmonize</w:t>
            </w:r>
            <w:r w:rsidR="006473D4">
              <w:rPr>
                <w:rFonts w:eastAsia="Times New Roman" w:cs="Times New Roman"/>
              </w:rPr>
              <w:t>s</w:t>
            </w:r>
            <w:r w:rsidRPr="00891EC0">
              <w:rPr>
                <w:rFonts w:eastAsia="Times New Roman" w:cs="Times New Roman"/>
              </w:rPr>
              <w:t xml:space="preserve"> information requirements from federal partners and multiple standards organizations</w:t>
            </w:r>
          </w:p>
        </w:tc>
      </w:tr>
      <w:tr w:rsidR="008E137B" w:rsidRPr="001727F2" w14:paraId="4A54BD62" w14:textId="77777777" w:rsidTr="00756A14">
        <w:trPr>
          <w:trHeight w:val="1"/>
        </w:trPr>
        <w:tc>
          <w:tcPr>
            <w:tcW w:w="1687" w:type="dxa"/>
            <w:tcBorders>
              <w:top w:val="nil"/>
              <w:left w:val="single" w:sz="8" w:space="0" w:color="9CC2E5"/>
              <w:bottom w:val="single" w:sz="8" w:space="0" w:color="9CC2E5"/>
              <w:right w:val="single" w:sz="8" w:space="0" w:color="9CC2E5"/>
            </w:tcBorders>
            <w:tcMar>
              <w:top w:w="0" w:type="dxa"/>
              <w:left w:w="108" w:type="dxa"/>
              <w:bottom w:w="0" w:type="dxa"/>
              <w:right w:w="108" w:type="dxa"/>
            </w:tcMar>
            <w:vAlign w:val="center"/>
            <w:hideMark/>
          </w:tcPr>
          <w:p w14:paraId="6D8226FA" w14:textId="77777777"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Model Type</w:t>
            </w:r>
          </w:p>
        </w:tc>
        <w:tc>
          <w:tcPr>
            <w:tcW w:w="3978" w:type="dxa"/>
            <w:tcBorders>
              <w:top w:val="nil"/>
              <w:left w:val="nil"/>
              <w:bottom w:val="single" w:sz="8" w:space="0" w:color="9CC2E5"/>
              <w:right w:val="single" w:sz="8" w:space="0" w:color="9CC2E5"/>
            </w:tcBorders>
            <w:tcMar>
              <w:top w:w="0" w:type="dxa"/>
              <w:left w:w="108" w:type="dxa"/>
              <w:bottom w:w="0" w:type="dxa"/>
              <w:right w:w="108" w:type="dxa"/>
            </w:tcMar>
            <w:vAlign w:val="center"/>
            <w:hideMark/>
          </w:tcPr>
          <w:p w14:paraId="351E33F1"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Conceptual, Information Exchange, XML</w:t>
            </w:r>
          </w:p>
        </w:tc>
        <w:tc>
          <w:tcPr>
            <w:tcW w:w="4590" w:type="dxa"/>
            <w:tcBorders>
              <w:top w:val="nil"/>
              <w:left w:val="nil"/>
              <w:bottom w:val="single" w:sz="8" w:space="0" w:color="9CC2E5"/>
              <w:right w:val="single" w:sz="8" w:space="0" w:color="9CC2E5"/>
            </w:tcBorders>
            <w:tcMar>
              <w:top w:w="0" w:type="dxa"/>
              <w:left w:w="108" w:type="dxa"/>
              <w:bottom w:w="0" w:type="dxa"/>
              <w:right w:w="108" w:type="dxa"/>
            </w:tcMar>
            <w:vAlign w:val="center"/>
            <w:hideMark/>
          </w:tcPr>
          <w:p w14:paraId="62BB6669"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Logical, Information, Platform-Neutral, Standard-Neutral, UML</w:t>
            </w:r>
          </w:p>
        </w:tc>
      </w:tr>
      <w:tr w:rsidR="008E137B" w:rsidRPr="001727F2" w14:paraId="41E5C599" w14:textId="77777777" w:rsidTr="00756A14">
        <w:trPr>
          <w:trHeight w:val="1"/>
        </w:trPr>
        <w:tc>
          <w:tcPr>
            <w:tcW w:w="1687"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2FF24061" w14:textId="77777777"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Functionality</w:t>
            </w:r>
          </w:p>
        </w:tc>
        <w:tc>
          <w:tcPr>
            <w:tcW w:w="3978"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7B9C92AA"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XML-based. “Proven” information exchange framework</w:t>
            </w:r>
          </w:p>
        </w:tc>
        <w:tc>
          <w:tcPr>
            <w:tcW w:w="459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40B38443"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Semantic-based. Information exchange, traceability, and alignment into industry information models and standards</w:t>
            </w:r>
          </w:p>
        </w:tc>
      </w:tr>
      <w:tr w:rsidR="008E137B" w:rsidRPr="001727F2" w14:paraId="67E3AABD" w14:textId="77777777" w:rsidTr="00756A14">
        <w:trPr>
          <w:trHeight w:val="1"/>
        </w:trPr>
        <w:tc>
          <w:tcPr>
            <w:tcW w:w="1687" w:type="dxa"/>
            <w:tcBorders>
              <w:top w:val="nil"/>
              <w:left w:val="single" w:sz="8" w:space="0" w:color="9CC2E5"/>
              <w:bottom w:val="single" w:sz="8" w:space="0" w:color="9CC2E5"/>
              <w:right w:val="single" w:sz="8" w:space="0" w:color="9CC2E5"/>
            </w:tcBorders>
            <w:tcMar>
              <w:top w:w="0" w:type="dxa"/>
              <w:left w:w="108" w:type="dxa"/>
              <w:bottom w:w="0" w:type="dxa"/>
              <w:right w:w="108" w:type="dxa"/>
            </w:tcMar>
            <w:vAlign w:val="center"/>
            <w:hideMark/>
          </w:tcPr>
          <w:p w14:paraId="26DA4E75" w14:textId="77777777"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Standards-Neutral</w:t>
            </w:r>
          </w:p>
        </w:tc>
        <w:tc>
          <w:tcPr>
            <w:tcW w:w="3978" w:type="dxa"/>
            <w:tcBorders>
              <w:top w:val="nil"/>
              <w:left w:val="nil"/>
              <w:bottom w:val="single" w:sz="8" w:space="0" w:color="9CC2E5"/>
              <w:right w:val="single" w:sz="8" w:space="0" w:color="9CC2E5"/>
            </w:tcBorders>
            <w:tcMar>
              <w:top w:w="0" w:type="dxa"/>
              <w:left w:w="108" w:type="dxa"/>
              <w:bottom w:w="0" w:type="dxa"/>
              <w:right w:w="108" w:type="dxa"/>
            </w:tcMar>
            <w:vAlign w:val="center"/>
            <w:hideMark/>
          </w:tcPr>
          <w:p w14:paraId="2000AA1C"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Yes, each domain steward determines the specific standards they will use</w:t>
            </w:r>
          </w:p>
        </w:tc>
        <w:tc>
          <w:tcPr>
            <w:tcW w:w="4590" w:type="dxa"/>
            <w:tcBorders>
              <w:top w:val="nil"/>
              <w:left w:val="nil"/>
              <w:bottom w:val="single" w:sz="8" w:space="0" w:color="9CC2E5"/>
              <w:right w:val="single" w:sz="8" w:space="0" w:color="9CC2E5"/>
            </w:tcBorders>
            <w:tcMar>
              <w:top w:w="0" w:type="dxa"/>
              <w:left w:w="108" w:type="dxa"/>
              <w:bottom w:w="0" w:type="dxa"/>
              <w:right w:w="108" w:type="dxa"/>
            </w:tcMar>
            <w:vAlign w:val="center"/>
            <w:hideMark/>
          </w:tcPr>
          <w:p w14:paraId="548AB236"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Yes, contents identified in the FHIM may be represented using any technology or standard representation</w:t>
            </w:r>
          </w:p>
        </w:tc>
      </w:tr>
      <w:tr w:rsidR="008E137B" w:rsidRPr="001727F2" w14:paraId="41401D4F" w14:textId="77777777" w:rsidTr="00756A14">
        <w:trPr>
          <w:trHeight w:val="1"/>
        </w:trPr>
        <w:tc>
          <w:tcPr>
            <w:tcW w:w="1687"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241A0ECC" w14:textId="77777777"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Platform-Neutral</w:t>
            </w:r>
          </w:p>
        </w:tc>
        <w:tc>
          <w:tcPr>
            <w:tcW w:w="3978"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16B65E6F" w14:textId="75C887F5"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Yes</w:t>
            </w:r>
          </w:p>
        </w:tc>
        <w:tc>
          <w:tcPr>
            <w:tcW w:w="459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6DFDEB7D"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Yes</w:t>
            </w:r>
          </w:p>
        </w:tc>
      </w:tr>
      <w:tr w:rsidR="008E137B" w:rsidRPr="001727F2" w14:paraId="7C69CD5B" w14:textId="77777777" w:rsidTr="00756A14">
        <w:trPr>
          <w:trHeight w:val="1"/>
        </w:trPr>
        <w:tc>
          <w:tcPr>
            <w:tcW w:w="1687" w:type="dxa"/>
            <w:tcBorders>
              <w:top w:val="nil"/>
              <w:left w:val="single" w:sz="8" w:space="0" w:color="9CC2E5"/>
              <w:bottom w:val="single" w:sz="8" w:space="0" w:color="9CC2E5"/>
              <w:right w:val="single" w:sz="8" w:space="0" w:color="9CC2E5"/>
            </w:tcBorders>
            <w:tcMar>
              <w:top w:w="0" w:type="dxa"/>
              <w:left w:w="108" w:type="dxa"/>
              <w:bottom w:w="0" w:type="dxa"/>
              <w:right w:w="108" w:type="dxa"/>
            </w:tcMar>
            <w:vAlign w:val="center"/>
            <w:hideMark/>
          </w:tcPr>
          <w:p w14:paraId="53B14620" w14:textId="77777777"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Domains</w:t>
            </w:r>
          </w:p>
        </w:tc>
        <w:tc>
          <w:tcPr>
            <w:tcW w:w="3978" w:type="dxa"/>
            <w:tcBorders>
              <w:top w:val="nil"/>
              <w:left w:val="nil"/>
              <w:bottom w:val="single" w:sz="8" w:space="0" w:color="9CC2E5"/>
              <w:right w:val="single" w:sz="8" w:space="0" w:color="9CC2E5"/>
            </w:tcBorders>
            <w:tcMar>
              <w:top w:w="0" w:type="dxa"/>
              <w:left w:w="108" w:type="dxa"/>
              <w:bottom w:w="0" w:type="dxa"/>
              <w:right w:w="108" w:type="dxa"/>
            </w:tcMar>
            <w:vAlign w:val="center"/>
            <w:hideMark/>
          </w:tcPr>
          <w:p w14:paraId="52DC1F14" w14:textId="3107D06D"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 xml:space="preserve">14, </w:t>
            </w:r>
            <w:r w:rsidR="006473D4">
              <w:rPr>
                <w:rFonts w:eastAsia="Times New Roman" w:cs="Times New Roman"/>
              </w:rPr>
              <w:t>e</w:t>
            </w:r>
            <w:r w:rsidRPr="00891EC0">
              <w:rPr>
                <w:rFonts w:eastAsia="Times New Roman" w:cs="Times New Roman"/>
              </w:rPr>
              <w:t xml:space="preserve">ach is specific to a </w:t>
            </w:r>
            <w:r w:rsidR="006473D4">
              <w:rPr>
                <w:rFonts w:eastAsia="Times New Roman" w:cs="Times New Roman"/>
              </w:rPr>
              <w:t>c</w:t>
            </w:r>
            <w:r w:rsidRPr="00891EC0">
              <w:rPr>
                <w:rFonts w:eastAsia="Times New Roman" w:cs="Times New Roman"/>
              </w:rPr>
              <w:t xml:space="preserve">ommunity of </w:t>
            </w:r>
            <w:r w:rsidR="006473D4">
              <w:rPr>
                <w:rFonts w:eastAsia="Times New Roman" w:cs="Times New Roman"/>
              </w:rPr>
              <w:t>i</w:t>
            </w:r>
            <w:r w:rsidRPr="00891EC0">
              <w:rPr>
                <w:rFonts w:eastAsia="Times New Roman" w:cs="Times New Roman"/>
              </w:rPr>
              <w:t>nterest (</w:t>
            </w:r>
            <w:r w:rsidR="008F38B0">
              <w:rPr>
                <w:rFonts w:eastAsia="Times New Roman" w:cs="Times New Roman"/>
              </w:rPr>
              <w:t>CoI</w:t>
            </w:r>
            <w:r w:rsidRPr="00891EC0">
              <w:rPr>
                <w:rFonts w:eastAsia="Times New Roman" w:cs="Times New Roman"/>
              </w:rPr>
              <w:t>)</w:t>
            </w:r>
          </w:p>
        </w:tc>
        <w:tc>
          <w:tcPr>
            <w:tcW w:w="4590" w:type="dxa"/>
            <w:tcBorders>
              <w:top w:val="nil"/>
              <w:left w:val="nil"/>
              <w:bottom w:val="single" w:sz="8" w:space="0" w:color="9CC2E5"/>
              <w:right w:val="single" w:sz="8" w:space="0" w:color="9CC2E5"/>
            </w:tcBorders>
            <w:tcMar>
              <w:top w:w="0" w:type="dxa"/>
              <w:left w:w="108" w:type="dxa"/>
              <w:bottom w:w="0" w:type="dxa"/>
              <w:right w:w="108" w:type="dxa"/>
            </w:tcMar>
            <w:vAlign w:val="center"/>
            <w:hideMark/>
          </w:tcPr>
          <w:p w14:paraId="61A119DB" w14:textId="125DE59F"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 xml:space="preserve">41, </w:t>
            </w:r>
            <w:r w:rsidR="006473D4">
              <w:rPr>
                <w:rFonts w:eastAsia="Times New Roman" w:cs="Times New Roman"/>
              </w:rPr>
              <w:t>a</w:t>
            </w:r>
            <w:r w:rsidRPr="00891EC0">
              <w:rPr>
                <w:rFonts w:eastAsia="Times New Roman" w:cs="Times New Roman"/>
              </w:rPr>
              <w:t xml:space="preserve">ll are specific to </w:t>
            </w:r>
            <w:r w:rsidR="006473D4">
              <w:rPr>
                <w:rFonts w:eastAsia="Times New Roman" w:cs="Times New Roman"/>
              </w:rPr>
              <w:t>h</w:t>
            </w:r>
            <w:r w:rsidRPr="00891EC0">
              <w:rPr>
                <w:rFonts w:eastAsia="Times New Roman" w:cs="Times New Roman"/>
              </w:rPr>
              <w:t>ealthcare</w:t>
            </w:r>
          </w:p>
        </w:tc>
      </w:tr>
      <w:tr w:rsidR="008E137B" w:rsidRPr="001727F2" w14:paraId="77CB77B3" w14:textId="77777777" w:rsidTr="00756A14">
        <w:trPr>
          <w:trHeight w:val="1"/>
        </w:trPr>
        <w:tc>
          <w:tcPr>
            <w:tcW w:w="1687"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01F8245B" w14:textId="77777777"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Exchanges</w:t>
            </w:r>
          </w:p>
        </w:tc>
        <w:tc>
          <w:tcPr>
            <w:tcW w:w="3978"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27977A1F" w14:textId="13D3B4F3"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 xml:space="preserve">NIEM is about the semantics, not the transportation, of XML messages. Web </w:t>
            </w:r>
            <w:r w:rsidR="006473D4">
              <w:rPr>
                <w:rFonts w:eastAsia="Times New Roman" w:cs="Times New Roman"/>
              </w:rPr>
              <w:t>s</w:t>
            </w:r>
            <w:r w:rsidRPr="00891EC0">
              <w:rPr>
                <w:rFonts w:eastAsia="Times New Roman" w:cs="Times New Roman"/>
              </w:rPr>
              <w:t xml:space="preserve">ervices </w:t>
            </w:r>
            <w:r w:rsidR="00F63AEA">
              <w:rPr>
                <w:rFonts w:eastAsia="Times New Roman" w:cs="Times New Roman"/>
              </w:rPr>
              <w:t>{</w:t>
            </w:r>
            <w:r w:rsidRPr="00891EC0">
              <w:rPr>
                <w:rFonts w:eastAsia="Times New Roman" w:cs="Times New Roman"/>
              </w:rPr>
              <w:t xml:space="preserve">e.g. </w:t>
            </w:r>
            <w:r w:rsidR="00F63AEA" w:rsidRPr="00F63AEA">
              <w:rPr>
                <w:rFonts w:eastAsia="Times New Roman" w:cs="Times New Roman"/>
              </w:rPr>
              <w:t xml:space="preserve">Web Services Description Language </w:t>
            </w:r>
            <w:r w:rsidR="00F63AEA">
              <w:rPr>
                <w:rFonts w:eastAsia="Times New Roman" w:cs="Times New Roman"/>
              </w:rPr>
              <w:t>(</w:t>
            </w:r>
            <w:r w:rsidRPr="00891EC0">
              <w:rPr>
                <w:rFonts w:eastAsia="Times New Roman" w:cs="Times New Roman"/>
              </w:rPr>
              <w:t>WSDL)</w:t>
            </w:r>
            <w:r w:rsidR="00F63AEA">
              <w:rPr>
                <w:rFonts w:eastAsia="Times New Roman" w:cs="Times New Roman"/>
              </w:rPr>
              <w:t>}</w:t>
            </w:r>
            <w:r w:rsidRPr="00891EC0">
              <w:rPr>
                <w:rFonts w:eastAsia="Times New Roman" w:cs="Times New Roman"/>
              </w:rPr>
              <w:t xml:space="preserve"> provide the mechanism for exchanging machine-to-machine NIEM XML messages</w:t>
            </w:r>
          </w:p>
        </w:tc>
        <w:tc>
          <w:tcPr>
            <w:tcW w:w="459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7934C08A"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FHIM does not provide a method for transport of information</w:t>
            </w:r>
          </w:p>
        </w:tc>
      </w:tr>
      <w:tr w:rsidR="008E137B" w:rsidRPr="001727F2" w14:paraId="775D9012" w14:textId="77777777" w:rsidTr="00756A14">
        <w:trPr>
          <w:trHeight w:val="1"/>
        </w:trPr>
        <w:tc>
          <w:tcPr>
            <w:tcW w:w="1687" w:type="dxa"/>
            <w:tcBorders>
              <w:top w:val="nil"/>
              <w:left w:val="single" w:sz="8" w:space="0" w:color="9CC2E5"/>
              <w:bottom w:val="single" w:sz="8" w:space="0" w:color="9CC2E5"/>
              <w:right w:val="single" w:sz="8" w:space="0" w:color="9CC2E5"/>
            </w:tcBorders>
            <w:tcMar>
              <w:top w:w="0" w:type="dxa"/>
              <w:left w:w="108" w:type="dxa"/>
              <w:bottom w:w="0" w:type="dxa"/>
              <w:right w:w="108" w:type="dxa"/>
            </w:tcMar>
            <w:vAlign w:val="center"/>
            <w:hideMark/>
          </w:tcPr>
          <w:p w14:paraId="53BBFABF" w14:textId="77777777"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Developed By</w:t>
            </w:r>
          </w:p>
        </w:tc>
        <w:tc>
          <w:tcPr>
            <w:tcW w:w="3978" w:type="dxa"/>
            <w:tcBorders>
              <w:top w:val="nil"/>
              <w:left w:val="nil"/>
              <w:bottom w:val="single" w:sz="8" w:space="0" w:color="9CC2E5"/>
              <w:right w:val="single" w:sz="8" w:space="0" w:color="9CC2E5"/>
            </w:tcBorders>
            <w:tcMar>
              <w:top w:w="0" w:type="dxa"/>
              <w:left w:w="108" w:type="dxa"/>
              <w:bottom w:w="0" w:type="dxa"/>
              <w:right w:w="108" w:type="dxa"/>
            </w:tcMar>
            <w:vAlign w:val="center"/>
            <w:hideMark/>
          </w:tcPr>
          <w:p w14:paraId="6D8F60CD"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Federal, State, and Local Agencies</w:t>
            </w:r>
          </w:p>
        </w:tc>
        <w:tc>
          <w:tcPr>
            <w:tcW w:w="4590" w:type="dxa"/>
            <w:tcBorders>
              <w:top w:val="nil"/>
              <w:left w:val="nil"/>
              <w:bottom w:val="single" w:sz="8" w:space="0" w:color="9CC2E5"/>
              <w:right w:val="single" w:sz="8" w:space="0" w:color="9CC2E5"/>
            </w:tcBorders>
            <w:tcMar>
              <w:top w:w="0" w:type="dxa"/>
              <w:left w:w="108" w:type="dxa"/>
              <w:bottom w:w="0" w:type="dxa"/>
              <w:right w:w="108" w:type="dxa"/>
            </w:tcMar>
            <w:vAlign w:val="center"/>
            <w:hideMark/>
          </w:tcPr>
          <w:p w14:paraId="30819C7F"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Federal Agencies</w:t>
            </w:r>
          </w:p>
        </w:tc>
      </w:tr>
      <w:tr w:rsidR="008E137B" w:rsidRPr="001727F2" w14:paraId="7A39300F" w14:textId="77777777" w:rsidTr="00756A14">
        <w:trPr>
          <w:trHeight w:val="1"/>
        </w:trPr>
        <w:tc>
          <w:tcPr>
            <w:tcW w:w="1687"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5B6CFDDF" w14:textId="77777777" w:rsidR="008E137B" w:rsidRPr="00891EC0" w:rsidRDefault="008E137B" w:rsidP="00BD68E3">
            <w:pPr>
              <w:spacing w:before="100" w:beforeAutospacing="1" w:after="100" w:afterAutospacing="1" w:line="240" w:lineRule="auto"/>
              <w:jc w:val="center"/>
              <w:rPr>
                <w:rFonts w:eastAsia="Times New Roman" w:cs="Times New Roman"/>
              </w:rPr>
            </w:pPr>
            <w:r w:rsidRPr="00891EC0">
              <w:rPr>
                <w:rFonts w:eastAsia="Times New Roman" w:cs="Times New Roman"/>
              </w:rPr>
              <w:t>Used By</w:t>
            </w:r>
          </w:p>
        </w:tc>
        <w:tc>
          <w:tcPr>
            <w:tcW w:w="3978"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7F542D3F"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Federal, State, and Local Agencies</w:t>
            </w:r>
          </w:p>
        </w:tc>
        <w:tc>
          <w:tcPr>
            <w:tcW w:w="459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vAlign w:val="center"/>
            <w:hideMark/>
          </w:tcPr>
          <w:p w14:paraId="5B58D6E7" w14:textId="77777777" w:rsidR="008E137B" w:rsidRPr="00891EC0" w:rsidRDefault="008E137B" w:rsidP="00756A14">
            <w:pPr>
              <w:spacing w:before="100" w:beforeAutospacing="1" w:after="100" w:afterAutospacing="1" w:line="240" w:lineRule="auto"/>
              <w:jc w:val="center"/>
              <w:rPr>
                <w:rFonts w:eastAsia="Times New Roman" w:cs="Times New Roman"/>
              </w:rPr>
            </w:pPr>
            <w:r w:rsidRPr="00891EC0">
              <w:rPr>
                <w:rFonts w:eastAsia="Times New Roman" w:cs="Times New Roman"/>
              </w:rPr>
              <w:t>Federal Agencies</w:t>
            </w:r>
          </w:p>
        </w:tc>
      </w:tr>
    </w:tbl>
    <w:p w14:paraId="7EF5AEF9" w14:textId="77777777" w:rsidR="008E137B" w:rsidRPr="00891EC0" w:rsidRDefault="008E137B" w:rsidP="008E137B">
      <w:pPr>
        <w:spacing w:before="100" w:beforeAutospacing="1" w:after="200" w:line="240" w:lineRule="auto"/>
        <w:rPr>
          <w:rFonts w:eastAsia="Times New Roman" w:cs="Times New Roman"/>
        </w:rPr>
      </w:pPr>
      <w:r w:rsidRPr="00891EC0">
        <w:rPr>
          <w:rFonts w:eastAsia="Times New Roman" w:cs="Times New Roman"/>
          <w:i/>
          <w:iCs/>
          <w:color w:val="44546A"/>
        </w:rPr>
        <w:t> </w:t>
      </w:r>
      <w:r w:rsidRPr="00891EC0">
        <w:rPr>
          <w:rFonts w:eastAsia="Times New Roman" w:cs="Times New Roman"/>
          <w:color w:val="44546A"/>
        </w:rPr>
        <w:t>Table: NIEM and FHIM Comparison</w:t>
      </w:r>
    </w:p>
    <w:p w14:paraId="32468CA8" w14:textId="55ADBA2C" w:rsidR="008E137B" w:rsidRPr="00891EC0" w:rsidRDefault="001727F2" w:rsidP="008E137B">
      <w:pPr>
        <w:spacing w:before="100" w:beforeAutospacing="1" w:after="100" w:afterAutospacing="1" w:line="240" w:lineRule="auto"/>
        <w:rPr>
          <w:rFonts w:eastAsia="Times New Roman" w:cs="Times New Roman"/>
        </w:rPr>
      </w:pPr>
      <w:r>
        <w:rPr>
          <w:rFonts w:eastAsia="Times New Roman" w:cs="Times New Roman"/>
        </w:rPr>
        <w:t xml:space="preserve">Within </w:t>
      </w:r>
      <w:r w:rsidR="006473D4">
        <w:rPr>
          <w:rFonts w:eastAsia="Times New Roman" w:cs="Times New Roman"/>
        </w:rPr>
        <w:t>h</w:t>
      </w:r>
      <w:r>
        <w:rPr>
          <w:rFonts w:eastAsia="Times New Roman" w:cs="Times New Roman"/>
        </w:rPr>
        <w:t xml:space="preserve">ealth </w:t>
      </w:r>
      <w:r w:rsidR="008E137B" w:rsidRPr="00891EC0">
        <w:rPr>
          <w:rFonts w:eastAsia="Times New Roman" w:cs="Times New Roman"/>
        </w:rPr>
        <w:t>IT</w:t>
      </w:r>
      <w:r w:rsidR="006473D4">
        <w:rPr>
          <w:rFonts w:eastAsia="Times New Roman" w:cs="Times New Roman"/>
        </w:rPr>
        <w:t>,</w:t>
      </w:r>
      <w:r>
        <w:rPr>
          <w:rFonts w:eastAsia="Times New Roman" w:cs="Times New Roman"/>
        </w:rPr>
        <w:t xml:space="preserve"> the</w:t>
      </w:r>
      <w:r w:rsidR="008E137B" w:rsidRPr="00891EC0">
        <w:rPr>
          <w:rFonts w:eastAsia="Times New Roman" w:cs="Times New Roman"/>
        </w:rPr>
        <w:t xml:space="preserve"> functional interoperability between EHR and</w:t>
      </w:r>
      <w:r w:rsidR="00411F56">
        <w:rPr>
          <w:rFonts w:eastAsia="Times New Roman" w:cs="Times New Roman"/>
        </w:rPr>
        <w:t xml:space="preserve"> </w:t>
      </w:r>
      <w:r>
        <w:rPr>
          <w:rFonts w:eastAsia="Times New Roman" w:cs="Times New Roman"/>
        </w:rPr>
        <w:t>HIE</w:t>
      </w:r>
      <w:r w:rsidR="008E137B" w:rsidRPr="00891EC0">
        <w:rPr>
          <w:rFonts w:eastAsia="Times New Roman" w:cs="Times New Roman"/>
        </w:rPr>
        <w:t xml:space="preserve"> creates the bridge for inter-connecting the diverse modern health care ecosystem. NIEM can take business and </w:t>
      </w:r>
      <w:bookmarkStart w:id="24" w:name="_Hlk521321167"/>
      <w:r w:rsidR="008E137B" w:rsidRPr="00891EC0">
        <w:rPr>
          <w:rFonts w:eastAsia="Times New Roman" w:cs="Times New Roman"/>
        </w:rPr>
        <w:t xml:space="preserve">information </w:t>
      </w:r>
      <w:bookmarkEnd w:id="24"/>
      <w:r w:rsidR="008E137B" w:rsidRPr="00891EC0">
        <w:rPr>
          <w:rFonts w:eastAsia="Times New Roman" w:cs="Times New Roman"/>
        </w:rPr>
        <w:t xml:space="preserve">requirements to create reusable </w:t>
      </w:r>
      <w:r w:rsidR="00756A14">
        <w:rPr>
          <w:rFonts w:ascii="Calibri" w:eastAsia="Calibri" w:hAnsi="Calibri" w:cs="Calibri"/>
        </w:rPr>
        <w:t>IEPDs</w:t>
      </w:r>
      <w:r w:rsidR="00294FAB">
        <w:rPr>
          <w:rFonts w:ascii="Calibri" w:eastAsia="Calibri" w:hAnsi="Calibri" w:cs="Calibri"/>
        </w:rPr>
        <w:t xml:space="preserve"> </w:t>
      </w:r>
      <w:r w:rsidR="008E137B" w:rsidRPr="00891EC0">
        <w:rPr>
          <w:rFonts w:eastAsia="Times New Roman" w:cs="Times New Roman"/>
        </w:rPr>
        <w:t>to address the needs of heterogeneous health information producers and consumers.</w:t>
      </w:r>
      <w:r>
        <w:rPr>
          <w:rFonts w:eastAsia="Times New Roman" w:cs="Times New Roman"/>
        </w:rPr>
        <w:t xml:space="preserve"> The</w:t>
      </w:r>
      <w:r w:rsidR="008E137B" w:rsidRPr="00891EC0">
        <w:rPr>
          <w:rFonts w:eastAsia="Times New Roman" w:cs="Times New Roman"/>
        </w:rPr>
        <w:t xml:space="preserve"> </w:t>
      </w:r>
      <w:r w:rsidR="00C81AB2">
        <w:rPr>
          <w:rFonts w:eastAsia="Times New Roman" w:cs="Times New Roman"/>
        </w:rPr>
        <w:t>IEPD</w:t>
      </w:r>
      <w:r w:rsidR="00294FAB">
        <w:rPr>
          <w:rFonts w:ascii="Calibri" w:eastAsia="Calibri" w:hAnsi="Calibri" w:cs="Calibri"/>
        </w:rPr>
        <w:t xml:space="preserve"> </w:t>
      </w:r>
      <w:r w:rsidR="008E137B" w:rsidRPr="00891EC0">
        <w:rPr>
          <w:rFonts w:eastAsia="Times New Roman" w:cs="Times New Roman"/>
        </w:rPr>
        <w:t xml:space="preserve">is </w:t>
      </w:r>
      <w:r w:rsidR="008E137B" w:rsidRPr="00891EC0">
        <w:rPr>
          <w:rFonts w:eastAsia="Times New Roman" w:cs="Times New Roman"/>
        </w:rPr>
        <w:lastRenderedPageBreak/>
        <w:t xml:space="preserve">fundamental to the NIEM architecture, acting as a complete definition of an </w:t>
      </w:r>
      <w:r w:rsidRPr="001727F2">
        <w:rPr>
          <w:rFonts w:eastAsia="Times New Roman" w:cs="Times New Roman"/>
        </w:rPr>
        <w:t>information</w:t>
      </w:r>
      <w:r>
        <w:rPr>
          <w:rFonts w:eastAsia="Times New Roman" w:cs="Times New Roman"/>
        </w:rPr>
        <w:t xml:space="preserve"> exchange</w:t>
      </w:r>
      <w:r w:rsidR="008E137B" w:rsidRPr="00891EC0">
        <w:rPr>
          <w:rFonts w:eastAsia="Times New Roman" w:cs="Times New Roman"/>
        </w:rPr>
        <w:t xml:space="preserve">. </w:t>
      </w:r>
      <w:r w:rsidR="00730F36">
        <w:rPr>
          <w:rFonts w:eastAsia="Times New Roman" w:cs="Times New Roman"/>
        </w:rPr>
        <w:t>I</w:t>
      </w:r>
      <w:r w:rsidR="008E137B" w:rsidRPr="00891EC0">
        <w:rPr>
          <w:rFonts w:eastAsia="Times New Roman" w:cs="Times New Roman"/>
        </w:rPr>
        <w:t>t is composed of a data exchange schema</w:t>
      </w:r>
      <w:r w:rsidR="006473D4">
        <w:rPr>
          <w:rFonts w:eastAsia="Times New Roman" w:cs="Times New Roman"/>
        </w:rPr>
        <w:t xml:space="preserve">, </w:t>
      </w:r>
      <w:r w:rsidR="00294FAB">
        <w:rPr>
          <w:rFonts w:eastAsia="Times New Roman" w:cs="Times New Roman"/>
        </w:rPr>
        <w:t>a</w:t>
      </w:r>
      <w:r w:rsidR="00294FAB" w:rsidRPr="00891EC0">
        <w:rPr>
          <w:rFonts w:eastAsia="Times New Roman" w:cs="Times New Roman"/>
        </w:rPr>
        <w:t xml:space="preserve"> </w:t>
      </w:r>
      <w:r w:rsidR="008E137B" w:rsidRPr="00891EC0">
        <w:rPr>
          <w:rFonts w:eastAsia="Times New Roman" w:cs="Times New Roman"/>
        </w:rPr>
        <w:t>business context</w:t>
      </w:r>
      <w:r w:rsidR="006473D4">
        <w:rPr>
          <w:rFonts w:eastAsia="Times New Roman" w:cs="Times New Roman"/>
        </w:rPr>
        <w:t>,</w:t>
      </w:r>
      <w:r w:rsidR="008E137B" w:rsidRPr="00891EC0">
        <w:rPr>
          <w:rFonts w:eastAsia="Times New Roman" w:cs="Times New Roman"/>
        </w:rPr>
        <w:t xml:space="preserve"> and usage documentation.</w:t>
      </w:r>
    </w:p>
    <w:p w14:paraId="1BBA03B1" w14:textId="5AA37E3E" w:rsidR="008E137B" w:rsidRPr="00891EC0" w:rsidRDefault="008E137B" w:rsidP="008E137B">
      <w:pPr>
        <w:keepNext/>
        <w:spacing w:before="40" w:after="100" w:afterAutospacing="1" w:line="240" w:lineRule="auto"/>
        <w:rPr>
          <w:rFonts w:eastAsia="Times New Roman" w:cs="Times New Roman"/>
        </w:rPr>
      </w:pPr>
      <w:r w:rsidRPr="00891EC0">
        <w:rPr>
          <w:rFonts w:eastAsia="Times New Roman" w:cs="Times New Roman"/>
        </w:rPr>
        <w:t>Like NIEM, FHIM provides a common vocabulary and a well-defined set of model elements to make the federal healthcare system more understandable and healthcare information more readily exchanged. It synthesizes recognized industry standards into a single model and is validated using a bottom up approach to its construction by agency representatives. The FHIM assists in identifying shared information needs across two or more agencies, building mutual understanding and consensus on data sharing and documents, and automating key aspects of information exchange protocols.</w:t>
      </w:r>
    </w:p>
    <w:p w14:paraId="43668114" w14:textId="3BD18F77" w:rsidR="00730F36"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 xml:space="preserve">NIEM is comprised of industry specific domains, or </w:t>
      </w:r>
      <w:r w:rsidR="008F38B0">
        <w:rPr>
          <w:rFonts w:eastAsia="Times New Roman" w:cs="Times New Roman"/>
        </w:rPr>
        <w:t>CoI</w:t>
      </w:r>
      <w:r w:rsidR="006473D4">
        <w:rPr>
          <w:rFonts w:eastAsia="Times New Roman" w:cs="Times New Roman"/>
        </w:rPr>
        <w:t>s,</w:t>
      </w:r>
      <w:r w:rsidRPr="00891EC0">
        <w:rPr>
          <w:rFonts w:eastAsia="Times New Roman" w:cs="Times New Roman"/>
        </w:rPr>
        <w:t xml:space="preserve"> that are developed and maintained by a specific federal agency. For example, the Human Services domain is owned by HHS and the Military Operations (MilOps) domain is owned by DoD. </w:t>
      </w:r>
      <w:r w:rsidR="00FB49BB" w:rsidRPr="00891EC0">
        <w:rPr>
          <w:rFonts w:eastAsia="Times New Roman" w:cs="Times New Roman"/>
        </w:rPr>
        <w:t>Both</w:t>
      </w:r>
      <w:r w:rsidRPr="00891EC0">
        <w:rPr>
          <w:rFonts w:eastAsia="Times New Roman" w:cs="Times New Roman"/>
        </w:rPr>
        <w:t xml:space="preserve"> domains are built from the NIEM </w:t>
      </w:r>
      <w:r w:rsidR="006473D4">
        <w:rPr>
          <w:rFonts w:eastAsia="Times New Roman" w:cs="Times New Roman"/>
        </w:rPr>
        <w:t>c</w:t>
      </w:r>
      <w:r w:rsidRPr="00891EC0">
        <w:rPr>
          <w:rFonts w:eastAsia="Times New Roman" w:cs="Times New Roman"/>
        </w:rPr>
        <w:t xml:space="preserve">ore components and domain-specific elements. </w:t>
      </w:r>
    </w:p>
    <w:p w14:paraId="49FE7B58" w14:textId="7179A31E"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 xml:space="preserve">Unlike NIEM, FHIM domains consist of a singular </w:t>
      </w:r>
      <w:r w:rsidR="008F38B0">
        <w:rPr>
          <w:rFonts w:eastAsia="Times New Roman" w:cs="Times New Roman"/>
        </w:rPr>
        <w:t>CoI</w:t>
      </w:r>
      <w:r w:rsidRPr="00891EC0">
        <w:rPr>
          <w:rFonts w:eastAsia="Times New Roman" w:cs="Times New Roman"/>
        </w:rPr>
        <w:t xml:space="preserve">: health. Therefore, FHIM domains are classified into an assortment of healthcare categories, as illustrated below, and can be viewed at </w:t>
      </w:r>
      <w:hyperlink r:id="rId18" w:history="1">
        <w:r w:rsidRPr="00891EC0">
          <w:rPr>
            <w:rFonts w:eastAsia="Times New Roman" w:cs="Times New Roman"/>
            <w:color w:val="0000FF"/>
            <w:u w:val="single"/>
          </w:rPr>
          <w:t>http://fhims.org/</w:t>
        </w:r>
      </w:hyperlink>
      <w:r w:rsidRPr="00891EC0">
        <w:rPr>
          <w:rFonts w:eastAsia="Times New Roman" w:cs="Times New Roman"/>
        </w:rPr>
        <w:t xml:space="preserve">. </w:t>
      </w:r>
    </w:p>
    <w:tbl>
      <w:tblPr>
        <w:tblW w:w="0" w:type="auto"/>
        <w:tblCellMar>
          <w:left w:w="0" w:type="dxa"/>
          <w:right w:w="0" w:type="dxa"/>
        </w:tblCellMar>
        <w:tblLook w:val="04A0" w:firstRow="1" w:lastRow="0" w:firstColumn="1" w:lastColumn="0" w:noHBand="0" w:noVBand="1"/>
      </w:tblPr>
      <w:tblGrid>
        <w:gridCol w:w="2386"/>
        <w:gridCol w:w="1989"/>
        <w:gridCol w:w="2583"/>
        <w:gridCol w:w="2284"/>
      </w:tblGrid>
      <w:tr w:rsidR="008E137B" w:rsidRPr="001727F2" w14:paraId="14A28E1F" w14:textId="77777777" w:rsidTr="008E137B">
        <w:trPr>
          <w:trHeight w:val="1"/>
        </w:trPr>
        <w:tc>
          <w:tcPr>
            <w:tcW w:w="2386" w:type="dxa"/>
            <w:tcBorders>
              <w:top w:val="single" w:sz="8" w:space="0" w:color="9CC2E5"/>
              <w:left w:val="nil"/>
              <w:bottom w:val="single" w:sz="8" w:space="0" w:color="9CC2E5"/>
              <w:right w:val="single" w:sz="8" w:space="0" w:color="9CC2E5"/>
            </w:tcBorders>
            <w:shd w:val="clear" w:color="auto" w:fill="DEEAF6"/>
            <w:tcMar>
              <w:top w:w="0" w:type="dxa"/>
              <w:left w:w="108" w:type="dxa"/>
              <w:bottom w:w="0" w:type="dxa"/>
              <w:right w:w="108" w:type="dxa"/>
            </w:tcMar>
            <w:hideMark/>
          </w:tcPr>
          <w:p w14:paraId="42CECE03"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AdverseEventReporting</w:t>
            </w:r>
          </w:p>
        </w:tc>
        <w:tc>
          <w:tcPr>
            <w:tcW w:w="1989" w:type="dxa"/>
            <w:tcBorders>
              <w:top w:val="single" w:sz="8" w:space="0" w:color="9CC2E5"/>
              <w:left w:val="nil"/>
              <w:bottom w:val="single" w:sz="8" w:space="0" w:color="9CC2E5"/>
              <w:right w:val="single" w:sz="8" w:space="0" w:color="9CC2E5"/>
            </w:tcBorders>
            <w:shd w:val="clear" w:color="auto" w:fill="DEEAF6"/>
            <w:tcMar>
              <w:top w:w="0" w:type="dxa"/>
              <w:left w:w="108" w:type="dxa"/>
              <w:bottom w:w="0" w:type="dxa"/>
              <w:right w:w="108" w:type="dxa"/>
            </w:tcMar>
            <w:hideMark/>
          </w:tcPr>
          <w:p w14:paraId="12C22A46"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CommonProduct</w:t>
            </w:r>
          </w:p>
        </w:tc>
        <w:tc>
          <w:tcPr>
            <w:tcW w:w="2583" w:type="dxa"/>
            <w:tcBorders>
              <w:top w:val="single" w:sz="8" w:space="0" w:color="9CC2E5"/>
              <w:left w:val="nil"/>
              <w:bottom w:val="single" w:sz="8" w:space="0" w:color="9CC2E5"/>
              <w:right w:val="single" w:sz="8" w:space="0" w:color="9CC2E5"/>
            </w:tcBorders>
            <w:shd w:val="clear" w:color="auto" w:fill="DEEAF6"/>
            <w:tcMar>
              <w:top w:w="0" w:type="dxa"/>
              <w:left w:w="108" w:type="dxa"/>
              <w:bottom w:w="0" w:type="dxa"/>
              <w:right w:w="108" w:type="dxa"/>
            </w:tcMar>
            <w:hideMark/>
          </w:tcPr>
          <w:p w14:paraId="3DDC8976"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Lab</w:t>
            </w:r>
          </w:p>
        </w:tc>
        <w:tc>
          <w:tcPr>
            <w:tcW w:w="2284" w:type="dxa"/>
            <w:tcBorders>
              <w:top w:val="single" w:sz="8" w:space="0" w:color="9CC2E5"/>
              <w:left w:val="nil"/>
              <w:bottom w:val="single" w:sz="8" w:space="0" w:color="9CC2E5"/>
              <w:right w:val="nil"/>
            </w:tcBorders>
            <w:shd w:val="clear" w:color="auto" w:fill="DEEAF6"/>
            <w:tcMar>
              <w:top w:w="0" w:type="dxa"/>
              <w:left w:w="108" w:type="dxa"/>
              <w:bottom w:w="0" w:type="dxa"/>
              <w:right w:w="108" w:type="dxa"/>
            </w:tcMar>
            <w:hideMark/>
          </w:tcPr>
          <w:p w14:paraId="50923906"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SecurityAndPrivacy</w:t>
            </w:r>
          </w:p>
        </w:tc>
      </w:tr>
      <w:tr w:rsidR="008E137B" w:rsidRPr="001727F2" w14:paraId="51E9844A" w14:textId="77777777" w:rsidTr="008E137B">
        <w:trPr>
          <w:trHeight w:val="1"/>
        </w:trPr>
        <w:tc>
          <w:tcPr>
            <w:tcW w:w="2386" w:type="dxa"/>
            <w:tcBorders>
              <w:top w:val="nil"/>
              <w:left w:val="nil"/>
              <w:bottom w:val="single" w:sz="8" w:space="0" w:color="9CC2E5"/>
              <w:right w:val="single" w:sz="8" w:space="0" w:color="9CC2E5"/>
            </w:tcBorders>
            <w:tcMar>
              <w:top w:w="0" w:type="dxa"/>
              <w:left w:w="108" w:type="dxa"/>
              <w:bottom w:w="0" w:type="dxa"/>
              <w:right w:w="108" w:type="dxa"/>
            </w:tcMar>
            <w:hideMark/>
          </w:tcPr>
          <w:p w14:paraId="3B33072A"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Allergies</w:t>
            </w:r>
          </w:p>
        </w:tc>
        <w:tc>
          <w:tcPr>
            <w:tcW w:w="1989" w:type="dxa"/>
            <w:tcBorders>
              <w:top w:val="nil"/>
              <w:left w:val="nil"/>
              <w:bottom w:val="single" w:sz="8" w:space="0" w:color="9CC2E5"/>
              <w:right w:val="single" w:sz="8" w:space="0" w:color="9CC2E5"/>
            </w:tcBorders>
            <w:tcMar>
              <w:top w:w="0" w:type="dxa"/>
              <w:left w:w="108" w:type="dxa"/>
              <w:bottom w:w="0" w:type="dxa"/>
              <w:right w:w="108" w:type="dxa"/>
            </w:tcMar>
            <w:hideMark/>
          </w:tcPr>
          <w:p w14:paraId="2FA6B02C"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Consultation</w:t>
            </w:r>
          </w:p>
        </w:tc>
        <w:tc>
          <w:tcPr>
            <w:tcW w:w="2583" w:type="dxa"/>
            <w:tcBorders>
              <w:top w:val="nil"/>
              <w:left w:val="nil"/>
              <w:bottom w:val="single" w:sz="8" w:space="0" w:color="9CC2E5"/>
              <w:right w:val="single" w:sz="8" w:space="0" w:color="9CC2E5"/>
            </w:tcBorders>
            <w:tcMar>
              <w:top w:w="0" w:type="dxa"/>
              <w:left w:w="108" w:type="dxa"/>
              <w:bottom w:w="0" w:type="dxa"/>
              <w:right w:w="108" w:type="dxa"/>
            </w:tcMar>
            <w:hideMark/>
          </w:tcPr>
          <w:p w14:paraId="28C160A0"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MedicationAdministration</w:t>
            </w:r>
          </w:p>
        </w:tc>
        <w:tc>
          <w:tcPr>
            <w:tcW w:w="2284" w:type="dxa"/>
            <w:tcBorders>
              <w:top w:val="nil"/>
              <w:left w:val="nil"/>
              <w:bottom w:val="single" w:sz="8" w:space="0" w:color="9CC2E5"/>
              <w:right w:val="nil"/>
            </w:tcBorders>
            <w:tcMar>
              <w:top w:w="0" w:type="dxa"/>
              <w:left w:w="108" w:type="dxa"/>
              <w:bottom w:w="0" w:type="dxa"/>
              <w:right w:w="108" w:type="dxa"/>
            </w:tcMar>
            <w:hideMark/>
          </w:tcPr>
          <w:p w14:paraId="1DA4AF65"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SocialWork</w:t>
            </w:r>
          </w:p>
        </w:tc>
      </w:tr>
      <w:tr w:rsidR="008E137B" w:rsidRPr="001727F2" w14:paraId="628281F1" w14:textId="77777777" w:rsidTr="008E137B">
        <w:trPr>
          <w:trHeight w:val="1"/>
        </w:trPr>
        <w:tc>
          <w:tcPr>
            <w:tcW w:w="238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0684F97B"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Assessment</w:t>
            </w:r>
          </w:p>
        </w:tc>
        <w:tc>
          <w:tcPr>
            <w:tcW w:w="1989"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36639B0E"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Dental</w:t>
            </w:r>
          </w:p>
        </w:tc>
        <w:tc>
          <w:tcPr>
            <w:tcW w:w="2583"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26404AD8"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OncologyRegistry</w:t>
            </w:r>
          </w:p>
        </w:tc>
        <w:tc>
          <w:tcPr>
            <w:tcW w:w="2284" w:type="dxa"/>
            <w:tcBorders>
              <w:top w:val="nil"/>
              <w:left w:val="nil"/>
              <w:bottom w:val="single" w:sz="8" w:space="0" w:color="9CC2E5"/>
              <w:right w:val="nil"/>
            </w:tcBorders>
            <w:shd w:val="clear" w:color="auto" w:fill="DEEAF6"/>
            <w:tcMar>
              <w:top w:w="0" w:type="dxa"/>
              <w:left w:w="108" w:type="dxa"/>
              <w:bottom w:w="0" w:type="dxa"/>
              <w:right w:w="108" w:type="dxa"/>
            </w:tcMar>
            <w:hideMark/>
          </w:tcPr>
          <w:p w14:paraId="0B840362"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SpinalCord</w:t>
            </w:r>
          </w:p>
        </w:tc>
      </w:tr>
      <w:tr w:rsidR="008E137B" w:rsidRPr="001727F2" w14:paraId="21571AB3" w14:textId="77777777" w:rsidTr="008E137B">
        <w:trPr>
          <w:trHeight w:val="1"/>
        </w:trPr>
        <w:tc>
          <w:tcPr>
            <w:tcW w:w="2386" w:type="dxa"/>
            <w:tcBorders>
              <w:top w:val="nil"/>
              <w:left w:val="nil"/>
              <w:bottom w:val="single" w:sz="8" w:space="0" w:color="9CC2E5"/>
              <w:right w:val="single" w:sz="8" w:space="0" w:color="9CC2E5"/>
            </w:tcBorders>
            <w:tcMar>
              <w:top w:w="0" w:type="dxa"/>
              <w:left w:w="108" w:type="dxa"/>
              <w:bottom w:w="0" w:type="dxa"/>
              <w:right w:w="108" w:type="dxa"/>
            </w:tcMar>
            <w:hideMark/>
          </w:tcPr>
          <w:p w14:paraId="43BFF55C"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AudiologyAndSpecimen</w:t>
            </w:r>
          </w:p>
        </w:tc>
        <w:tc>
          <w:tcPr>
            <w:tcW w:w="1989" w:type="dxa"/>
            <w:tcBorders>
              <w:top w:val="nil"/>
              <w:left w:val="nil"/>
              <w:bottom w:val="single" w:sz="8" w:space="0" w:color="9CC2E5"/>
              <w:right w:val="single" w:sz="8" w:space="0" w:color="9CC2E5"/>
            </w:tcBorders>
            <w:tcMar>
              <w:top w:w="0" w:type="dxa"/>
              <w:left w:w="108" w:type="dxa"/>
              <w:bottom w:w="0" w:type="dxa"/>
              <w:right w:w="108" w:type="dxa"/>
            </w:tcMar>
            <w:hideMark/>
          </w:tcPr>
          <w:p w14:paraId="36349919"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Dietetics</w:t>
            </w:r>
          </w:p>
        </w:tc>
        <w:tc>
          <w:tcPr>
            <w:tcW w:w="2583" w:type="dxa"/>
            <w:tcBorders>
              <w:top w:val="nil"/>
              <w:left w:val="nil"/>
              <w:bottom w:val="single" w:sz="8" w:space="0" w:color="9CC2E5"/>
              <w:right w:val="single" w:sz="8" w:space="0" w:color="9CC2E5"/>
            </w:tcBorders>
            <w:tcMar>
              <w:top w:w="0" w:type="dxa"/>
              <w:left w:w="108" w:type="dxa"/>
              <w:bottom w:w="0" w:type="dxa"/>
              <w:right w:w="108" w:type="dxa"/>
            </w:tcMar>
            <w:hideMark/>
          </w:tcPr>
          <w:p w14:paraId="1AE22349"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Orders</w:t>
            </w:r>
          </w:p>
        </w:tc>
        <w:tc>
          <w:tcPr>
            <w:tcW w:w="2284" w:type="dxa"/>
            <w:tcBorders>
              <w:top w:val="nil"/>
              <w:left w:val="nil"/>
              <w:bottom w:val="single" w:sz="8" w:space="0" w:color="9CC2E5"/>
              <w:right w:val="nil"/>
            </w:tcBorders>
            <w:tcMar>
              <w:top w:w="0" w:type="dxa"/>
              <w:left w:w="108" w:type="dxa"/>
              <w:bottom w:w="0" w:type="dxa"/>
              <w:right w:w="108" w:type="dxa"/>
            </w:tcMar>
            <w:hideMark/>
          </w:tcPr>
          <w:p w14:paraId="70705AC5"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Surgery</w:t>
            </w:r>
          </w:p>
        </w:tc>
      </w:tr>
      <w:tr w:rsidR="008E137B" w:rsidRPr="001727F2" w14:paraId="0098B20F" w14:textId="77777777" w:rsidTr="008E137B">
        <w:trPr>
          <w:trHeight w:val="1"/>
        </w:trPr>
        <w:tc>
          <w:tcPr>
            <w:tcW w:w="238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25A8047E"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BehavioralHealth</w:t>
            </w:r>
          </w:p>
        </w:tc>
        <w:tc>
          <w:tcPr>
            <w:tcW w:w="1989"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39C129D8"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Encounter</w:t>
            </w:r>
          </w:p>
        </w:tc>
        <w:tc>
          <w:tcPr>
            <w:tcW w:w="2583"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426F15AA"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PatientEducation</w:t>
            </w:r>
          </w:p>
        </w:tc>
        <w:tc>
          <w:tcPr>
            <w:tcW w:w="2284" w:type="dxa"/>
            <w:tcBorders>
              <w:top w:val="nil"/>
              <w:left w:val="nil"/>
              <w:bottom w:val="single" w:sz="8" w:space="0" w:color="9CC2E5"/>
              <w:right w:val="nil"/>
            </w:tcBorders>
            <w:shd w:val="clear" w:color="auto" w:fill="DEEAF6"/>
            <w:tcMar>
              <w:top w:w="0" w:type="dxa"/>
              <w:left w:w="108" w:type="dxa"/>
              <w:bottom w:w="0" w:type="dxa"/>
              <w:right w:w="108" w:type="dxa"/>
            </w:tcMar>
            <w:hideMark/>
          </w:tcPr>
          <w:p w14:paraId="3A9EFE90"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VitalSigns</w:t>
            </w:r>
          </w:p>
        </w:tc>
      </w:tr>
      <w:tr w:rsidR="008E137B" w:rsidRPr="001727F2" w14:paraId="41FC2CC8" w14:textId="77777777" w:rsidTr="008E137B">
        <w:trPr>
          <w:trHeight w:val="1"/>
        </w:trPr>
        <w:tc>
          <w:tcPr>
            <w:tcW w:w="2386" w:type="dxa"/>
            <w:tcBorders>
              <w:top w:val="nil"/>
              <w:left w:val="nil"/>
              <w:bottom w:val="single" w:sz="8" w:space="0" w:color="9CC2E5"/>
              <w:right w:val="single" w:sz="8" w:space="0" w:color="9CC2E5"/>
            </w:tcBorders>
            <w:tcMar>
              <w:top w:w="0" w:type="dxa"/>
              <w:left w:w="108" w:type="dxa"/>
              <w:bottom w:w="0" w:type="dxa"/>
              <w:right w:w="108" w:type="dxa"/>
            </w:tcMar>
            <w:hideMark/>
          </w:tcPr>
          <w:p w14:paraId="7CF39175"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BloodBank</w:t>
            </w:r>
          </w:p>
        </w:tc>
        <w:tc>
          <w:tcPr>
            <w:tcW w:w="1989" w:type="dxa"/>
            <w:tcBorders>
              <w:top w:val="nil"/>
              <w:left w:val="nil"/>
              <w:bottom w:val="single" w:sz="8" w:space="0" w:color="9CC2E5"/>
              <w:right w:val="single" w:sz="8" w:space="0" w:color="9CC2E5"/>
            </w:tcBorders>
            <w:tcMar>
              <w:top w:w="0" w:type="dxa"/>
              <w:left w:w="108" w:type="dxa"/>
              <w:bottom w:w="0" w:type="dxa"/>
              <w:right w:w="108" w:type="dxa"/>
            </w:tcMar>
            <w:hideMark/>
          </w:tcPr>
          <w:p w14:paraId="2720358F"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EnrollEligCOB</w:t>
            </w:r>
          </w:p>
        </w:tc>
        <w:tc>
          <w:tcPr>
            <w:tcW w:w="2583" w:type="dxa"/>
            <w:tcBorders>
              <w:top w:val="nil"/>
              <w:left w:val="nil"/>
              <w:bottom w:val="single" w:sz="8" w:space="0" w:color="9CC2E5"/>
              <w:right w:val="single" w:sz="8" w:space="0" w:color="9CC2E5"/>
            </w:tcBorders>
            <w:tcMar>
              <w:top w:w="0" w:type="dxa"/>
              <w:left w:w="108" w:type="dxa"/>
              <w:bottom w:w="0" w:type="dxa"/>
              <w:right w:w="108" w:type="dxa"/>
            </w:tcMar>
            <w:hideMark/>
          </w:tcPr>
          <w:p w14:paraId="19B37E4D"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Person</w:t>
            </w:r>
          </w:p>
        </w:tc>
        <w:tc>
          <w:tcPr>
            <w:tcW w:w="2284" w:type="dxa"/>
            <w:tcBorders>
              <w:top w:val="nil"/>
              <w:left w:val="nil"/>
              <w:bottom w:val="single" w:sz="8" w:space="0" w:color="9CC2E5"/>
              <w:right w:val="nil"/>
            </w:tcBorders>
            <w:tcMar>
              <w:top w:w="0" w:type="dxa"/>
              <w:left w:w="108" w:type="dxa"/>
              <w:bottom w:w="0" w:type="dxa"/>
              <w:right w:w="108" w:type="dxa"/>
            </w:tcMar>
            <w:hideMark/>
          </w:tcPr>
          <w:p w14:paraId="1601112A"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WomensHealth</w:t>
            </w:r>
          </w:p>
        </w:tc>
      </w:tr>
      <w:tr w:rsidR="008E137B" w:rsidRPr="001727F2" w14:paraId="12C0A30B" w14:textId="77777777" w:rsidTr="008E137B">
        <w:trPr>
          <w:trHeight w:val="1"/>
        </w:trPr>
        <w:tc>
          <w:tcPr>
            <w:tcW w:w="238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024EDB2A"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CarePlan</w:t>
            </w:r>
          </w:p>
        </w:tc>
        <w:tc>
          <w:tcPr>
            <w:tcW w:w="1989"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263A79F4"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HealthConcern</w:t>
            </w:r>
          </w:p>
        </w:tc>
        <w:tc>
          <w:tcPr>
            <w:tcW w:w="2583"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2C65591D"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Pharmacy</w:t>
            </w:r>
          </w:p>
        </w:tc>
        <w:tc>
          <w:tcPr>
            <w:tcW w:w="2284" w:type="dxa"/>
            <w:tcBorders>
              <w:top w:val="nil"/>
              <w:left w:val="nil"/>
              <w:bottom w:val="single" w:sz="8" w:space="0" w:color="9CC2E5"/>
              <w:right w:val="nil"/>
            </w:tcBorders>
            <w:shd w:val="clear" w:color="auto" w:fill="DEEAF6"/>
            <w:tcMar>
              <w:top w:w="0" w:type="dxa"/>
              <w:left w:w="108" w:type="dxa"/>
              <w:bottom w:w="0" w:type="dxa"/>
              <w:right w:w="108" w:type="dxa"/>
            </w:tcMar>
            <w:hideMark/>
          </w:tcPr>
          <w:p w14:paraId="4718855A"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Common</w:t>
            </w:r>
          </w:p>
        </w:tc>
      </w:tr>
      <w:tr w:rsidR="008E137B" w:rsidRPr="001727F2" w14:paraId="685874E5" w14:textId="77777777" w:rsidTr="008E137B">
        <w:trPr>
          <w:trHeight w:val="1"/>
        </w:trPr>
        <w:tc>
          <w:tcPr>
            <w:tcW w:w="2386" w:type="dxa"/>
            <w:tcBorders>
              <w:top w:val="nil"/>
              <w:left w:val="nil"/>
              <w:bottom w:val="single" w:sz="8" w:space="0" w:color="9CC2E5"/>
              <w:right w:val="single" w:sz="8" w:space="0" w:color="9CC2E5"/>
            </w:tcBorders>
            <w:tcMar>
              <w:top w:w="0" w:type="dxa"/>
              <w:left w:w="108" w:type="dxa"/>
              <w:bottom w:w="0" w:type="dxa"/>
              <w:right w:w="108" w:type="dxa"/>
            </w:tcMar>
            <w:hideMark/>
          </w:tcPr>
          <w:p w14:paraId="033B8C34"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ClincialDecisionSupport</w:t>
            </w:r>
          </w:p>
        </w:tc>
        <w:tc>
          <w:tcPr>
            <w:tcW w:w="1989" w:type="dxa"/>
            <w:tcBorders>
              <w:top w:val="nil"/>
              <w:left w:val="nil"/>
              <w:bottom w:val="single" w:sz="8" w:space="0" w:color="9CC2E5"/>
              <w:right w:val="single" w:sz="8" w:space="0" w:color="9CC2E5"/>
            </w:tcBorders>
            <w:tcMar>
              <w:top w:w="0" w:type="dxa"/>
              <w:left w:w="108" w:type="dxa"/>
              <w:bottom w:w="0" w:type="dxa"/>
              <w:right w:w="108" w:type="dxa"/>
            </w:tcMar>
            <w:hideMark/>
          </w:tcPr>
          <w:p w14:paraId="1E7E6B01"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HomeBasedPrim</w:t>
            </w:r>
          </w:p>
        </w:tc>
        <w:tc>
          <w:tcPr>
            <w:tcW w:w="2583" w:type="dxa"/>
            <w:tcBorders>
              <w:top w:val="nil"/>
              <w:left w:val="nil"/>
              <w:bottom w:val="single" w:sz="8" w:space="0" w:color="9CC2E5"/>
              <w:right w:val="single" w:sz="8" w:space="0" w:color="9CC2E5"/>
            </w:tcBorders>
            <w:tcMar>
              <w:top w:w="0" w:type="dxa"/>
              <w:left w:w="108" w:type="dxa"/>
              <w:bottom w:w="0" w:type="dxa"/>
              <w:right w:w="108" w:type="dxa"/>
            </w:tcMar>
            <w:hideMark/>
          </w:tcPr>
          <w:p w14:paraId="72DBBD1C"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Prosthetics</w:t>
            </w:r>
          </w:p>
        </w:tc>
        <w:tc>
          <w:tcPr>
            <w:tcW w:w="2284" w:type="dxa"/>
            <w:tcBorders>
              <w:top w:val="nil"/>
              <w:left w:val="nil"/>
              <w:bottom w:val="single" w:sz="8" w:space="0" w:color="9CC2E5"/>
              <w:right w:val="nil"/>
            </w:tcBorders>
            <w:tcMar>
              <w:top w:w="0" w:type="dxa"/>
              <w:left w:w="108" w:type="dxa"/>
              <w:bottom w:w="0" w:type="dxa"/>
              <w:right w:w="108" w:type="dxa"/>
            </w:tcMar>
            <w:hideMark/>
          </w:tcPr>
          <w:p w14:paraId="72F2D168"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Datatypes</w:t>
            </w:r>
          </w:p>
        </w:tc>
      </w:tr>
      <w:tr w:rsidR="008E137B" w:rsidRPr="001727F2" w14:paraId="564DFD42" w14:textId="77777777" w:rsidTr="008E137B">
        <w:trPr>
          <w:trHeight w:val="1"/>
        </w:trPr>
        <w:tc>
          <w:tcPr>
            <w:tcW w:w="238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2489679C"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ClinicalDocument</w:t>
            </w:r>
          </w:p>
        </w:tc>
        <w:tc>
          <w:tcPr>
            <w:tcW w:w="1989"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46588D29"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Imaging</w:t>
            </w:r>
          </w:p>
        </w:tc>
        <w:tc>
          <w:tcPr>
            <w:tcW w:w="2583"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4E2C2E4B"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Provider</w:t>
            </w:r>
          </w:p>
        </w:tc>
        <w:tc>
          <w:tcPr>
            <w:tcW w:w="2284" w:type="dxa"/>
            <w:tcBorders>
              <w:top w:val="nil"/>
              <w:left w:val="nil"/>
              <w:bottom w:val="single" w:sz="8" w:space="0" w:color="9CC2E5"/>
              <w:right w:val="nil"/>
            </w:tcBorders>
            <w:shd w:val="clear" w:color="auto" w:fill="DEEAF6"/>
            <w:tcMar>
              <w:top w:w="0" w:type="dxa"/>
              <w:left w:w="108" w:type="dxa"/>
              <w:bottom w:w="0" w:type="dxa"/>
              <w:right w:w="108" w:type="dxa"/>
            </w:tcMar>
            <w:hideMark/>
          </w:tcPr>
          <w:p w14:paraId="0FF8C944"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DetailedClinicalModel</w:t>
            </w:r>
          </w:p>
        </w:tc>
      </w:tr>
      <w:tr w:rsidR="008E137B" w:rsidRPr="001727F2" w14:paraId="710CA784" w14:textId="77777777" w:rsidTr="008E137B">
        <w:trPr>
          <w:trHeight w:val="1"/>
        </w:trPr>
        <w:tc>
          <w:tcPr>
            <w:tcW w:w="2386" w:type="dxa"/>
            <w:tcBorders>
              <w:top w:val="nil"/>
              <w:left w:val="nil"/>
              <w:bottom w:val="single" w:sz="8" w:space="0" w:color="9CC2E5"/>
              <w:right w:val="single" w:sz="8" w:space="0" w:color="9CC2E5"/>
            </w:tcBorders>
            <w:tcMar>
              <w:top w:w="0" w:type="dxa"/>
              <w:left w:w="108" w:type="dxa"/>
              <w:bottom w:w="0" w:type="dxa"/>
              <w:right w:w="108" w:type="dxa"/>
            </w:tcMar>
            <w:hideMark/>
          </w:tcPr>
          <w:p w14:paraId="08F9B8BA"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ClinicalObservation</w:t>
            </w:r>
          </w:p>
        </w:tc>
        <w:tc>
          <w:tcPr>
            <w:tcW w:w="1989" w:type="dxa"/>
            <w:tcBorders>
              <w:top w:val="nil"/>
              <w:left w:val="nil"/>
              <w:bottom w:val="single" w:sz="8" w:space="0" w:color="9CC2E5"/>
              <w:right w:val="single" w:sz="8" w:space="0" w:color="9CC2E5"/>
            </w:tcBorders>
            <w:tcMar>
              <w:top w:w="0" w:type="dxa"/>
              <w:left w:w="108" w:type="dxa"/>
              <w:bottom w:w="0" w:type="dxa"/>
              <w:right w:w="108" w:type="dxa"/>
            </w:tcMar>
            <w:hideMark/>
          </w:tcPr>
          <w:p w14:paraId="6F3072B0"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Immunization</w:t>
            </w:r>
          </w:p>
        </w:tc>
        <w:tc>
          <w:tcPr>
            <w:tcW w:w="2583" w:type="dxa"/>
            <w:tcBorders>
              <w:top w:val="nil"/>
              <w:left w:val="nil"/>
              <w:bottom w:val="single" w:sz="8" w:space="0" w:color="9CC2E5"/>
              <w:right w:val="single" w:sz="8" w:space="0" w:color="9CC2E5"/>
            </w:tcBorders>
            <w:tcMar>
              <w:top w:w="0" w:type="dxa"/>
              <w:left w:w="108" w:type="dxa"/>
              <w:bottom w:w="0" w:type="dxa"/>
              <w:right w:w="108" w:type="dxa"/>
            </w:tcMar>
            <w:hideMark/>
          </w:tcPr>
          <w:p w14:paraId="30ACAFD7"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PublicHealthReporting</w:t>
            </w:r>
          </w:p>
        </w:tc>
        <w:tc>
          <w:tcPr>
            <w:tcW w:w="2284" w:type="dxa"/>
            <w:tcBorders>
              <w:top w:val="nil"/>
              <w:left w:val="nil"/>
              <w:bottom w:val="single" w:sz="8" w:space="0" w:color="9CC2E5"/>
              <w:right w:val="nil"/>
            </w:tcBorders>
            <w:tcMar>
              <w:top w:w="0" w:type="dxa"/>
              <w:left w:w="108" w:type="dxa"/>
              <w:bottom w:w="0" w:type="dxa"/>
              <w:right w:w="108" w:type="dxa"/>
            </w:tcMar>
            <w:hideMark/>
          </w:tcPr>
          <w:p w14:paraId="6BE2A624" w14:textId="77777777" w:rsidR="008E137B" w:rsidRPr="00891EC0" w:rsidRDefault="008E137B" w:rsidP="008E137B">
            <w:pPr>
              <w:spacing w:before="100" w:beforeAutospacing="1" w:after="100" w:afterAutospacing="1" w:line="240" w:lineRule="auto"/>
              <w:rPr>
                <w:rFonts w:eastAsia="Times New Roman" w:cs="Times New Roman"/>
              </w:rPr>
            </w:pPr>
            <w:r w:rsidRPr="00891EC0">
              <w:rPr>
                <w:rFonts w:eastAsia="Times New Roman" w:cs="Times New Roman"/>
              </w:rPr>
              <w:t> </w:t>
            </w:r>
          </w:p>
        </w:tc>
      </w:tr>
    </w:tbl>
    <w:p w14:paraId="0D835749" w14:textId="4D6CEF3C" w:rsidR="008E137B" w:rsidRPr="0080171C" w:rsidRDefault="008E137B" w:rsidP="008E137B">
      <w:pPr>
        <w:spacing w:before="100" w:beforeAutospacing="1" w:after="100" w:afterAutospacing="1" w:line="240" w:lineRule="auto"/>
        <w:rPr>
          <w:rFonts w:eastAsia="Times New Roman" w:cs="Times New Roman"/>
          <w:i/>
        </w:rPr>
      </w:pPr>
      <w:r w:rsidRPr="00891EC0">
        <w:rPr>
          <w:rFonts w:eastAsia="Times New Roman" w:cs="Times New Roman"/>
          <w:color w:val="44546A"/>
        </w:rPr>
        <w:t xml:space="preserve">    </w:t>
      </w:r>
      <w:r w:rsidRPr="0080171C">
        <w:rPr>
          <w:rFonts w:eastAsia="Times New Roman" w:cs="Times New Roman"/>
          <w:i/>
          <w:color w:val="44546A"/>
        </w:rPr>
        <w:t>Figure</w:t>
      </w:r>
      <w:r w:rsidR="00411F56" w:rsidRPr="0080171C">
        <w:rPr>
          <w:rFonts w:eastAsia="Times New Roman" w:cs="Times New Roman"/>
          <w:i/>
          <w:color w:val="44546A"/>
        </w:rPr>
        <w:t xml:space="preserve"> 01</w:t>
      </w:r>
      <w:r w:rsidRPr="0080171C">
        <w:rPr>
          <w:rFonts w:eastAsia="Times New Roman" w:cs="Times New Roman"/>
          <w:i/>
          <w:color w:val="44546A"/>
        </w:rPr>
        <w:t>. FHIM Domains as illustrated on FHIMS.org</w:t>
      </w:r>
    </w:p>
    <w:p w14:paraId="03FC1424" w14:textId="07177B26" w:rsidR="00436A49" w:rsidRDefault="00436A49" w:rsidP="008E137B">
      <w:pPr>
        <w:pStyle w:val="Heading1"/>
        <w:rPr>
          <w:rFonts w:eastAsia="Calibri Light"/>
        </w:rPr>
      </w:pPr>
      <w:bookmarkStart w:id="25" w:name="_Toc5370686"/>
      <w:bookmarkStart w:id="26" w:name="_Toc521321974"/>
      <w:r>
        <w:rPr>
          <w:rFonts w:eastAsia="Calibri Light"/>
        </w:rPr>
        <w:t>NIEM Health Community-of-Interest Strategy</w:t>
      </w:r>
      <w:bookmarkEnd w:id="25"/>
    </w:p>
    <w:p w14:paraId="4B1E7C02" w14:textId="52652814" w:rsidR="00436A49" w:rsidRDefault="00436A49" w:rsidP="00436A49">
      <w:r>
        <w:t xml:space="preserve">The </w:t>
      </w:r>
      <w:r w:rsidRPr="00436A49">
        <w:t>NIEM Health Community-of-Interest Strategy</w:t>
      </w:r>
      <w:r>
        <w:t xml:space="preserve"> is</w:t>
      </w:r>
      <w:r w:rsidR="00C11FCA">
        <w:t xml:space="preserve"> to</w:t>
      </w:r>
      <w:r>
        <w:t>:</w:t>
      </w:r>
    </w:p>
    <w:p w14:paraId="6F13BEA2" w14:textId="0DBF6ED2" w:rsidR="00436A49" w:rsidRDefault="006473D4" w:rsidP="00B77FDB">
      <w:pPr>
        <w:pStyle w:val="ListParagraph"/>
        <w:numPr>
          <w:ilvl w:val="0"/>
          <w:numId w:val="17"/>
        </w:numPr>
      </w:pPr>
      <w:r>
        <w:t>L</w:t>
      </w:r>
      <w:r w:rsidR="00AE73AF">
        <w:t xml:space="preserve">ead </w:t>
      </w:r>
      <w:r w:rsidR="00436A49" w:rsidRPr="00436A49">
        <w:t>NIEM</w:t>
      </w:r>
      <w:r w:rsidR="00C11FCA">
        <w:t xml:space="preserve"> Health Community</w:t>
      </w:r>
      <w:r w:rsidR="00436A49" w:rsidRPr="00436A49">
        <w:t xml:space="preserve"> </w:t>
      </w:r>
      <w:r w:rsidR="00AE73AF">
        <w:t xml:space="preserve">discussions to define use-cases, </w:t>
      </w:r>
      <w:r w:rsidR="00C11FCA">
        <w:t xml:space="preserve">and </w:t>
      </w:r>
      <w:r w:rsidR="00AE73AF">
        <w:t>functional and technical requirements</w:t>
      </w:r>
    </w:p>
    <w:p w14:paraId="41757E0F" w14:textId="3A436C11" w:rsidR="00436A49" w:rsidRDefault="006473D4" w:rsidP="00B77FDB">
      <w:pPr>
        <w:pStyle w:val="ListParagraph"/>
        <w:numPr>
          <w:ilvl w:val="0"/>
          <w:numId w:val="17"/>
        </w:numPr>
      </w:pPr>
      <w:r>
        <w:t>D</w:t>
      </w:r>
      <w:r w:rsidR="00436A49">
        <w:t>ev</w:t>
      </w:r>
      <w:r w:rsidR="00AE73AF">
        <w:t xml:space="preserve">elop high-level FHIM to NIEM </w:t>
      </w:r>
      <w:r>
        <w:t>c</w:t>
      </w:r>
      <w:r w:rsidR="00AE73AF">
        <w:t>ore mapping and g</w:t>
      </w:r>
      <w:r w:rsidR="00436A49" w:rsidRPr="00436A49">
        <w:t>uidance</w:t>
      </w:r>
      <w:r w:rsidR="00AE73AF">
        <w:t xml:space="preserve"> documents,</w:t>
      </w:r>
      <w:r w:rsidR="00C11FCA">
        <w:t xml:space="preserve"> including</w:t>
      </w:r>
      <w:r>
        <w:t>:</w:t>
      </w:r>
    </w:p>
    <w:p w14:paraId="7685E3C3" w14:textId="47958E3C" w:rsidR="00AE73AF" w:rsidRPr="00AE73AF" w:rsidRDefault="006473D4" w:rsidP="00B77FDB">
      <w:pPr>
        <w:pStyle w:val="ListParagraph"/>
        <w:numPr>
          <w:ilvl w:val="1"/>
          <w:numId w:val="17"/>
        </w:numPr>
      </w:pPr>
      <w:r>
        <w:t>I</w:t>
      </w:r>
      <w:r w:rsidR="00AE73AF" w:rsidRPr="00AE73AF">
        <w:t>dentify</w:t>
      </w:r>
      <w:r w:rsidR="00C11FCA">
        <w:t>ing</w:t>
      </w:r>
      <w:r w:rsidR="00AE73AF" w:rsidRPr="00AE73AF">
        <w:t xml:space="preserve"> most commonly needed health elements</w:t>
      </w:r>
    </w:p>
    <w:p w14:paraId="50812D52" w14:textId="4F7E6744" w:rsidR="00AE73AF" w:rsidRPr="00AE73AF" w:rsidRDefault="006473D4" w:rsidP="00B77FDB">
      <w:pPr>
        <w:pStyle w:val="ListParagraph"/>
        <w:numPr>
          <w:ilvl w:val="1"/>
          <w:numId w:val="17"/>
        </w:numPr>
      </w:pPr>
      <w:r>
        <w:t>L</w:t>
      </w:r>
      <w:r w:rsidR="00C11FCA">
        <w:t>everaging</w:t>
      </w:r>
      <w:r w:rsidR="00AE73AF" w:rsidRPr="00AE73AF">
        <w:t xml:space="preserve"> FHIM to access authoritative element value sets and code sets</w:t>
      </w:r>
    </w:p>
    <w:p w14:paraId="2BE68EDA" w14:textId="7545D025" w:rsidR="00AE73AF" w:rsidRPr="00AE73AF" w:rsidRDefault="006473D4" w:rsidP="00AE73AF">
      <w:pPr>
        <w:pStyle w:val="ListParagraph"/>
        <w:numPr>
          <w:ilvl w:val="0"/>
          <w:numId w:val="17"/>
        </w:numPr>
      </w:pPr>
      <w:r>
        <w:t>D</w:t>
      </w:r>
      <w:r w:rsidR="00AE73AF">
        <w:t>evelop</w:t>
      </w:r>
      <w:r w:rsidR="00AE73AF" w:rsidRPr="00AE73AF">
        <w:t xml:space="preserve"> detailed guidance</w:t>
      </w:r>
      <w:r w:rsidR="00AE73AF">
        <w:t xml:space="preserve"> documents</w:t>
      </w:r>
      <w:r w:rsidR="00AE73AF" w:rsidRPr="00AE73AF">
        <w:t xml:space="preserve"> with examples on how to traverse from the NIEM </w:t>
      </w:r>
      <w:r>
        <w:t>c</w:t>
      </w:r>
      <w:r w:rsidR="00AE73AF" w:rsidRPr="00AE73AF">
        <w:t>ore to required FHIM elements</w:t>
      </w:r>
      <w:r>
        <w:t>,</w:t>
      </w:r>
      <w:r w:rsidR="00AE73AF" w:rsidRPr="00AE73AF">
        <w:t xml:space="preserve"> and how elements can be associated at least conceptually if not through notation</w:t>
      </w:r>
    </w:p>
    <w:p w14:paraId="2ADC0A2B" w14:textId="1251CA14" w:rsidR="00436A49" w:rsidRDefault="006473D4" w:rsidP="00B77FDB">
      <w:pPr>
        <w:pStyle w:val="ListParagraph"/>
        <w:numPr>
          <w:ilvl w:val="0"/>
          <w:numId w:val="17"/>
        </w:numPr>
      </w:pPr>
      <w:r>
        <w:t>R</w:t>
      </w:r>
      <w:r w:rsidR="00AE73AF">
        <w:t>eview, revise, and s</w:t>
      </w:r>
      <w:r w:rsidR="00436A49" w:rsidRPr="00436A49">
        <w:t xml:space="preserve">ocialize </w:t>
      </w:r>
      <w:r w:rsidR="00AE73AF">
        <w:t xml:space="preserve">NIEM </w:t>
      </w:r>
      <w:r w:rsidR="00436A49" w:rsidRPr="00436A49">
        <w:t>Health guidance documents</w:t>
      </w:r>
      <w:r w:rsidR="00C11FCA">
        <w:t xml:space="preserve"> with the </w:t>
      </w:r>
      <w:r w:rsidR="00C11FCA" w:rsidRPr="00436A49">
        <w:t xml:space="preserve">NIEM Health </w:t>
      </w:r>
      <w:r>
        <w:t>c</w:t>
      </w:r>
      <w:r w:rsidR="00C11FCA" w:rsidRPr="00436A49">
        <w:t>ommunity</w:t>
      </w:r>
      <w:r>
        <w:t xml:space="preserve"> </w:t>
      </w:r>
      <w:r w:rsidR="00C11FCA" w:rsidRPr="00436A49">
        <w:t>of</w:t>
      </w:r>
      <w:r>
        <w:t xml:space="preserve"> i</w:t>
      </w:r>
      <w:r w:rsidR="00C11FCA" w:rsidRPr="00436A49">
        <w:t>nterest</w:t>
      </w:r>
    </w:p>
    <w:p w14:paraId="128B1381" w14:textId="66C21E41" w:rsidR="00FB49BB" w:rsidRPr="00044FD6" w:rsidRDefault="00FB49BB" w:rsidP="00B77FDB">
      <w:pPr>
        <w:pStyle w:val="ListParagraph"/>
        <w:numPr>
          <w:ilvl w:val="0"/>
          <w:numId w:val="17"/>
        </w:numPr>
      </w:pPr>
      <w:r w:rsidRPr="00044FD6">
        <w:t>Catalog and prioritize identiﬁed use cases for exchanging health related data outside the healthcare system</w:t>
      </w:r>
    </w:p>
    <w:p w14:paraId="1EBE5E72" w14:textId="400F9E45" w:rsidR="00FB49BB" w:rsidRPr="00044FD6" w:rsidRDefault="00FB49BB" w:rsidP="00B77FDB">
      <w:pPr>
        <w:pStyle w:val="ListParagraph"/>
        <w:numPr>
          <w:ilvl w:val="0"/>
          <w:numId w:val="17"/>
        </w:numPr>
      </w:pPr>
      <w:r w:rsidRPr="00044FD6">
        <w:lastRenderedPageBreak/>
        <w:t>Determine health IT standards/frameworks most relevant to high priority exchanges and seek alignment with the NIEM exchange development process</w:t>
      </w:r>
    </w:p>
    <w:p w14:paraId="6FA7F67D" w14:textId="3237A42B" w:rsidR="00FB49BB" w:rsidRPr="00044FD6" w:rsidRDefault="00FB49BB" w:rsidP="00B77FDB">
      <w:pPr>
        <w:pStyle w:val="ListParagraph"/>
        <w:numPr>
          <w:ilvl w:val="0"/>
          <w:numId w:val="17"/>
        </w:numPr>
      </w:pPr>
      <w:r w:rsidRPr="00044FD6">
        <w:t>Inventory existing NIEM health data elements</w:t>
      </w:r>
    </w:p>
    <w:p w14:paraId="4EE73BCD" w14:textId="2BAA87AE" w:rsidR="00FB49BB" w:rsidRPr="00044FD6" w:rsidRDefault="00FB49BB" w:rsidP="00B77FDB">
      <w:pPr>
        <w:pStyle w:val="ListParagraph"/>
        <w:numPr>
          <w:ilvl w:val="0"/>
          <w:numId w:val="17"/>
        </w:numPr>
      </w:pPr>
      <w:r w:rsidRPr="00044FD6">
        <w:t xml:space="preserve">Model and map required health IT standard data elements to existing or new NIEM </w:t>
      </w:r>
      <w:r w:rsidR="006473D4">
        <w:t>H</w:t>
      </w:r>
      <w:r w:rsidRPr="00044FD6">
        <w:t>ealth elements</w:t>
      </w:r>
    </w:p>
    <w:p w14:paraId="48EA0BEE" w14:textId="4823E205" w:rsidR="00FB49BB" w:rsidRPr="00044FD6" w:rsidRDefault="00FB49BB" w:rsidP="00B77FDB">
      <w:pPr>
        <w:pStyle w:val="ListParagraph"/>
        <w:numPr>
          <w:ilvl w:val="0"/>
          <w:numId w:val="17"/>
        </w:numPr>
      </w:pPr>
      <w:r w:rsidRPr="00044FD6">
        <w:t>Support a community of interest around the sharing of health data with non-traditional partners</w:t>
      </w:r>
    </w:p>
    <w:p w14:paraId="5A0937F0" w14:textId="463BECE6" w:rsidR="006264A0" w:rsidRDefault="00591101" w:rsidP="008E137B">
      <w:pPr>
        <w:pStyle w:val="Heading1"/>
        <w:rPr>
          <w:rFonts w:eastAsia="Calibri Light"/>
        </w:rPr>
      </w:pPr>
      <w:bookmarkStart w:id="27" w:name="_Toc5370687"/>
      <w:r>
        <w:rPr>
          <w:rFonts w:eastAsia="Calibri Light"/>
        </w:rPr>
        <w:t>Conclusion</w:t>
      </w:r>
      <w:bookmarkEnd w:id="26"/>
      <w:bookmarkEnd w:id="27"/>
    </w:p>
    <w:p w14:paraId="05571C9A" w14:textId="650D5DBB" w:rsidR="006473D4" w:rsidRDefault="00084CE6">
      <w:pPr>
        <w:rPr>
          <w:rFonts w:ascii="Calibri" w:eastAsia="Calibri" w:hAnsi="Calibri" w:cs="Calibri"/>
        </w:rPr>
      </w:pPr>
      <w:r>
        <w:rPr>
          <w:rFonts w:ascii="Calibri" w:eastAsia="Calibri" w:hAnsi="Calibri" w:cs="Calibri"/>
        </w:rPr>
        <w:t>Functional i</w:t>
      </w:r>
      <w:r w:rsidR="00591101">
        <w:rPr>
          <w:rFonts w:ascii="Calibri" w:eastAsia="Calibri" w:hAnsi="Calibri" w:cs="Calibri"/>
        </w:rPr>
        <w:t>nteroperability</w:t>
      </w:r>
      <w:r>
        <w:rPr>
          <w:rFonts w:ascii="Calibri" w:eastAsia="Calibri" w:hAnsi="Calibri" w:cs="Calibri"/>
        </w:rPr>
        <w:t>,</w:t>
      </w:r>
      <w:r w:rsidR="00591101">
        <w:rPr>
          <w:rFonts w:ascii="Calibri" w:eastAsia="Calibri" w:hAnsi="Calibri" w:cs="Calibri"/>
        </w:rPr>
        <w:t xml:space="preserve"> </w:t>
      </w:r>
      <w:r w:rsidR="00816CCE">
        <w:rPr>
          <w:rFonts w:ascii="Calibri" w:eastAsia="Calibri" w:hAnsi="Calibri" w:cs="Calibri"/>
        </w:rPr>
        <w:t xml:space="preserve">both </w:t>
      </w:r>
      <w:r w:rsidR="00591101">
        <w:rPr>
          <w:rFonts w:ascii="Calibri" w:eastAsia="Calibri" w:hAnsi="Calibri" w:cs="Calibri"/>
        </w:rPr>
        <w:t xml:space="preserve">within </w:t>
      </w:r>
      <w:r>
        <w:rPr>
          <w:rFonts w:ascii="Calibri" w:eastAsia="Calibri" w:hAnsi="Calibri" w:cs="Calibri"/>
        </w:rPr>
        <w:t xml:space="preserve">and outside </w:t>
      </w:r>
      <w:r w:rsidR="00C11FCA">
        <w:rPr>
          <w:rFonts w:ascii="Calibri" w:eastAsia="Calibri" w:hAnsi="Calibri" w:cs="Calibri"/>
        </w:rPr>
        <w:t>of HIEs</w:t>
      </w:r>
      <w:r>
        <w:rPr>
          <w:rFonts w:ascii="Calibri" w:eastAsia="Calibri" w:hAnsi="Calibri" w:cs="Calibri"/>
        </w:rPr>
        <w:t xml:space="preserve">, is the key to </w:t>
      </w:r>
      <w:r w:rsidR="008D1DC5">
        <w:rPr>
          <w:rFonts w:ascii="Calibri" w:eastAsia="Calibri" w:hAnsi="Calibri" w:cs="Calibri"/>
        </w:rPr>
        <w:t>accurate, useful</w:t>
      </w:r>
      <w:r w:rsidR="00591101">
        <w:rPr>
          <w:rFonts w:ascii="Calibri" w:eastAsia="Calibri" w:hAnsi="Calibri" w:cs="Calibri"/>
        </w:rPr>
        <w:t>, and secure</w:t>
      </w:r>
      <w:r>
        <w:rPr>
          <w:rFonts w:ascii="Calibri" w:eastAsia="Calibri" w:hAnsi="Calibri" w:cs="Calibri"/>
        </w:rPr>
        <w:t xml:space="preserve"> </w:t>
      </w:r>
      <w:r w:rsidR="006E6B07">
        <w:rPr>
          <w:rFonts w:ascii="Calibri" w:eastAsia="Calibri" w:hAnsi="Calibri" w:cs="Calibri"/>
        </w:rPr>
        <w:t>information exchange</w:t>
      </w:r>
      <w:r w:rsidR="00FB3290">
        <w:rPr>
          <w:rFonts w:ascii="Calibri" w:eastAsia="Calibri" w:hAnsi="Calibri" w:cs="Calibri"/>
        </w:rPr>
        <w:t xml:space="preserve"> network</w:t>
      </w:r>
      <w:r w:rsidR="00816CCE">
        <w:rPr>
          <w:rFonts w:ascii="Calibri" w:eastAsia="Calibri" w:hAnsi="Calibri" w:cs="Calibri"/>
        </w:rPr>
        <w:t>s</w:t>
      </w:r>
      <w:r w:rsidR="00591101">
        <w:rPr>
          <w:rFonts w:ascii="Calibri" w:eastAsia="Calibri" w:hAnsi="Calibri" w:cs="Calibri"/>
        </w:rPr>
        <w:t xml:space="preserve">. </w:t>
      </w:r>
      <w:r w:rsidR="00591101" w:rsidRPr="004E78B4">
        <w:rPr>
          <w:rFonts w:ascii="Calibri" w:eastAsia="Calibri" w:hAnsi="Calibri" w:cs="Calibri"/>
        </w:rPr>
        <w:t xml:space="preserve">Currently, </w:t>
      </w:r>
      <w:r w:rsidRPr="004E78B4">
        <w:rPr>
          <w:rFonts w:ascii="Calibri" w:eastAsia="Calibri" w:hAnsi="Calibri" w:cs="Calibri"/>
        </w:rPr>
        <w:t xml:space="preserve">disparate </w:t>
      </w:r>
      <w:r w:rsidR="00591101" w:rsidRPr="004E78B4">
        <w:rPr>
          <w:rFonts w:ascii="Calibri" w:eastAsia="Calibri" w:hAnsi="Calibri" w:cs="Calibri"/>
        </w:rPr>
        <w:t>interoperability standards vary between</w:t>
      </w:r>
      <w:r w:rsidRPr="004E78B4">
        <w:rPr>
          <w:rFonts w:ascii="Calibri" w:eastAsia="Calibri" w:hAnsi="Calibri" w:cs="Calibri"/>
        </w:rPr>
        <w:t xml:space="preserve"> </w:t>
      </w:r>
      <w:r w:rsidR="006473D4">
        <w:rPr>
          <w:rFonts w:ascii="Calibri" w:eastAsia="Calibri" w:hAnsi="Calibri" w:cs="Calibri"/>
        </w:rPr>
        <w:t xml:space="preserve">health </w:t>
      </w:r>
      <w:r w:rsidRPr="004E78B4">
        <w:rPr>
          <w:rFonts w:ascii="Calibri" w:eastAsia="Calibri" w:hAnsi="Calibri" w:cs="Calibri"/>
        </w:rPr>
        <w:t>IT</w:t>
      </w:r>
      <w:r w:rsidR="00591101" w:rsidRPr="004E78B4">
        <w:rPr>
          <w:rFonts w:ascii="Calibri" w:eastAsia="Calibri" w:hAnsi="Calibri" w:cs="Calibri"/>
        </w:rPr>
        <w:t xml:space="preserve"> </w:t>
      </w:r>
      <w:r w:rsidR="00816CCE" w:rsidRPr="004E78B4">
        <w:rPr>
          <w:rFonts w:ascii="Calibri" w:eastAsia="Calibri" w:hAnsi="Calibri" w:cs="Calibri"/>
        </w:rPr>
        <w:t xml:space="preserve">organizations and </w:t>
      </w:r>
      <w:r w:rsidR="002326CA" w:rsidRPr="004E78B4">
        <w:rPr>
          <w:rFonts w:ascii="Calibri" w:eastAsia="Calibri" w:hAnsi="Calibri" w:cs="Calibri"/>
        </w:rPr>
        <w:t xml:space="preserve">their </w:t>
      </w:r>
      <w:r w:rsidR="00591101" w:rsidRPr="004E78B4">
        <w:rPr>
          <w:rFonts w:ascii="Calibri" w:eastAsia="Calibri" w:hAnsi="Calibri" w:cs="Calibri"/>
        </w:rPr>
        <w:t>stakeholders</w:t>
      </w:r>
      <w:r w:rsidR="00816CCE" w:rsidRPr="004E78B4">
        <w:rPr>
          <w:rFonts w:ascii="Calibri" w:eastAsia="Calibri" w:hAnsi="Calibri" w:cs="Calibri"/>
        </w:rPr>
        <w:t>,</w:t>
      </w:r>
      <w:r w:rsidR="004E78B4" w:rsidRPr="004E78B4">
        <w:rPr>
          <w:rFonts w:ascii="Calibri" w:eastAsia="Calibri" w:hAnsi="Calibri" w:cs="Calibri"/>
        </w:rPr>
        <w:t xml:space="preserve"> and</w:t>
      </w:r>
      <w:r w:rsidR="00816CCE" w:rsidRPr="004E78B4">
        <w:rPr>
          <w:rFonts w:ascii="Calibri" w:eastAsia="Calibri" w:hAnsi="Calibri" w:cs="Calibri"/>
        </w:rPr>
        <w:t xml:space="preserve"> </w:t>
      </w:r>
      <w:r w:rsidR="00591101" w:rsidRPr="004E78B4">
        <w:rPr>
          <w:rFonts w:ascii="Calibri" w:eastAsia="Calibri" w:hAnsi="Calibri" w:cs="Calibri"/>
        </w:rPr>
        <w:t xml:space="preserve">the lack of </w:t>
      </w:r>
      <w:r w:rsidR="00816CCE" w:rsidRPr="004E78B4">
        <w:rPr>
          <w:rFonts w:ascii="Calibri" w:eastAsia="Calibri" w:hAnsi="Calibri" w:cs="Calibri"/>
        </w:rPr>
        <w:t xml:space="preserve">consistent standards </w:t>
      </w:r>
      <w:r w:rsidRPr="004E78B4">
        <w:rPr>
          <w:rFonts w:ascii="Calibri" w:eastAsia="Calibri" w:hAnsi="Calibri" w:cs="Calibri"/>
        </w:rPr>
        <w:t>adoption</w:t>
      </w:r>
      <w:r w:rsidR="00816CCE" w:rsidRPr="004E78B4">
        <w:rPr>
          <w:rFonts w:ascii="Calibri" w:eastAsia="Calibri" w:hAnsi="Calibri" w:cs="Calibri"/>
        </w:rPr>
        <w:t xml:space="preserve"> impedes</w:t>
      </w:r>
      <w:r w:rsidR="00591101" w:rsidRPr="004E78B4">
        <w:rPr>
          <w:rFonts w:ascii="Calibri" w:eastAsia="Calibri" w:hAnsi="Calibri" w:cs="Calibri"/>
        </w:rPr>
        <w:t xml:space="preserve"> </w:t>
      </w:r>
      <w:r w:rsidRPr="004E78B4">
        <w:rPr>
          <w:rFonts w:ascii="Calibri" w:eastAsia="Calibri" w:hAnsi="Calibri" w:cs="Calibri"/>
        </w:rPr>
        <w:t>HIE</w:t>
      </w:r>
      <w:r w:rsidR="00591101" w:rsidRPr="004E78B4">
        <w:rPr>
          <w:rFonts w:ascii="Calibri" w:eastAsia="Calibri" w:hAnsi="Calibri" w:cs="Calibri"/>
        </w:rPr>
        <w:t xml:space="preserve"> interoperability on </w:t>
      </w:r>
      <w:r w:rsidR="006E6B07" w:rsidRPr="004E78B4">
        <w:rPr>
          <w:rFonts w:ascii="Calibri" w:eastAsia="Calibri" w:hAnsi="Calibri" w:cs="Calibri"/>
        </w:rPr>
        <w:t>both</w:t>
      </w:r>
      <w:r w:rsidR="00591101" w:rsidRPr="004E78B4">
        <w:rPr>
          <w:rFonts w:ascii="Calibri" w:eastAsia="Calibri" w:hAnsi="Calibri" w:cs="Calibri"/>
        </w:rPr>
        <w:t xml:space="preserve"> </w:t>
      </w:r>
      <w:r w:rsidR="006E6B07" w:rsidRPr="004E78B4">
        <w:rPr>
          <w:rFonts w:ascii="Calibri" w:eastAsia="Calibri" w:hAnsi="Calibri" w:cs="Calibri"/>
        </w:rPr>
        <w:t xml:space="preserve">a </w:t>
      </w:r>
      <w:r w:rsidR="00591101" w:rsidRPr="004E78B4">
        <w:rPr>
          <w:rFonts w:ascii="Calibri" w:eastAsia="Calibri" w:hAnsi="Calibri" w:cs="Calibri"/>
        </w:rPr>
        <w:t>national</w:t>
      </w:r>
      <w:r w:rsidR="00FB3290" w:rsidRPr="004E78B4">
        <w:rPr>
          <w:rFonts w:ascii="Calibri" w:eastAsia="Calibri" w:hAnsi="Calibri" w:cs="Calibri"/>
        </w:rPr>
        <w:t xml:space="preserve"> </w:t>
      </w:r>
      <w:r w:rsidR="006E6B07" w:rsidRPr="004E78B4">
        <w:rPr>
          <w:rFonts w:ascii="Calibri" w:eastAsia="Calibri" w:hAnsi="Calibri" w:cs="Calibri"/>
        </w:rPr>
        <w:t xml:space="preserve">and regional </w:t>
      </w:r>
      <w:r w:rsidR="00591101" w:rsidRPr="004E78B4">
        <w:rPr>
          <w:rFonts w:ascii="Calibri" w:eastAsia="Calibri" w:hAnsi="Calibri" w:cs="Calibri"/>
        </w:rPr>
        <w:t>scale.</w:t>
      </w:r>
      <w:r w:rsidR="00591101">
        <w:rPr>
          <w:rFonts w:ascii="Calibri" w:eastAsia="Calibri" w:hAnsi="Calibri" w:cs="Calibri"/>
        </w:rPr>
        <w:t xml:space="preserve"> </w:t>
      </w:r>
    </w:p>
    <w:p w14:paraId="7D584028" w14:textId="62739C66" w:rsidR="006473D4" w:rsidRDefault="006E6B07">
      <w:pPr>
        <w:rPr>
          <w:rFonts w:ascii="Calibri" w:eastAsia="Calibri" w:hAnsi="Calibri" w:cs="Calibri"/>
        </w:rPr>
      </w:pPr>
      <w:r w:rsidRPr="006E6B07">
        <w:rPr>
          <w:rFonts w:ascii="Calibri" w:eastAsia="Calibri" w:hAnsi="Calibri" w:cs="Calibri"/>
        </w:rPr>
        <w:t>FHIM can provide a means to harmonize competing standards a</w:t>
      </w:r>
      <w:r w:rsidR="00B74868">
        <w:rPr>
          <w:rFonts w:ascii="Calibri" w:eastAsia="Calibri" w:hAnsi="Calibri" w:cs="Calibri"/>
        </w:rPr>
        <w:t xml:space="preserve">nd </w:t>
      </w:r>
      <w:r w:rsidRPr="006E6B07">
        <w:rPr>
          <w:rFonts w:ascii="Calibri" w:eastAsia="Calibri" w:hAnsi="Calibri" w:cs="Calibri"/>
        </w:rPr>
        <w:t>produce artifacts that will improve the quality of implementations through model-to-model transformations.</w:t>
      </w:r>
      <w:r>
        <w:rPr>
          <w:rFonts w:ascii="Calibri" w:eastAsia="Calibri" w:hAnsi="Calibri" w:cs="Calibri"/>
        </w:rPr>
        <w:t xml:space="preserve"> </w:t>
      </w:r>
      <w:r w:rsidRPr="006E6B07">
        <w:rPr>
          <w:rFonts w:ascii="Calibri" w:eastAsia="Calibri" w:hAnsi="Calibri" w:cs="Calibri"/>
        </w:rPr>
        <w:t xml:space="preserve">Information exchanges have numerous requirements related to standards and terminology. Their diverse data sets and cross-domain relevance require the FHIM logical model to describe the contents of the information exchanges (e.g., HL7, NIEM). </w:t>
      </w:r>
      <w:r w:rsidR="00B74868">
        <w:rPr>
          <w:rFonts w:ascii="Calibri" w:eastAsia="Calibri" w:hAnsi="Calibri" w:cs="Calibri"/>
        </w:rPr>
        <w:t>W</w:t>
      </w:r>
      <w:r w:rsidRPr="006E6B07">
        <w:rPr>
          <w:rFonts w:ascii="Calibri" w:eastAsia="Calibri" w:hAnsi="Calibri" w:cs="Calibri"/>
        </w:rPr>
        <w:t xml:space="preserve">ith </w:t>
      </w:r>
      <w:r w:rsidR="00293C9B">
        <w:rPr>
          <w:rFonts w:ascii="Calibri" w:eastAsia="Calibri" w:hAnsi="Calibri" w:cs="Calibri"/>
        </w:rPr>
        <w:t xml:space="preserve">model driven health </w:t>
      </w:r>
      <w:r w:rsidRPr="006E6B07">
        <w:rPr>
          <w:rFonts w:ascii="Calibri" w:eastAsia="Calibri" w:hAnsi="Calibri" w:cs="Calibri"/>
        </w:rPr>
        <w:t>tools</w:t>
      </w:r>
      <w:r w:rsidR="006473D4">
        <w:rPr>
          <w:rFonts w:ascii="Calibri" w:eastAsia="Calibri" w:hAnsi="Calibri" w:cs="Calibri"/>
        </w:rPr>
        <w:t>,</w:t>
      </w:r>
      <w:r w:rsidRPr="006E6B07">
        <w:rPr>
          <w:rFonts w:ascii="Calibri" w:eastAsia="Calibri" w:hAnsi="Calibri" w:cs="Calibri"/>
        </w:rPr>
        <w:t xml:space="preserve"> </w:t>
      </w:r>
      <w:r w:rsidR="00B74868">
        <w:rPr>
          <w:rFonts w:ascii="Calibri" w:eastAsia="Calibri" w:hAnsi="Calibri" w:cs="Calibri"/>
        </w:rPr>
        <w:t xml:space="preserve">the FHIM </w:t>
      </w:r>
      <w:r w:rsidRPr="006E6B07">
        <w:rPr>
          <w:rFonts w:ascii="Calibri" w:eastAsia="Calibri" w:hAnsi="Calibri" w:cs="Calibri"/>
        </w:rPr>
        <w:t>can bridge the existing semantic gap between domains (e.g.</w:t>
      </w:r>
      <w:r w:rsidR="006473D4">
        <w:rPr>
          <w:rFonts w:ascii="Calibri" w:eastAsia="Calibri" w:hAnsi="Calibri" w:cs="Calibri"/>
        </w:rPr>
        <w:t>,</w:t>
      </w:r>
      <w:r w:rsidRPr="006E6B07">
        <w:rPr>
          <w:rFonts w:ascii="Calibri" w:eastAsia="Calibri" w:hAnsi="Calibri" w:cs="Calibri"/>
        </w:rPr>
        <w:t xml:space="preserve"> HL7, NIEM) to consistently exchange health information, regardless of context, by defining explicit information exchange requirements in a platform independent fashion.</w:t>
      </w:r>
      <w:r>
        <w:rPr>
          <w:rFonts w:ascii="Calibri" w:eastAsia="Calibri" w:hAnsi="Calibri" w:cs="Calibri"/>
        </w:rPr>
        <w:t xml:space="preserve"> </w:t>
      </w:r>
    </w:p>
    <w:p w14:paraId="2EB3D7DE" w14:textId="07525A20" w:rsidR="006264A0" w:rsidRDefault="00B74868">
      <w:pPr>
        <w:rPr>
          <w:rFonts w:ascii="Calibri" w:eastAsia="Calibri" w:hAnsi="Calibri" w:cs="Calibri"/>
        </w:rPr>
      </w:pPr>
      <w:r>
        <w:rPr>
          <w:rFonts w:ascii="Calibri" w:eastAsia="Calibri" w:hAnsi="Calibri" w:cs="Calibri"/>
        </w:rPr>
        <w:t xml:space="preserve">Thus, </w:t>
      </w:r>
      <w:r w:rsidR="00591101">
        <w:rPr>
          <w:rFonts w:ascii="Calibri" w:eastAsia="Calibri" w:hAnsi="Calibri" w:cs="Calibri"/>
        </w:rPr>
        <w:t xml:space="preserve">FHIM and NIEM can </w:t>
      </w:r>
      <w:r w:rsidR="00020890">
        <w:rPr>
          <w:rFonts w:ascii="Calibri" w:eastAsia="Calibri" w:hAnsi="Calibri" w:cs="Calibri"/>
        </w:rPr>
        <w:t xml:space="preserve">be leveraged </w:t>
      </w:r>
      <w:r w:rsidR="00591101">
        <w:rPr>
          <w:rFonts w:ascii="Calibri" w:eastAsia="Calibri" w:hAnsi="Calibri" w:cs="Calibri"/>
        </w:rPr>
        <w:t xml:space="preserve">together to increase accuracy and </w:t>
      </w:r>
      <w:r w:rsidR="00B20D9D">
        <w:rPr>
          <w:rFonts w:ascii="Calibri" w:eastAsia="Calibri" w:hAnsi="Calibri" w:cs="Calibri"/>
        </w:rPr>
        <w:t xml:space="preserve">to </w:t>
      </w:r>
      <w:r w:rsidR="00591101">
        <w:rPr>
          <w:rFonts w:ascii="Calibri" w:eastAsia="Calibri" w:hAnsi="Calibri" w:cs="Calibri"/>
        </w:rPr>
        <w:t xml:space="preserve">ease </w:t>
      </w:r>
      <w:r w:rsidR="00816CCE">
        <w:rPr>
          <w:rFonts w:ascii="Calibri" w:eastAsia="Calibri" w:hAnsi="Calibri" w:cs="Calibri"/>
        </w:rPr>
        <w:t xml:space="preserve">the development of </w:t>
      </w:r>
      <w:r w:rsidR="00020890">
        <w:rPr>
          <w:rFonts w:ascii="Calibri" w:eastAsia="Calibri" w:hAnsi="Calibri" w:cs="Calibri"/>
        </w:rPr>
        <w:t xml:space="preserve">functional </w:t>
      </w:r>
      <w:r w:rsidR="00591101">
        <w:rPr>
          <w:rFonts w:ascii="Calibri" w:eastAsia="Calibri" w:hAnsi="Calibri" w:cs="Calibri"/>
        </w:rPr>
        <w:t>interoperability between federal, local, state, and tribal health</w:t>
      </w:r>
      <w:r w:rsidR="00B20D9D">
        <w:rPr>
          <w:rFonts w:ascii="Calibri" w:eastAsia="Calibri" w:hAnsi="Calibri" w:cs="Calibri"/>
        </w:rPr>
        <w:t xml:space="preserve"> entities</w:t>
      </w:r>
      <w:r>
        <w:rPr>
          <w:rFonts w:ascii="Calibri" w:eastAsia="Calibri" w:hAnsi="Calibri" w:cs="Calibri"/>
        </w:rPr>
        <w:t xml:space="preserve"> </w:t>
      </w:r>
      <w:r w:rsidR="00B20D9D">
        <w:rPr>
          <w:rFonts w:ascii="Calibri" w:eastAsia="Calibri" w:hAnsi="Calibri" w:cs="Calibri"/>
        </w:rPr>
        <w:t xml:space="preserve">by </w:t>
      </w:r>
      <w:r w:rsidR="002326CA">
        <w:rPr>
          <w:rFonts w:ascii="Calibri" w:eastAsia="Calibri" w:hAnsi="Calibri" w:cs="Calibri"/>
        </w:rPr>
        <w:t xml:space="preserve">adopting </w:t>
      </w:r>
      <w:r w:rsidR="00020890">
        <w:rPr>
          <w:rFonts w:ascii="Calibri" w:eastAsia="Calibri" w:hAnsi="Calibri" w:cs="Calibri"/>
        </w:rPr>
        <w:t xml:space="preserve">and </w:t>
      </w:r>
      <w:r w:rsidR="002326CA">
        <w:rPr>
          <w:rFonts w:ascii="Calibri" w:eastAsia="Calibri" w:hAnsi="Calibri" w:cs="Calibri"/>
        </w:rPr>
        <w:t>integrating</w:t>
      </w:r>
      <w:r w:rsidR="00591101">
        <w:rPr>
          <w:rFonts w:ascii="Calibri" w:eastAsia="Calibri" w:hAnsi="Calibri" w:cs="Calibri"/>
        </w:rPr>
        <w:t xml:space="preserve"> the </w:t>
      </w:r>
      <w:r w:rsidR="002326CA">
        <w:rPr>
          <w:rFonts w:ascii="Calibri" w:eastAsia="Calibri" w:hAnsi="Calibri" w:cs="Calibri"/>
        </w:rPr>
        <w:t xml:space="preserve">standardized </w:t>
      </w:r>
      <w:r w:rsidR="00591101">
        <w:rPr>
          <w:rFonts w:ascii="Calibri" w:eastAsia="Calibri" w:hAnsi="Calibri" w:cs="Calibri"/>
        </w:rPr>
        <w:t xml:space="preserve">use and exchange of health data amongst various </w:t>
      </w:r>
      <w:r w:rsidR="00816CCE">
        <w:rPr>
          <w:rFonts w:ascii="Calibri" w:eastAsia="Calibri" w:hAnsi="Calibri" w:cs="Calibri"/>
        </w:rPr>
        <w:t>public health entities</w:t>
      </w:r>
      <w:r w:rsidR="00591101">
        <w:rPr>
          <w:rFonts w:ascii="Calibri" w:eastAsia="Calibri" w:hAnsi="Calibri" w:cs="Calibri"/>
        </w:rPr>
        <w:t>.</w:t>
      </w:r>
    </w:p>
    <w:sectPr w:rsidR="006264A0" w:rsidSect="0075379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C80D6" w14:textId="77777777" w:rsidR="00202E03" w:rsidRDefault="00202E03" w:rsidP="00724C0F">
      <w:pPr>
        <w:spacing w:after="0" w:line="240" w:lineRule="auto"/>
      </w:pPr>
      <w:r>
        <w:separator/>
      </w:r>
    </w:p>
  </w:endnote>
  <w:endnote w:type="continuationSeparator" w:id="0">
    <w:p w14:paraId="118F78E8" w14:textId="77777777" w:rsidR="00202E03" w:rsidRDefault="00202E03" w:rsidP="0072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069A9" w14:textId="77777777" w:rsidR="00202E03" w:rsidRDefault="00202E03" w:rsidP="00724C0F">
      <w:pPr>
        <w:spacing w:after="0" w:line="240" w:lineRule="auto"/>
      </w:pPr>
      <w:r>
        <w:separator/>
      </w:r>
    </w:p>
  </w:footnote>
  <w:footnote w:type="continuationSeparator" w:id="0">
    <w:p w14:paraId="6342945A" w14:textId="77777777" w:rsidR="00202E03" w:rsidRDefault="00202E03" w:rsidP="00724C0F">
      <w:pPr>
        <w:spacing w:after="0" w:line="240" w:lineRule="auto"/>
      </w:pPr>
      <w:r>
        <w:continuationSeparator/>
      </w:r>
    </w:p>
  </w:footnote>
  <w:footnote w:id="1">
    <w:p w14:paraId="2347797E" w14:textId="0B4C3497" w:rsidR="00B769F0" w:rsidRPr="00C42277" w:rsidRDefault="00B769F0" w:rsidP="00567F67">
      <w:pPr>
        <w:pStyle w:val="FootnoteText"/>
        <w:rPr>
          <w:rFonts w:ascii="Arial" w:hAnsi="Arial" w:cs="Arial"/>
          <w:bCs/>
          <w:color w:val="000000"/>
          <w:sz w:val="18"/>
          <w:szCs w:val="21"/>
          <w:shd w:val="clear" w:color="auto" w:fill="FFFFFF"/>
        </w:rPr>
      </w:pPr>
      <w:r w:rsidRPr="00C42277">
        <w:rPr>
          <w:rStyle w:val="FootnoteReference"/>
        </w:rPr>
        <w:footnoteRef/>
      </w:r>
      <w:r w:rsidRPr="00C42277">
        <w:t xml:space="preserve"> </w:t>
      </w:r>
      <w:r w:rsidRPr="00C42277">
        <w:rPr>
          <w:rFonts w:ascii="Arial" w:hAnsi="Arial" w:cs="Arial"/>
          <w:bCs/>
          <w:color w:val="000000"/>
          <w:sz w:val="18"/>
          <w:szCs w:val="21"/>
          <w:shd w:val="clear" w:color="auto" w:fill="FFFFFF"/>
        </w:rPr>
        <w:t>The 21st Century Cures Act (Cures Act) defines interoperability in the context of health information technology (health IT) as health IT that</w:t>
      </w:r>
    </w:p>
    <w:p w14:paraId="080C9EDC" w14:textId="026D7399" w:rsidR="00B769F0" w:rsidRPr="00C42277" w:rsidRDefault="00B769F0" w:rsidP="00567F67">
      <w:pPr>
        <w:pStyle w:val="FootnoteText"/>
        <w:numPr>
          <w:ilvl w:val="0"/>
          <w:numId w:val="9"/>
        </w:numPr>
        <w:rPr>
          <w:rFonts w:ascii="Arial" w:hAnsi="Arial" w:cs="Arial"/>
          <w:bCs/>
          <w:color w:val="000000"/>
          <w:sz w:val="18"/>
          <w:szCs w:val="21"/>
          <w:shd w:val="clear" w:color="auto" w:fill="FFFFFF"/>
        </w:rPr>
      </w:pPr>
      <w:r w:rsidRPr="00C42277">
        <w:rPr>
          <w:rFonts w:ascii="Arial" w:hAnsi="Arial" w:cs="Arial"/>
          <w:bCs/>
          <w:color w:val="000000"/>
          <w:sz w:val="18"/>
          <w:szCs w:val="21"/>
          <w:shd w:val="clear" w:color="auto" w:fill="FFFFFF"/>
        </w:rPr>
        <w:t>enables the secure exchange of electronic health information with, and use of electronic health information from, other health information technology without special effort on the part of the user;</w:t>
      </w:r>
    </w:p>
    <w:p w14:paraId="6737075B" w14:textId="56950542" w:rsidR="00B769F0" w:rsidRPr="00C42277" w:rsidRDefault="00B769F0" w:rsidP="00567F67">
      <w:pPr>
        <w:pStyle w:val="FootnoteText"/>
        <w:numPr>
          <w:ilvl w:val="0"/>
          <w:numId w:val="9"/>
        </w:numPr>
        <w:rPr>
          <w:rFonts w:ascii="Arial" w:hAnsi="Arial" w:cs="Arial"/>
          <w:bCs/>
          <w:color w:val="000000"/>
          <w:sz w:val="18"/>
          <w:szCs w:val="21"/>
          <w:shd w:val="clear" w:color="auto" w:fill="FFFFFF"/>
        </w:rPr>
      </w:pPr>
      <w:r w:rsidRPr="00C42277">
        <w:rPr>
          <w:rFonts w:ascii="Arial" w:hAnsi="Arial" w:cs="Arial"/>
          <w:bCs/>
          <w:color w:val="000000"/>
          <w:sz w:val="18"/>
          <w:szCs w:val="21"/>
          <w:shd w:val="clear" w:color="auto" w:fill="FFFFFF"/>
        </w:rPr>
        <w:t xml:space="preserve"> allows for complete access, exchange, and use of all electronically accessible health information for authorized use under applicable State or Federal law; and </w:t>
      </w:r>
    </w:p>
    <w:p w14:paraId="139AB026" w14:textId="2DF786E0" w:rsidR="00B769F0" w:rsidRPr="00C42277" w:rsidRDefault="00B769F0" w:rsidP="00567F67">
      <w:pPr>
        <w:pStyle w:val="FootnoteText"/>
        <w:numPr>
          <w:ilvl w:val="0"/>
          <w:numId w:val="9"/>
        </w:numPr>
        <w:rPr>
          <w:rFonts w:ascii="Arial" w:hAnsi="Arial" w:cs="Arial"/>
          <w:b/>
          <w:bCs/>
          <w:color w:val="000000"/>
          <w:sz w:val="18"/>
          <w:szCs w:val="21"/>
          <w:shd w:val="clear" w:color="auto" w:fill="FFFFFF"/>
        </w:rPr>
      </w:pPr>
      <w:r w:rsidRPr="00C42277">
        <w:rPr>
          <w:rFonts w:ascii="Arial" w:hAnsi="Arial" w:cs="Arial"/>
          <w:bCs/>
          <w:color w:val="000000"/>
          <w:sz w:val="18"/>
          <w:szCs w:val="21"/>
          <w:shd w:val="clear" w:color="auto" w:fill="FFFFFF"/>
        </w:rPr>
        <w:t>does not constitute information blocking as defined in section 3022(a).</w:t>
      </w:r>
      <w:r w:rsidRPr="00C42277">
        <w:rPr>
          <w:rFonts w:ascii="Arial" w:hAnsi="Arial" w:cs="Arial"/>
          <w:b/>
          <w:bCs/>
          <w:color w:val="000000"/>
          <w:sz w:val="18"/>
          <w:szCs w:val="21"/>
          <w:shd w:val="clear" w:color="auto" w:fill="FFFFFF"/>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678C"/>
    <w:multiLevelType w:val="hybridMultilevel"/>
    <w:tmpl w:val="8388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028B"/>
    <w:multiLevelType w:val="hybridMultilevel"/>
    <w:tmpl w:val="8638AAB6"/>
    <w:lvl w:ilvl="0" w:tplc="76E810A6">
      <w:start w:val="1"/>
      <w:numFmt w:val="bullet"/>
      <w:lvlText w:val="•"/>
      <w:lvlJc w:val="left"/>
      <w:pPr>
        <w:tabs>
          <w:tab w:val="num" w:pos="720"/>
        </w:tabs>
        <w:ind w:left="720" w:hanging="360"/>
      </w:pPr>
      <w:rPr>
        <w:rFonts w:ascii="Arial" w:hAnsi="Arial" w:hint="default"/>
      </w:rPr>
    </w:lvl>
    <w:lvl w:ilvl="1" w:tplc="F1EA4614" w:tentative="1">
      <w:start w:val="1"/>
      <w:numFmt w:val="bullet"/>
      <w:lvlText w:val="•"/>
      <w:lvlJc w:val="left"/>
      <w:pPr>
        <w:tabs>
          <w:tab w:val="num" w:pos="1440"/>
        </w:tabs>
        <w:ind w:left="1440" w:hanging="360"/>
      </w:pPr>
      <w:rPr>
        <w:rFonts w:ascii="Arial" w:hAnsi="Arial" w:hint="default"/>
      </w:rPr>
    </w:lvl>
    <w:lvl w:ilvl="2" w:tplc="F29AA7F6" w:tentative="1">
      <w:start w:val="1"/>
      <w:numFmt w:val="bullet"/>
      <w:lvlText w:val="•"/>
      <w:lvlJc w:val="left"/>
      <w:pPr>
        <w:tabs>
          <w:tab w:val="num" w:pos="2160"/>
        </w:tabs>
        <w:ind w:left="2160" w:hanging="360"/>
      </w:pPr>
      <w:rPr>
        <w:rFonts w:ascii="Arial" w:hAnsi="Arial" w:hint="default"/>
      </w:rPr>
    </w:lvl>
    <w:lvl w:ilvl="3" w:tplc="082C01E0" w:tentative="1">
      <w:start w:val="1"/>
      <w:numFmt w:val="bullet"/>
      <w:lvlText w:val="•"/>
      <w:lvlJc w:val="left"/>
      <w:pPr>
        <w:tabs>
          <w:tab w:val="num" w:pos="2880"/>
        </w:tabs>
        <w:ind w:left="2880" w:hanging="360"/>
      </w:pPr>
      <w:rPr>
        <w:rFonts w:ascii="Arial" w:hAnsi="Arial" w:hint="default"/>
      </w:rPr>
    </w:lvl>
    <w:lvl w:ilvl="4" w:tplc="40B619F8" w:tentative="1">
      <w:start w:val="1"/>
      <w:numFmt w:val="bullet"/>
      <w:lvlText w:val="•"/>
      <w:lvlJc w:val="left"/>
      <w:pPr>
        <w:tabs>
          <w:tab w:val="num" w:pos="3600"/>
        </w:tabs>
        <w:ind w:left="3600" w:hanging="360"/>
      </w:pPr>
      <w:rPr>
        <w:rFonts w:ascii="Arial" w:hAnsi="Arial" w:hint="default"/>
      </w:rPr>
    </w:lvl>
    <w:lvl w:ilvl="5" w:tplc="C26E6D62" w:tentative="1">
      <w:start w:val="1"/>
      <w:numFmt w:val="bullet"/>
      <w:lvlText w:val="•"/>
      <w:lvlJc w:val="left"/>
      <w:pPr>
        <w:tabs>
          <w:tab w:val="num" w:pos="4320"/>
        </w:tabs>
        <w:ind w:left="4320" w:hanging="360"/>
      </w:pPr>
      <w:rPr>
        <w:rFonts w:ascii="Arial" w:hAnsi="Arial" w:hint="default"/>
      </w:rPr>
    </w:lvl>
    <w:lvl w:ilvl="6" w:tplc="DFD69CCA" w:tentative="1">
      <w:start w:val="1"/>
      <w:numFmt w:val="bullet"/>
      <w:lvlText w:val="•"/>
      <w:lvlJc w:val="left"/>
      <w:pPr>
        <w:tabs>
          <w:tab w:val="num" w:pos="5040"/>
        </w:tabs>
        <w:ind w:left="5040" w:hanging="360"/>
      </w:pPr>
      <w:rPr>
        <w:rFonts w:ascii="Arial" w:hAnsi="Arial" w:hint="default"/>
      </w:rPr>
    </w:lvl>
    <w:lvl w:ilvl="7" w:tplc="A1D0369C" w:tentative="1">
      <w:start w:val="1"/>
      <w:numFmt w:val="bullet"/>
      <w:lvlText w:val="•"/>
      <w:lvlJc w:val="left"/>
      <w:pPr>
        <w:tabs>
          <w:tab w:val="num" w:pos="5760"/>
        </w:tabs>
        <w:ind w:left="5760" w:hanging="360"/>
      </w:pPr>
      <w:rPr>
        <w:rFonts w:ascii="Arial" w:hAnsi="Arial" w:hint="default"/>
      </w:rPr>
    </w:lvl>
    <w:lvl w:ilvl="8" w:tplc="6E4A9C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3C5FDE"/>
    <w:multiLevelType w:val="multilevel"/>
    <w:tmpl w:val="24565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90539B"/>
    <w:multiLevelType w:val="hybridMultilevel"/>
    <w:tmpl w:val="327C2AFC"/>
    <w:lvl w:ilvl="0" w:tplc="9348C1FC">
      <w:start w:val="1"/>
      <w:numFmt w:val="bullet"/>
      <w:lvlText w:val="•"/>
      <w:lvlJc w:val="left"/>
      <w:pPr>
        <w:tabs>
          <w:tab w:val="num" w:pos="720"/>
        </w:tabs>
        <w:ind w:left="720" w:hanging="360"/>
      </w:pPr>
      <w:rPr>
        <w:rFonts w:ascii="Arial" w:hAnsi="Arial" w:hint="default"/>
      </w:rPr>
    </w:lvl>
    <w:lvl w:ilvl="1" w:tplc="900A5440" w:tentative="1">
      <w:start w:val="1"/>
      <w:numFmt w:val="bullet"/>
      <w:lvlText w:val="•"/>
      <w:lvlJc w:val="left"/>
      <w:pPr>
        <w:tabs>
          <w:tab w:val="num" w:pos="1440"/>
        </w:tabs>
        <w:ind w:left="1440" w:hanging="360"/>
      </w:pPr>
      <w:rPr>
        <w:rFonts w:ascii="Arial" w:hAnsi="Arial" w:hint="default"/>
      </w:rPr>
    </w:lvl>
    <w:lvl w:ilvl="2" w:tplc="7DF24182" w:tentative="1">
      <w:start w:val="1"/>
      <w:numFmt w:val="bullet"/>
      <w:lvlText w:val="•"/>
      <w:lvlJc w:val="left"/>
      <w:pPr>
        <w:tabs>
          <w:tab w:val="num" w:pos="2160"/>
        </w:tabs>
        <w:ind w:left="2160" w:hanging="360"/>
      </w:pPr>
      <w:rPr>
        <w:rFonts w:ascii="Arial" w:hAnsi="Arial" w:hint="default"/>
      </w:rPr>
    </w:lvl>
    <w:lvl w:ilvl="3" w:tplc="75223ECE" w:tentative="1">
      <w:start w:val="1"/>
      <w:numFmt w:val="bullet"/>
      <w:lvlText w:val="•"/>
      <w:lvlJc w:val="left"/>
      <w:pPr>
        <w:tabs>
          <w:tab w:val="num" w:pos="2880"/>
        </w:tabs>
        <w:ind w:left="2880" w:hanging="360"/>
      </w:pPr>
      <w:rPr>
        <w:rFonts w:ascii="Arial" w:hAnsi="Arial" w:hint="default"/>
      </w:rPr>
    </w:lvl>
    <w:lvl w:ilvl="4" w:tplc="DB500964" w:tentative="1">
      <w:start w:val="1"/>
      <w:numFmt w:val="bullet"/>
      <w:lvlText w:val="•"/>
      <w:lvlJc w:val="left"/>
      <w:pPr>
        <w:tabs>
          <w:tab w:val="num" w:pos="3600"/>
        </w:tabs>
        <w:ind w:left="3600" w:hanging="360"/>
      </w:pPr>
      <w:rPr>
        <w:rFonts w:ascii="Arial" w:hAnsi="Arial" w:hint="default"/>
      </w:rPr>
    </w:lvl>
    <w:lvl w:ilvl="5" w:tplc="8F24F258" w:tentative="1">
      <w:start w:val="1"/>
      <w:numFmt w:val="bullet"/>
      <w:lvlText w:val="•"/>
      <w:lvlJc w:val="left"/>
      <w:pPr>
        <w:tabs>
          <w:tab w:val="num" w:pos="4320"/>
        </w:tabs>
        <w:ind w:left="4320" w:hanging="360"/>
      </w:pPr>
      <w:rPr>
        <w:rFonts w:ascii="Arial" w:hAnsi="Arial" w:hint="default"/>
      </w:rPr>
    </w:lvl>
    <w:lvl w:ilvl="6" w:tplc="9A00A1FA" w:tentative="1">
      <w:start w:val="1"/>
      <w:numFmt w:val="bullet"/>
      <w:lvlText w:val="•"/>
      <w:lvlJc w:val="left"/>
      <w:pPr>
        <w:tabs>
          <w:tab w:val="num" w:pos="5040"/>
        </w:tabs>
        <w:ind w:left="5040" w:hanging="360"/>
      </w:pPr>
      <w:rPr>
        <w:rFonts w:ascii="Arial" w:hAnsi="Arial" w:hint="default"/>
      </w:rPr>
    </w:lvl>
    <w:lvl w:ilvl="7" w:tplc="9F20FA5E" w:tentative="1">
      <w:start w:val="1"/>
      <w:numFmt w:val="bullet"/>
      <w:lvlText w:val="•"/>
      <w:lvlJc w:val="left"/>
      <w:pPr>
        <w:tabs>
          <w:tab w:val="num" w:pos="5760"/>
        </w:tabs>
        <w:ind w:left="5760" w:hanging="360"/>
      </w:pPr>
      <w:rPr>
        <w:rFonts w:ascii="Arial" w:hAnsi="Arial" w:hint="default"/>
      </w:rPr>
    </w:lvl>
    <w:lvl w:ilvl="8" w:tplc="AFF4D8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9A4F48"/>
    <w:multiLevelType w:val="hybridMultilevel"/>
    <w:tmpl w:val="A6D6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D4E3F"/>
    <w:multiLevelType w:val="hybridMultilevel"/>
    <w:tmpl w:val="1C1E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97591"/>
    <w:multiLevelType w:val="multilevel"/>
    <w:tmpl w:val="10F00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E2F3C"/>
    <w:multiLevelType w:val="multilevel"/>
    <w:tmpl w:val="940E4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8C17A25"/>
    <w:multiLevelType w:val="multilevel"/>
    <w:tmpl w:val="6DE20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DE7FCD"/>
    <w:multiLevelType w:val="multilevel"/>
    <w:tmpl w:val="85FC9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9C5198"/>
    <w:multiLevelType w:val="hybridMultilevel"/>
    <w:tmpl w:val="EFAEA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564A9"/>
    <w:multiLevelType w:val="hybridMultilevel"/>
    <w:tmpl w:val="968E39B2"/>
    <w:lvl w:ilvl="0" w:tplc="AC2471AC">
      <w:start w:val="1"/>
      <w:numFmt w:val="upperLetter"/>
      <w:lvlText w:val="(%1)"/>
      <w:lvlJc w:val="left"/>
      <w:pPr>
        <w:tabs>
          <w:tab w:val="num" w:pos="720"/>
        </w:tabs>
        <w:ind w:left="720" w:hanging="360"/>
      </w:pPr>
      <w:rPr>
        <w:b w:val="0"/>
      </w:rPr>
    </w:lvl>
    <w:lvl w:ilvl="1" w:tplc="F3B4EB8E" w:tentative="1">
      <w:start w:val="1"/>
      <w:numFmt w:val="upperLetter"/>
      <w:lvlText w:val="(%2)"/>
      <w:lvlJc w:val="left"/>
      <w:pPr>
        <w:tabs>
          <w:tab w:val="num" w:pos="1440"/>
        </w:tabs>
        <w:ind w:left="1440" w:hanging="360"/>
      </w:pPr>
    </w:lvl>
    <w:lvl w:ilvl="2" w:tplc="4C4C5576" w:tentative="1">
      <w:start w:val="1"/>
      <w:numFmt w:val="upperLetter"/>
      <w:lvlText w:val="(%3)"/>
      <w:lvlJc w:val="left"/>
      <w:pPr>
        <w:tabs>
          <w:tab w:val="num" w:pos="2160"/>
        </w:tabs>
        <w:ind w:left="2160" w:hanging="360"/>
      </w:pPr>
    </w:lvl>
    <w:lvl w:ilvl="3" w:tplc="05A039AE" w:tentative="1">
      <w:start w:val="1"/>
      <w:numFmt w:val="upperLetter"/>
      <w:lvlText w:val="(%4)"/>
      <w:lvlJc w:val="left"/>
      <w:pPr>
        <w:tabs>
          <w:tab w:val="num" w:pos="2880"/>
        </w:tabs>
        <w:ind w:left="2880" w:hanging="360"/>
      </w:pPr>
    </w:lvl>
    <w:lvl w:ilvl="4" w:tplc="29200228" w:tentative="1">
      <w:start w:val="1"/>
      <w:numFmt w:val="upperLetter"/>
      <w:lvlText w:val="(%5)"/>
      <w:lvlJc w:val="left"/>
      <w:pPr>
        <w:tabs>
          <w:tab w:val="num" w:pos="3600"/>
        </w:tabs>
        <w:ind w:left="3600" w:hanging="360"/>
      </w:pPr>
    </w:lvl>
    <w:lvl w:ilvl="5" w:tplc="3BD4B942" w:tentative="1">
      <w:start w:val="1"/>
      <w:numFmt w:val="upperLetter"/>
      <w:lvlText w:val="(%6)"/>
      <w:lvlJc w:val="left"/>
      <w:pPr>
        <w:tabs>
          <w:tab w:val="num" w:pos="4320"/>
        </w:tabs>
        <w:ind w:left="4320" w:hanging="360"/>
      </w:pPr>
    </w:lvl>
    <w:lvl w:ilvl="6" w:tplc="C3E4B08E" w:tentative="1">
      <w:start w:val="1"/>
      <w:numFmt w:val="upperLetter"/>
      <w:lvlText w:val="(%7)"/>
      <w:lvlJc w:val="left"/>
      <w:pPr>
        <w:tabs>
          <w:tab w:val="num" w:pos="5040"/>
        </w:tabs>
        <w:ind w:left="5040" w:hanging="360"/>
      </w:pPr>
    </w:lvl>
    <w:lvl w:ilvl="7" w:tplc="C45EED32" w:tentative="1">
      <w:start w:val="1"/>
      <w:numFmt w:val="upperLetter"/>
      <w:lvlText w:val="(%8)"/>
      <w:lvlJc w:val="left"/>
      <w:pPr>
        <w:tabs>
          <w:tab w:val="num" w:pos="5760"/>
        </w:tabs>
        <w:ind w:left="5760" w:hanging="360"/>
      </w:pPr>
    </w:lvl>
    <w:lvl w:ilvl="8" w:tplc="3FE0EFE4" w:tentative="1">
      <w:start w:val="1"/>
      <w:numFmt w:val="upperLetter"/>
      <w:lvlText w:val="(%9)"/>
      <w:lvlJc w:val="left"/>
      <w:pPr>
        <w:tabs>
          <w:tab w:val="num" w:pos="6480"/>
        </w:tabs>
        <w:ind w:left="6480" w:hanging="360"/>
      </w:pPr>
    </w:lvl>
  </w:abstractNum>
  <w:abstractNum w:abstractNumId="12" w15:restartNumberingAfterBreak="0">
    <w:nsid w:val="4C4D7979"/>
    <w:multiLevelType w:val="hybridMultilevel"/>
    <w:tmpl w:val="F33CFA10"/>
    <w:lvl w:ilvl="0" w:tplc="E54E6FC8">
      <w:start w:val="1"/>
      <w:numFmt w:val="bullet"/>
      <w:lvlText w:val="•"/>
      <w:lvlJc w:val="left"/>
      <w:pPr>
        <w:tabs>
          <w:tab w:val="num" w:pos="720"/>
        </w:tabs>
        <w:ind w:left="720" w:hanging="360"/>
      </w:pPr>
      <w:rPr>
        <w:rFonts w:ascii="Arial" w:hAnsi="Arial" w:hint="default"/>
      </w:rPr>
    </w:lvl>
    <w:lvl w:ilvl="1" w:tplc="B8A2A750" w:tentative="1">
      <w:start w:val="1"/>
      <w:numFmt w:val="bullet"/>
      <w:lvlText w:val="•"/>
      <w:lvlJc w:val="left"/>
      <w:pPr>
        <w:tabs>
          <w:tab w:val="num" w:pos="1440"/>
        </w:tabs>
        <w:ind w:left="1440" w:hanging="360"/>
      </w:pPr>
      <w:rPr>
        <w:rFonts w:ascii="Arial" w:hAnsi="Arial" w:hint="default"/>
      </w:rPr>
    </w:lvl>
    <w:lvl w:ilvl="2" w:tplc="340295F0" w:tentative="1">
      <w:start w:val="1"/>
      <w:numFmt w:val="bullet"/>
      <w:lvlText w:val="•"/>
      <w:lvlJc w:val="left"/>
      <w:pPr>
        <w:tabs>
          <w:tab w:val="num" w:pos="2160"/>
        </w:tabs>
        <w:ind w:left="2160" w:hanging="360"/>
      </w:pPr>
      <w:rPr>
        <w:rFonts w:ascii="Arial" w:hAnsi="Arial" w:hint="default"/>
      </w:rPr>
    </w:lvl>
    <w:lvl w:ilvl="3" w:tplc="8CEEE8D0" w:tentative="1">
      <w:start w:val="1"/>
      <w:numFmt w:val="bullet"/>
      <w:lvlText w:val="•"/>
      <w:lvlJc w:val="left"/>
      <w:pPr>
        <w:tabs>
          <w:tab w:val="num" w:pos="2880"/>
        </w:tabs>
        <w:ind w:left="2880" w:hanging="360"/>
      </w:pPr>
      <w:rPr>
        <w:rFonts w:ascii="Arial" w:hAnsi="Arial" w:hint="default"/>
      </w:rPr>
    </w:lvl>
    <w:lvl w:ilvl="4" w:tplc="36966418" w:tentative="1">
      <w:start w:val="1"/>
      <w:numFmt w:val="bullet"/>
      <w:lvlText w:val="•"/>
      <w:lvlJc w:val="left"/>
      <w:pPr>
        <w:tabs>
          <w:tab w:val="num" w:pos="3600"/>
        </w:tabs>
        <w:ind w:left="3600" w:hanging="360"/>
      </w:pPr>
      <w:rPr>
        <w:rFonts w:ascii="Arial" w:hAnsi="Arial" w:hint="default"/>
      </w:rPr>
    </w:lvl>
    <w:lvl w:ilvl="5" w:tplc="52D665BC" w:tentative="1">
      <w:start w:val="1"/>
      <w:numFmt w:val="bullet"/>
      <w:lvlText w:val="•"/>
      <w:lvlJc w:val="left"/>
      <w:pPr>
        <w:tabs>
          <w:tab w:val="num" w:pos="4320"/>
        </w:tabs>
        <w:ind w:left="4320" w:hanging="360"/>
      </w:pPr>
      <w:rPr>
        <w:rFonts w:ascii="Arial" w:hAnsi="Arial" w:hint="default"/>
      </w:rPr>
    </w:lvl>
    <w:lvl w:ilvl="6" w:tplc="572C9726" w:tentative="1">
      <w:start w:val="1"/>
      <w:numFmt w:val="bullet"/>
      <w:lvlText w:val="•"/>
      <w:lvlJc w:val="left"/>
      <w:pPr>
        <w:tabs>
          <w:tab w:val="num" w:pos="5040"/>
        </w:tabs>
        <w:ind w:left="5040" w:hanging="360"/>
      </w:pPr>
      <w:rPr>
        <w:rFonts w:ascii="Arial" w:hAnsi="Arial" w:hint="default"/>
      </w:rPr>
    </w:lvl>
    <w:lvl w:ilvl="7" w:tplc="318C3040" w:tentative="1">
      <w:start w:val="1"/>
      <w:numFmt w:val="bullet"/>
      <w:lvlText w:val="•"/>
      <w:lvlJc w:val="left"/>
      <w:pPr>
        <w:tabs>
          <w:tab w:val="num" w:pos="5760"/>
        </w:tabs>
        <w:ind w:left="5760" w:hanging="360"/>
      </w:pPr>
      <w:rPr>
        <w:rFonts w:ascii="Arial" w:hAnsi="Arial" w:hint="default"/>
      </w:rPr>
    </w:lvl>
    <w:lvl w:ilvl="8" w:tplc="6860BA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926796"/>
    <w:multiLevelType w:val="hybridMultilevel"/>
    <w:tmpl w:val="79AEA76C"/>
    <w:lvl w:ilvl="0" w:tplc="42F06EE6">
      <w:start w:val="1"/>
      <w:numFmt w:val="bullet"/>
      <w:lvlText w:val="•"/>
      <w:lvlJc w:val="left"/>
      <w:pPr>
        <w:tabs>
          <w:tab w:val="num" w:pos="720"/>
        </w:tabs>
        <w:ind w:left="720" w:hanging="360"/>
      </w:pPr>
      <w:rPr>
        <w:rFonts w:ascii="Arial" w:hAnsi="Arial" w:hint="default"/>
      </w:rPr>
    </w:lvl>
    <w:lvl w:ilvl="1" w:tplc="0BA0597E" w:tentative="1">
      <w:start w:val="1"/>
      <w:numFmt w:val="bullet"/>
      <w:lvlText w:val="•"/>
      <w:lvlJc w:val="left"/>
      <w:pPr>
        <w:tabs>
          <w:tab w:val="num" w:pos="1440"/>
        </w:tabs>
        <w:ind w:left="1440" w:hanging="360"/>
      </w:pPr>
      <w:rPr>
        <w:rFonts w:ascii="Arial" w:hAnsi="Arial" w:hint="default"/>
      </w:rPr>
    </w:lvl>
    <w:lvl w:ilvl="2" w:tplc="9292517C" w:tentative="1">
      <w:start w:val="1"/>
      <w:numFmt w:val="bullet"/>
      <w:lvlText w:val="•"/>
      <w:lvlJc w:val="left"/>
      <w:pPr>
        <w:tabs>
          <w:tab w:val="num" w:pos="2160"/>
        </w:tabs>
        <w:ind w:left="2160" w:hanging="360"/>
      </w:pPr>
      <w:rPr>
        <w:rFonts w:ascii="Arial" w:hAnsi="Arial" w:hint="default"/>
      </w:rPr>
    </w:lvl>
    <w:lvl w:ilvl="3" w:tplc="6F9AF5C0" w:tentative="1">
      <w:start w:val="1"/>
      <w:numFmt w:val="bullet"/>
      <w:lvlText w:val="•"/>
      <w:lvlJc w:val="left"/>
      <w:pPr>
        <w:tabs>
          <w:tab w:val="num" w:pos="2880"/>
        </w:tabs>
        <w:ind w:left="2880" w:hanging="360"/>
      </w:pPr>
      <w:rPr>
        <w:rFonts w:ascii="Arial" w:hAnsi="Arial" w:hint="default"/>
      </w:rPr>
    </w:lvl>
    <w:lvl w:ilvl="4" w:tplc="66880810" w:tentative="1">
      <w:start w:val="1"/>
      <w:numFmt w:val="bullet"/>
      <w:lvlText w:val="•"/>
      <w:lvlJc w:val="left"/>
      <w:pPr>
        <w:tabs>
          <w:tab w:val="num" w:pos="3600"/>
        </w:tabs>
        <w:ind w:left="3600" w:hanging="360"/>
      </w:pPr>
      <w:rPr>
        <w:rFonts w:ascii="Arial" w:hAnsi="Arial" w:hint="default"/>
      </w:rPr>
    </w:lvl>
    <w:lvl w:ilvl="5" w:tplc="A8F2C322" w:tentative="1">
      <w:start w:val="1"/>
      <w:numFmt w:val="bullet"/>
      <w:lvlText w:val="•"/>
      <w:lvlJc w:val="left"/>
      <w:pPr>
        <w:tabs>
          <w:tab w:val="num" w:pos="4320"/>
        </w:tabs>
        <w:ind w:left="4320" w:hanging="360"/>
      </w:pPr>
      <w:rPr>
        <w:rFonts w:ascii="Arial" w:hAnsi="Arial" w:hint="default"/>
      </w:rPr>
    </w:lvl>
    <w:lvl w:ilvl="6" w:tplc="76669FF8" w:tentative="1">
      <w:start w:val="1"/>
      <w:numFmt w:val="bullet"/>
      <w:lvlText w:val="•"/>
      <w:lvlJc w:val="left"/>
      <w:pPr>
        <w:tabs>
          <w:tab w:val="num" w:pos="5040"/>
        </w:tabs>
        <w:ind w:left="5040" w:hanging="360"/>
      </w:pPr>
      <w:rPr>
        <w:rFonts w:ascii="Arial" w:hAnsi="Arial" w:hint="default"/>
      </w:rPr>
    </w:lvl>
    <w:lvl w:ilvl="7" w:tplc="6BDEBAE0" w:tentative="1">
      <w:start w:val="1"/>
      <w:numFmt w:val="bullet"/>
      <w:lvlText w:val="•"/>
      <w:lvlJc w:val="left"/>
      <w:pPr>
        <w:tabs>
          <w:tab w:val="num" w:pos="5760"/>
        </w:tabs>
        <w:ind w:left="5760" w:hanging="360"/>
      </w:pPr>
      <w:rPr>
        <w:rFonts w:ascii="Arial" w:hAnsi="Arial" w:hint="default"/>
      </w:rPr>
    </w:lvl>
    <w:lvl w:ilvl="8" w:tplc="9A4272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0286D63"/>
    <w:multiLevelType w:val="multilevel"/>
    <w:tmpl w:val="8A763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581298D"/>
    <w:multiLevelType w:val="hybridMultilevel"/>
    <w:tmpl w:val="9A7C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40AE2"/>
    <w:multiLevelType w:val="hybridMultilevel"/>
    <w:tmpl w:val="4B2E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14"/>
  </w:num>
  <w:num w:numId="5">
    <w:abstractNumId w:val="6"/>
  </w:num>
  <w:num w:numId="6">
    <w:abstractNumId w:val="7"/>
  </w:num>
  <w:num w:numId="7">
    <w:abstractNumId w:val="10"/>
  </w:num>
  <w:num w:numId="8">
    <w:abstractNumId w:val="15"/>
  </w:num>
  <w:num w:numId="9">
    <w:abstractNumId w:val="11"/>
  </w:num>
  <w:num w:numId="10">
    <w:abstractNumId w:val="5"/>
  </w:num>
  <w:num w:numId="11">
    <w:abstractNumId w:val="13"/>
  </w:num>
  <w:num w:numId="12">
    <w:abstractNumId w:val="3"/>
  </w:num>
  <w:num w:numId="13">
    <w:abstractNumId w:val="0"/>
  </w:num>
  <w:num w:numId="14">
    <w:abstractNumId w:val="4"/>
  </w:num>
  <w:num w:numId="15">
    <w:abstractNumId w:val="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4A0"/>
    <w:rsid w:val="00014085"/>
    <w:rsid w:val="00020890"/>
    <w:rsid w:val="00031361"/>
    <w:rsid w:val="00041886"/>
    <w:rsid w:val="00044FD6"/>
    <w:rsid w:val="00047336"/>
    <w:rsid w:val="000612AD"/>
    <w:rsid w:val="00062B36"/>
    <w:rsid w:val="00077524"/>
    <w:rsid w:val="0007786A"/>
    <w:rsid w:val="00080E5E"/>
    <w:rsid w:val="000824D7"/>
    <w:rsid w:val="00082AED"/>
    <w:rsid w:val="00082F1E"/>
    <w:rsid w:val="00084CE6"/>
    <w:rsid w:val="0009106B"/>
    <w:rsid w:val="000A21F2"/>
    <w:rsid w:val="000A56A1"/>
    <w:rsid w:val="000A56B8"/>
    <w:rsid w:val="000A6130"/>
    <w:rsid w:val="000B436D"/>
    <w:rsid w:val="000C57A1"/>
    <w:rsid w:val="000D25EE"/>
    <w:rsid w:val="000D3A84"/>
    <w:rsid w:val="000D735F"/>
    <w:rsid w:val="000E4F07"/>
    <w:rsid w:val="000F53DE"/>
    <w:rsid w:val="00102A2E"/>
    <w:rsid w:val="001130A3"/>
    <w:rsid w:val="00140939"/>
    <w:rsid w:val="001504F2"/>
    <w:rsid w:val="001608E8"/>
    <w:rsid w:val="00163258"/>
    <w:rsid w:val="001635E7"/>
    <w:rsid w:val="00164E45"/>
    <w:rsid w:val="001727F2"/>
    <w:rsid w:val="00173CCB"/>
    <w:rsid w:val="00176E45"/>
    <w:rsid w:val="0017764D"/>
    <w:rsid w:val="001946F0"/>
    <w:rsid w:val="001B1AC5"/>
    <w:rsid w:val="001B1F80"/>
    <w:rsid w:val="001B70CB"/>
    <w:rsid w:val="001D1816"/>
    <w:rsid w:val="001D6AEC"/>
    <w:rsid w:val="00202268"/>
    <w:rsid w:val="00202E03"/>
    <w:rsid w:val="002216B2"/>
    <w:rsid w:val="00221CC3"/>
    <w:rsid w:val="0022423A"/>
    <w:rsid w:val="00224426"/>
    <w:rsid w:val="002326CA"/>
    <w:rsid w:val="00234F3C"/>
    <w:rsid w:val="00243CDF"/>
    <w:rsid w:val="002442F8"/>
    <w:rsid w:val="00273EC5"/>
    <w:rsid w:val="002801D7"/>
    <w:rsid w:val="00284C8D"/>
    <w:rsid w:val="00293C9B"/>
    <w:rsid w:val="00294FAB"/>
    <w:rsid w:val="002A6604"/>
    <w:rsid w:val="002B164E"/>
    <w:rsid w:val="002B3341"/>
    <w:rsid w:val="002B4F96"/>
    <w:rsid w:val="002B6F14"/>
    <w:rsid w:val="002C271E"/>
    <w:rsid w:val="002D2220"/>
    <w:rsid w:val="002E0B2B"/>
    <w:rsid w:val="002E2B65"/>
    <w:rsid w:val="002F11BB"/>
    <w:rsid w:val="002F1A6E"/>
    <w:rsid w:val="002F2C45"/>
    <w:rsid w:val="00324059"/>
    <w:rsid w:val="003400B8"/>
    <w:rsid w:val="00370060"/>
    <w:rsid w:val="00377AE3"/>
    <w:rsid w:val="0039011C"/>
    <w:rsid w:val="003A4D6C"/>
    <w:rsid w:val="003B53C8"/>
    <w:rsid w:val="003C0F0F"/>
    <w:rsid w:val="003C19BA"/>
    <w:rsid w:val="003F2B83"/>
    <w:rsid w:val="003F3781"/>
    <w:rsid w:val="00400304"/>
    <w:rsid w:val="00406C7C"/>
    <w:rsid w:val="00411F56"/>
    <w:rsid w:val="00412F5A"/>
    <w:rsid w:val="00412F6D"/>
    <w:rsid w:val="0041610E"/>
    <w:rsid w:val="0042745C"/>
    <w:rsid w:val="00436A49"/>
    <w:rsid w:val="00441DC0"/>
    <w:rsid w:val="004555C7"/>
    <w:rsid w:val="00472121"/>
    <w:rsid w:val="00477505"/>
    <w:rsid w:val="00495286"/>
    <w:rsid w:val="004A101C"/>
    <w:rsid w:val="004B6592"/>
    <w:rsid w:val="004C16C8"/>
    <w:rsid w:val="004C19DB"/>
    <w:rsid w:val="004C746A"/>
    <w:rsid w:val="004E1673"/>
    <w:rsid w:val="004E77E6"/>
    <w:rsid w:val="004E78B4"/>
    <w:rsid w:val="00502A74"/>
    <w:rsid w:val="005164CE"/>
    <w:rsid w:val="00516BEA"/>
    <w:rsid w:val="00534C70"/>
    <w:rsid w:val="005375C4"/>
    <w:rsid w:val="00550549"/>
    <w:rsid w:val="005610CF"/>
    <w:rsid w:val="005636A5"/>
    <w:rsid w:val="00567F67"/>
    <w:rsid w:val="005850D4"/>
    <w:rsid w:val="00591101"/>
    <w:rsid w:val="005A1916"/>
    <w:rsid w:val="005A601A"/>
    <w:rsid w:val="005D5836"/>
    <w:rsid w:val="005D695A"/>
    <w:rsid w:val="005E1FDB"/>
    <w:rsid w:val="005F09AB"/>
    <w:rsid w:val="005F3A25"/>
    <w:rsid w:val="006122E6"/>
    <w:rsid w:val="006264A0"/>
    <w:rsid w:val="00635076"/>
    <w:rsid w:val="006473D4"/>
    <w:rsid w:val="00694159"/>
    <w:rsid w:val="006A1263"/>
    <w:rsid w:val="006A2F79"/>
    <w:rsid w:val="006B1A1E"/>
    <w:rsid w:val="006C6B4A"/>
    <w:rsid w:val="006D4632"/>
    <w:rsid w:val="006E1B6F"/>
    <w:rsid w:val="006E62A1"/>
    <w:rsid w:val="006E6B07"/>
    <w:rsid w:val="00706BCA"/>
    <w:rsid w:val="00712E49"/>
    <w:rsid w:val="00723A0D"/>
    <w:rsid w:val="00724C0F"/>
    <w:rsid w:val="007267C2"/>
    <w:rsid w:val="00730F36"/>
    <w:rsid w:val="00753794"/>
    <w:rsid w:val="00756A14"/>
    <w:rsid w:val="00761B3B"/>
    <w:rsid w:val="00786024"/>
    <w:rsid w:val="007909DF"/>
    <w:rsid w:val="007B16F3"/>
    <w:rsid w:val="007E69A8"/>
    <w:rsid w:val="007F0317"/>
    <w:rsid w:val="007F0417"/>
    <w:rsid w:val="007F4BD7"/>
    <w:rsid w:val="007F4F32"/>
    <w:rsid w:val="0080171C"/>
    <w:rsid w:val="008047D4"/>
    <w:rsid w:val="008073DA"/>
    <w:rsid w:val="00816CCE"/>
    <w:rsid w:val="0082495E"/>
    <w:rsid w:val="00826AAC"/>
    <w:rsid w:val="0083348E"/>
    <w:rsid w:val="00834C06"/>
    <w:rsid w:val="0084795E"/>
    <w:rsid w:val="008539A0"/>
    <w:rsid w:val="00860690"/>
    <w:rsid w:val="00873DE6"/>
    <w:rsid w:val="00891338"/>
    <w:rsid w:val="00891EC0"/>
    <w:rsid w:val="00894F27"/>
    <w:rsid w:val="008A5770"/>
    <w:rsid w:val="008B4BF7"/>
    <w:rsid w:val="008D166D"/>
    <w:rsid w:val="008D1DC5"/>
    <w:rsid w:val="008E137B"/>
    <w:rsid w:val="008E2E26"/>
    <w:rsid w:val="008E4BAA"/>
    <w:rsid w:val="008F38B0"/>
    <w:rsid w:val="00914E5C"/>
    <w:rsid w:val="009203E9"/>
    <w:rsid w:val="00945FE7"/>
    <w:rsid w:val="009474AB"/>
    <w:rsid w:val="00955976"/>
    <w:rsid w:val="00975D9A"/>
    <w:rsid w:val="00981A6D"/>
    <w:rsid w:val="00986687"/>
    <w:rsid w:val="00990DEF"/>
    <w:rsid w:val="009A23CA"/>
    <w:rsid w:val="009B6365"/>
    <w:rsid w:val="009B7AA7"/>
    <w:rsid w:val="009C03F5"/>
    <w:rsid w:val="009C299E"/>
    <w:rsid w:val="009C2ECC"/>
    <w:rsid w:val="009D3AF3"/>
    <w:rsid w:val="009E3689"/>
    <w:rsid w:val="009E3D4C"/>
    <w:rsid w:val="009E6384"/>
    <w:rsid w:val="009F4FB4"/>
    <w:rsid w:val="009F55BD"/>
    <w:rsid w:val="00A03750"/>
    <w:rsid w:val="00A20818"/>
    <w:rsid w:val="00A23614"/>
    <w:rsid w:val="00A27A9B"/>
    <w:rsid w:val="00A32740"/>
    <w:rsid w:val="00A45632"/>
    <w:rsid w:val="00A5109A"/>
    <w:rsid w:val="00A52440"/>
    <w:rsid w:val="00A54AB3"/>
    <w:rsid w:val="00A55996"/>
    <w:rsid w:val="00A615AE"/>
    <w:rsid w:val="00A707E7"/>
    <w:rsid w:val="00A82C93"/>
    <w:rsid w:val="00A90B32"/>
    <w:rsid w:val="00A928C0"/>
    <w:rsid w:val="00AB1215"/>
    <w:rsid w:val="00AD3951"/>
    <w:rsid w:val="00AE543E"/>
    <w:rsid w:val="00AE73AF"/>
    <w:rsid w:val="00B155EA"/>
    <w:rsid w:val="00B15AFD"/>
    <w:rsid w:val="00B16F17"/>
    <w:rsid w:val="00B17ACC"/>
    <w:rsid w:val="00B20D9D"/>
    <w:rsid w:val="00B20FCE"/>
    <w:rsid w:val="00B21EBE"/>
    <w:rsid w:val="00B239EA"/>
    <w:rsid w:val="00B26900"/>
    <w:rsid w:val="00B345BB"/>
    <w:rsid w:val="00B55C65"/>
    <w:rsid w:val="00B62CDB"/>
    <w:rsid w:val="00B65AFB"/>
    <w:rsid w:val="00B74868"/>
    <w:rsid w:val="00B758F1"/>
    <w:rsid w:val="00B769F0"/>
    <w:rsid w:val="00B77FDB"/>
    <w:rsid w:val="00B849D3"/>
    <w:rsid w:val="00B854A2"/>
    <w:rsid w:val="00B9288F"/>
    <w:rsid w:val="00BA6BD2"/>
    <w:rsid w:val="00BB3797"/>
    <w:rsid w:val="00BC5454"/>
    <w:rsid w:val="00BC5EA1"/>
    <w:rsid w:val="00BD0567"/>
    <w:rsid w:val="00BD6790"/>
    <w:rsid w:val="00BD68E3"/>
    <w:rsid w:val="00BF586F"/>
    <w:rsid w:val="00C02A5C"/>
    <w:rsid w:val="00C11FCA"/>
    <w:rsid w:val="00C14978"/>
    <w:rsid w:val="00C16846"/>
    <w:rsid w:val="00C2218B"/>
    <w:rsid w:val="00C339CE"/>
    <w:rsid w:val="00C3644F"/>
    <w:rsid w:val="00C42277"/>
    <w:rsid w:val="00C47662"/>
    <w:rsid w:val="00C74C8D"/>
    <w:rsid w:val="00C76581"/>
    <w:rsid w:val="00C81AB2"/>
    <w:rsid w:val="00C9215C"/>
    <w:rsid w:val="00C94B77"/>
    <w:rsid w:val="00CA0EAB"/>
    <w:rsid w:val="00CA2BDC"/>
    <w:rsid w:val="00CB0E54"/>
    <w:rsid w:val="00CC412E"/>
    <w:rsid w:val="00CC48F1"/>
    <w:rsid w:val="00CC620A"/>
    <w:rsid w:val="00CD1A3B"/>
    <w:rsid w:val="00CD4564"/>
    <w:rsid w:val="00CE4D50"/>
    <w:rsid w:val="00CF2AE0"/>
    <w:rsid w:val="00CF46ED"/>
    <w:rsid w:val="00D0456F"/>
    <w:rsid w:val="00D059DE"/>
    <w:rsid w:val="00D17A07"/>
    <w:rsid w:val="00D250D6"/>
    <w:rsid w:val="00D25C90"/>
    <w:rsid w:val="00D31746"/>
    <w:rsid w:val="00D54458"/>
    <w:rsid w:val="00D569F2"/>
    <w:rsid w:val="00D57FCB"/>
    <w:rsid w:val="00D605D9"/>
    <w:rsid w:val="00D625A7"/>
    <w:rsid w:val="00D8647C"/>
    <w:rsid w:val="00D868BD"/>
    <w:rsid w:val="00D91ED4"/>
    <w:rsid w:val="00D958DE"/>
    <w:rsid w:val="00D95E90"/>
    <w:rsid w:val="00DB0941"/>
    <w:rsid w:val="00DB154D"/>
    <w:rsid w:val="00DC4211"/>
    <w:rsid w:val="00DD11E3"/>
    <w:rsid w:val="00DE54A5"/>
    <w:rsid w:val="00DE6016"/>
    <w:rsid w:val="00DF0D64"/>
    <w:rsid w:val="00E05463"/>
    <w:rsid w:val="00E148A3"/>
    <w:rsid w:val="00E24C3C"/>
    <w:rsid w:val="00E3708D"/>
    <w:rsid w:val="00E51FC8"/>
    <w:rsid w:val="00E6142A"/>
    <w:rsid w:val="00E6378D"/>
    <w:rsid w:val="00E667B9"/>
    <w:rsid w:val="00E7050E"/>
    <w:rsid w:val="00E75BEB"/>
    <w:rsid w:val="00E9415B"/>
    <w:rsid w:val="00EA78DE"/>
    <w:rsid w:val="00EB0FC6"/>
    <w:rsid w:val="00EB56EB"/>
    <w:rsid w:val="00EC260A"/>
    <w:rsid w:val="00EC5DF2"/>
    <w:rsid w:val="00ED3297"/>
    <w:rsid w:val="00ED6CA3"/>
    <w:rsid w:val="00EE50F7"/>
    <w:rsid w:val="00F063CB"/>
    <w:rsid w:val="00F0648A"/>
    <w:rsid w:val="00F132E6"/>
    <w:rsid w:val="00F14502"/>
    <w:rsid w:val="00F1535A"/>
    <w:rsid w:val="00F161FB"/>
    <w:rsid w:val="00F22025"/>
    <w:rsid w:val="00F25F46"/>
    <w:rsid w:val="00F27FD2"/>
    <w:rsid w:val="00F35CA5"/>
    <w:rsid w:val="00F47A17"/>
    <w:rsid w:val="00F55F85"/>
    <w:rsid w:val="00F57816"/>
    <w:rsid w:val="00F578F3"/>
    <w:rsid w:val="00F62023"/>
    <w:rsid w:val="00F63AEA"/>
    <w:rsid w:val="00F81740"/>
    <w:rsid w:val="00F86263"/>
    <w:rsid w:val="00FB3129"/>
    <w:rsid w:val="00FB3290"/>
    <w:rsid w:val="00FB49BB"/>
    <w:rsid w:val="00FD0FA3"/>
    <w:rsid w:val="00FD3FE1"/>
    <w:rsid w:val="00FF01E6"/>
    <w:rsid w:val="00FF343E"/>
    <w:rsid w:val="23E2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397D06"/>
  <w15:docId w15:val="{47FC9244-2196-44CA-8235-ABDEB62B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4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68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426"/>
    <w:pPr>
      <w:ind w:left="720"/>
      <w:contextualSpacing/>
    </w:pPr>
  </w:style>
  <w:style w:type="paragraph" w:styleId="NormalWeb">
    <w:name w:val="Normal (Web)"/>
    <w:basedOn w:val="Normal"/>
    <w:uiPriority w:val="99"/>
    <w:unhideWhenUsed/>
    <w:rsid w:val="005D695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43CDF"/>
    <w:rPr>
      <w:sz w:val="16"/>
      <w:szCs w:val="16"/>
    </w:rPr>
  </w:style>
  <w:style w:type="paragraph" w:styleId="CommentText">
    <w:name w:val="annotation text"/>
    <w:basedOn w:val="Normal"/>
    <w:link w:val="CommentTextChar"/>
    <w:uiPriority w:val="99"/>
    <w:semiHidden/>
    <w:unhideWhenUsed/>
    <w:rsid w:val="00243CDF"/>
    <w:pPr>
      <w:spacing w:line="240" w:lineRule="auto"/>
    </w:pPr>
    <w:rPr>
      <w:sz w:val="20"/>
      <w:szCs w:val="20"/>
    </w:rPr>
  </w:style>
  <w:style w:type="character" w:customStyle="1" w:styleId="CommentTextChar">
    <w:name w:val="Comment Text Char"/>
    <w:basedOn w:val="DefaultParagraphFont"/>
    <w:link w:val="CommentText"/>
    <w:uiPriority w:val="99"/>
    <w:semiHidden/>
    <w:rsid w:val="00243CDF"/>
    <w:rPr>
      <w:sz w:val="20"/>
      <w:szCs w:val="20"/>
    </w:rPr>
  </w:style>
  <w:style w:type="paragraph" w:styleId="CommentSubject">
    <w:name w:val="annotation subject"/>
    <w:basedOn w:val="CommentText"/>
    <w:next w:val="CommentText"/>
    <w:link w:val="CommentSubjectChar"/>
    <w:uiPriority w:val="99"/>
    <w:semiHidden/>
    <w:unhideWhenUsed/>
    <w:rsid w:val="00243CDF"/>
    <w:rPr>
      <w:b/>
      <w:bCs/>
    </w:rPr>
  </w:style>
  <w:style w:type="character" w:customStyle="1" w:styleId="CommentSubjectChar">
    <w:name w:val="Comment Subject Char"/>
    <w:basedOn w:val="CommentTextChar"/>
    <w:link w:val="CommentSubject"/>
    <w:uiPriority w:val="99"/>
    <w:semiHidden/>
    <w:rsid w:val="00243CDF"/>
    <w:rPr>
      <w:b/>
      <w:bCs/>
      <w:sz w:val="20"/>
      <w:szCs w:val="20"/>
    </w:rPr>
  </w:style>
  <w:style w:type="paragraph" w:styleId="BalloonText">
    <w:name w:val="Balloon Text"/>
    <w:basedOn w:val="Normal"/>
    <w:link w:val="BalloonTextChar"/>
    <w:uiPriority w:val="99"/>
    <w:semiHidden/>
    <w:unhideWhenUsed/>
    <w:rsid w:val="00243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CDF"/>
    <w:rPr>
      <w:rFonts w:ascii="Segoe UI" w:hAnsi="Segoe UI" w:cs="Segoe UI"/>
      <w:sz w:val="18"/>
      <w:szCs w:val="18"/>
    </w:rPr>
  </w:style>
  <w:style w:type="character" w:styleId="Hyperlink">
    <w:name w:val="Hyperlink"/>
    <w:basedOn w:val="DefaultParagraphFont"/>
    <w:uiPriority w:val="99"/>
    <w:unhideWhenUsed/>
    <w:rsid w:val="00221CC3"/>
    <w:rPr>
      <w:color w:val="0563C1" w:themeColor="hyperlink"/>
      <w:u w:val="single"/>
    </w:rPr>
  </w:style>
  <w:style w:type="table" w:styleId="ListTable7Colorful-Accent1">
    <w:name w:val="List Table 7 Colorful Accent 1"/>
    <w:basedOn w:val="TableNormal"/>
    <w:uiPriority w:val="52"/>
    <w:rsid w:val="002B3341"/>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2B3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5Dark-Accent1">
    <w:name w:val="List Table 5 Dark Accent 1"/>
    <w:basedOn w:val="TableNormal"/>
    <w:uiPriority w:val="50"/>
    <w:rsid w:val="002B334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
    <w:name w:val="List Table 3"/>
    <w:basedOn w:val="TableNormal"/>
    <w:uiPriority w:val="48"/>
    <w:rsid w:val="00B62CD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B62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D569F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5">
    <w:name w:val="Grid Table 4 Accent 5"/>
    <w:basedOn w:val="TableNormal"/>
    <w:uiPriority w:val="49"/>
    <w:rsid w:val="00C4766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C4766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724C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4C0F"/>
    <w:rPr>
      <w:sz w:val="20"/>
      <w:szCs w:val="20"/>
    </w:rPr>
  </w:style>
  <w:style w:type="character" w:styleId="FootnoteReference">
    <w:name w:val="footnote reference"/>
    <w:basedOn w:val="DefaultParagraphFont"/>
    <w:uiPriority w:val="99"/>
    <w:semiHidden/>
    <w:unhideWhenUsed/>
    <w:rsid w:val="00724C0F"/>
    <w:rPr>
      <w:vertAlign w:val="superscript"/>
    </w:rPr>
  </w:style>
  <w:style w:type="character" w:customStyle="1" w:styleId="Heading1Char">
    <w:name w:val="Heading 1 Char"/>
    <w:basedOn w:val="DefaultParagraphFont"/>
    <w:link w:val="Heading1"/>
    <w:uiPriority w:val="9"/>
    <w:rsid w:val="00B65A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54A5"/>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4B6592"/>
    <w:pPr>
      <w:spacing w:after="0" w:line="240" w:lineRule="auto"/>
    </w:pPr>
  </w:style>
  <w:style w:type="paragraph" w:styleId="TOCHeading">
    <w:name w:val="TOC Heading"/>
    <w:basedOn w:val="Heading1"/>
    <w:next w:val="Normal"/>
    <w:uiPriority w:val="39"/>
    <w:unhideWhenUsed/>
    <w:qFormat/>
    <w:rsid w:val="00712E49"/>
    <w:pPr>
      <w:outlineLvl w:val="9"/>
    </w:pPr>
  </w:style>
  <w:style w:type="paragraph" w:styleId="TOC1">
    <w:name w:val="toc 1"/>
    <w:basedOn w:val="Normal"/>
    <w:next w:val="Normal"/>
    <w:autoRedefine/>
    <w:uiPriority w:val="39"/>
    <w:unhideWhenUsed/>
    <w:rsid w:val="00712E49"/>
    <w:pPr>
      <w:spacing w:after="100"/>
    </w:pPr>
  </w:style>
  <w:style w:type="paragraph" w:styleId="TOC2">
    <w:name w:val="toc 2"/>
    <w:basedOn w:val="Normal"/>
    <w:next w:val="Normal"/>
    <w:autoRedefine/>
    <w:uiPriority w:val="39"/>
    <w:unhideWhenUsed/>
    <w:rsid w:val="00712E49"/>
    <w:pPr>
      <w:spacing w:after="100"/>
      <w:ind w:left="220"/>
    </w:pPr>
  </w:style>
  <w:style w:type="character" w:customStyle="1" w:styleId="Heading3Char">
    <w:name w:val="Heading 3 Char"/>
    <w:basedOn w:val="DefaultParagraphFont"/>
    <w:link w:val="Heading3"/>
    <w:uiPriority w:val="9"/>
    <w:rsid w:val="00C1684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16846"/>
    <w:pPr>
      <w:spacing w:after="100"/>
      <w:ind w:left="440"/>
    </w:pPr>
  </w:style>
  <w:style w:type="paragraph" w:styleId="NoSpacing">
    <w:name w:val="No Spacing"/>
    <w:link w:val="NoSpacingChar"/>
    <w:uiPriority w:val="1"/>
    <w:qFormat/>
    <w:rsid w:val="00CF46ED"/>
    <w:pPr>
      <w:spacing w:after="0" w:line="240" w:lineRule="auto"/>
    </w:pPr>
  </w:style>
  <w:style w:type="character" w:customStyle="1" w:styleId="NoSpacingChar">
    <w:name w:val="No Spacing Char"/>
    <w:basedOn w:val="DefaultParagraphFont"/>
    <w:link w:val="NoSpacing"/>
    <w:uiPriority w:val="1"/>
    <w:rsid w:val="00CF46ED"/>
  </w:style>
  <w:style w:type="character" w:customStyle="1" w:styleId="UnresolvedMention1">
    <w:name w:val="Unresolved Mention1"/>
    <w:basedOn w:val="DefaultParagraphFont"/>
    <w:uiPriority w:val="99"/>
    <w:semiHidden/>
    <w:unhideWhenUsed/>
    <w:rsid w:val="00CF46ED"/>
    <w:rPr>
      <w:color w:val="605E5C"/>
      <w:shd w:val="clear" w:color="auto" w:fill="E1DFDD"/>
    </w:rPr>
  </w:style>
  <w:style w:type="character" w:styleId="UnresolvedMention">
    <w:name w:val="Unresolved Mention"/>
    <w:basedOn w:val="DefaultParagraphFont"/>
    <w:uiPriority w:val="99"/>
    <w:semiHidden/>
    <w:unhideWhenUsed/>
    <w:rsid w:val="00B75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0920">
      <w:bodyDiv w:val="1"/>
      <w:marLeft w:val="0"/>
      <w:marRight w:val="0"/>
      <w:marTop w:val="0"/>
      <w:marBottom w:val="0"/>
      <w:divBdr>
        <w:top w:val="none" w:sz="0" w:space="0" w:color="auto"/>
        <w:left w:val="none" w:sz="0" w:space="0" w:color="auto"/>
        <w:bottom w:val="none" w:sz="0" w:space="0" w:color="auto"/>
        <w:right w:val="none" w:sz="0" w:space="0" w:color="auto"/>
      </w:divBdr>
      <w:divsChild>
        <w:div w:id="1224097220">
          <w:marLeft w:val="547"/>
          <w:marRight w:val="0"/>
          <w:marTop w:val="115"/>
          <w:marBottom w:val="0"/>
          <w:divBdr>
            <w:top w:val="none" w:sz="0" w:space="0" w:color="auto"/>
            <w:left w:val="none" w:sz="0" w:space="0" w:color="auto"/>
            <w:bottom w:val="none" w:sz="0" w:space="0" w:color="auto"/>
            <w:right w:val="none" w:sz="0" w:space="0" w:color="auto"/>
          </w:divBdr>
        </w:div>
        <w:div w:id="1834909499">
          <w:marLeft w:val="547"/>
          <w:marRight w:val="0"/>
          <w:marTop w:val="115"/>
          <w:marBottom w:val="0"/>
          <w:divBdr>
            <w:top w:val="none" w:sz="0" w:space="0" w:color="auto"/>
            <w:left w:val="none" w:sz="0" w:space="0" w:color="auto"/>
            <w:bottom w:val="none" w:sz="0" w:space="0" w:color="auto"/>
            <w:right w:val="none" w:sz="0" w:space="0" w:color="auto"/>
          </w:divBdr>
        </w:div>
        <w:div w:id="882642310">
          <w:marLeft w:val="547"/>
          <w:marRight w:val="0"/>
          <w:marTop w:val="115"/>
          <w:marBottom w:val="0"/>
          <w:divBdr>
            <w:top w:val="none" w:sz="0" w:space="0" w:color="auto"/>
            <w:left w:val="none" w:sz="0" w:space="0" w:color="auto"/>
            <w:bottom w:val="none" w:sz="0" w:space="0" w:color="auto"/>
            <w:right w:val="none" w:sz="0" w:space="0" w:color="auto"/>
          </w:divBdr>
        </w:div>
        <w:div w:id="979115779">
          <w:marLeft w:val="547"/>
          <w:marRight w:val="0"/>
          <w:marTop w:val="115"/>
          <w:marBottom w:val="0"/>
          <w:divBdr>
            <w:top w:val="none" w:sz="0" w:space="0" w:color="auto"/>
            <w:left w:val="none" w:sz="0" w:space="0" w:color="auto"/>
            <w:bottom w:val="none" w:sz="0" w:space="0" w:color="auto"/>
            <w:right w:val="none" w:sz="0" w:space="0" w:color="auto"/>
          </w:divBdr>
        </w:div>
        <w:div w:id="669062843">
          <w:marLeft w:val="547"/>
          <w:marRight w:val="0"/>
          <w:marTop w:val="115"/>
          <w:marBottom w:val="0"/>
          <w:divBdr>
            <w:top w:val="none" w:sz="0" w:space="0" w:color="auto"/>
            <w:left w:val="none" w:sz="0" w:space="0" w:color="auto"/>
            <w:bottom w:val="none" w:sz="0" w:space="0" w:color="auto"/>
            <w:right w:val="none" w:sz="0" w:space="0" w:color="auto"/>
          </w:divBdr>
        </w:div>
      </w:divsChild>
    </w:div>
    <w:div w:id="331568020">
      <w:bodyDiv w:val="1"/>
      <w:marLeft w:val="0"/>
      <w:marRight w:val="0"/>
      <w:marTop w:val="0"/>
      <w:marBottom w:val="0"/>
      <w:divBdr>
        <w:top w:val="none" w:sz="0" w:space="0" w:color="auto"/>
        <w:left w:val="none" w:sz="0" w:space="0" w:color="auto"/>
        <w:bottom w:val="none" w:sz="0" w:space="0" w:color="auto"/>
        <w:right w:val="none" w:sz="0" w:space="0" w:color="auto"/>
      </w:divBdr>
    </w:div>
    <w:div w:id="385883088">
      <w:bodyDiv w:val="1"/>
      <w:marLeft w:val="0"/>
      <w:marRight w:val="0"/>
      <w:marTop w:val="0"/>
      <w:marBottom w:val="0"/>
      <w:divBdr>
        <w:top w:val="none" w:sz="0" w:space="0" w:color="auto"/>
        <w:left w:val="none" w:sz="0" w:space="0" w:color="auto"/>
        <w:bottom w:val="none" w:sz="0" w:space="0" w:color="auto"/>
        <w:right w:val="none" w:sz="0" w:space="0" w:color="auto"/>
      </w:divBdr>
      <w:divsChild>
        <w:div w:id="1354066834">
          <w:marLeft w:val="547"/>
          <w:marRight w:val="0"/>
          <w:marTop w:val="115"/>
          <w:marBottom w:val="120"/>
          <w:divBdr>
            <w:top w:val="none" w:sz="0" w:space="0" w:color="auto"/>
            <w:left w:val="none" w:sz="0" w:space="0" w:color="auto"/>
            <w:bottom w:val="none" w:sz="0" w:space="0" w:color="auto"/>
            <w:right w:val="none" w:sz="0" w:space="0" w:color="auto"/>
          </w:divBdr>
        </w:div>
        <w:div w:id="447550958">
          <w:marLeft w:val="547"/>
          <w:marRight w:val="0"/>
          <w:marTop w:val="115"/>
          <w:marBottom w:val="120"/>
          <w:divBdr>
            <w:top w:val="none" w:sz="0" w:space="0" w:color="auto"/>
            <w:left w:val="none" w:sz="0" w:space="0" w:color="auto"/>
            <w:bottom w:val="none" w:sz="0" w:space="0" w:color="auto"/>
            <w:right w:val="none" w:sz="0" w:space="0" w:color="auto"/>
          </w:divBdr>
        </w:div>
        <w:div w:id="821233859">
          <w:marLeft w:val="547"/>
          <w:marRight w:val="0"/>
          <w:marTop w:val="115"/>
          <w:marBottom w:val="120"/>
          <w:divBdr>
            <w:top w:val="none" w:sz="0" w:space="0" w:color="auto"/>
            <w:left w:val="none" w:sz="0" w:space="0" w:color="auto"/>
            <w:bottom w:val="none" w:sz="0" w:space="0" w:color="auto"/>
            <w:right w:val="none" w:sz="0" w:space="0" w:color="auto"/>
          </w:divBdr>
        </w:div>
        <w:div w:id="1868710033">
          <w:marLeft w:val="547"/>
          <w:marRight w:val="0"/>
          <w:marTop w:val="115"/>
          <w:marBottom w:val="120"/>
          <w:divBdr>
            <w:top w:val="none" w:sz="0" w:space="0" w:color="auto"/>
            <w:left w:val="none" w:sz="0" w:space="0" w:color="auto"/>
            <w:bottom w:val="none" w:sz="0" w:space="0" w:color="auto"/>
            <w:right w:val="none" w:sz="0" w:space="0" w:color="auto"/>
          </w:divBdr>
        </w:div>
      </w:divsChild>
    </w:div>
    <w:div w:id="1122842948">
      <w:bodyDiv w:val="1"/>
      <w:marLeft w:val="0"/>
      <w:marRight w:val="0"/>
      <w:marTop w:val="0"/>
      <w:marBottom w:val="0"/>
      <w:divBdr>
        <w:top w:val="none" w:sz="0" w:space="0" w:color="auto"/>
        <w:left w:val="none" w:sz="0" w:space="0" w:color="auto"/>
        <w:bottom w:val="none" w:sz="0" w:space="0" w:color="auto"/>
        <w:right w:val="none" w:sz="0" w:space="0" w:color="auto"/>
      </w:divBdr>
    </w:div>
    <w:div w:id="1254625096">
      <w:bodyDiv w:val="1"/>
      <w:marLeft w:val="0"/>
      <w:marRight w:val="0"/>
      <w:marTop w:val="0"/>
      <w:marBottom w:val="0"/>
      <w:divBdr>
        <w:top w:val="none" w:sz="0" w:space="0" w:color="auto"/>
        <w:left w:val="none" w:sz="0" w:space="0" w:color="auto"/>
        <w:bottom w:val="none" w:sz="0" w:space="0" w:color="auto"/>
        <w:right w:val="none" w:sz="0" w:space="0" w:color="auto"/>
      </w:divBdr>
    </w:div>
    <w:div w:id="1652565781">
      <w:bodyDiv w:val="1"/>
      <w:marLeft w:val="0"/>
      <w:marRight w:val="0"/>
      <w:marTop w:val="0"/>
      <w:marBottom w:val="0"/>
      <w:divBdr>
        <w:top w:val="none" w:sz="0" w:space="0" w:color="auto"/>
        <w:left w:val="none" w:sz="0" w:space="0" w:color="auto"/>
        <w:bottom w:val="none" w:sz="0" w:space="0" w:color="auto"/>
        <w:right w:val="none" w:sz="0" w:space="0" w:color="auto"/>
      </w:divBdr>
      <w:divsChild>
        <w:div w:id="1416170687">
          <w:marLeft w:val="547"/>
          <w:marRight w:val="0"/>
          <w:marTop w:val="115"/>
          <w:marBottom w:val="120"/>
          <w:divBdr>
            <w:top w:val="none" w:sz="0" w:space="0" w:color="auto"/>
            <w:left w:val="none" w:sz="0" w:space="0" w:color="auto"/>
            <w:bottom w:val="none" w:sz="0" w:space="0" w:color="auto"/>
            <w:right w:val="none" w:sz="0" w:space="0" w:color="auto"/>
          </w:divBdr>
        </w:div>
        <w:div w:id="1610967864">
          <w:marLeft w:val="547"/>
          <w:marRight w:val="0"/>
          <w:marTop w:val="115"/>
          <w:marBottom w:val="120"/>
          <w:divBdr>
            <w:top w:val="none" w:sz="0" w:space="0" w:color="auto"/>
            <w:left w:val="none" w:sz="0" w:space="0" w:color="auto"/>
            <w:bottom w:val="none" w:sz="0" w:space="0" w:color="auto"/>
            <w:right w:val="none" w:sz="0" w:space="0" w:color="auto"/>
          </w:divBdr>
        </w:div>
        <w:div w:id="1016930953">
          <w:marLeft w:val="547"/>
          <w:marRight w:val="0"/>
          <w:marTop w:val="115"/>
          <w:marBottom w:val="120"/>
          <w:divBdr>
            <w:top w:val="none" w:sz="0" w:space="0" w:color="auto"/>
            <w:left w:val="none" w:sz="0" w:space="0" w:color="auto"/>
            <w:bottom w:val="none" w:sz="0" w:space="0" w:color="auto"/>
            <w:right w:val="none" w:sz="0" w:space="0" w:color="auto"/>
          </w:divBdr>
        </w:div>
        <w:div w:id="1589849474">
          <w:marLeft w:val="547"/>
          <w:marRight w:val="0"/>
          <w:marTop w:val="115"/>
          <w:marBottom w:val="120"/>
          <w:divBdr>
            <w:top w:val="none" w:sz="0" w:space="0" w:color="auto"/>
            <w:left w:val="none" w:sz="0" w:space="0" w:color="auto"/>
            <w:bottom w:val="none" w:sz="0" w:space="0" w:color="auto"/>
            <w:right w:val="none" w:sz="0" w:space="0" w:color="auto"/>
          </w:divBdr>
        </w:div>
      </w:divsChild>
    </w:div>
    <w:div w:id="1726223684">
      <w:bodyDiv w:val="1"/>
      <w:marLeft w:val="0"/>
      <w:marRight w:val="0"/>
      <w:marTop w:val="0"/>
      <w:marBottom w:val="0"/>
      <w:divBdr>
        <w:top w:val="none" w:sz="0" w:space="0" w:color="auto"/>
        <w:left w:val="none" w:sz="0" w:space="0" w:color="auto"/>
        <w:bottom w:val="none" w:sz="0" w:space="0" w:color="auto"/>
        <w:right w:val="none" w:sz="0" w:space="0" w:color="auto"/>
      </w:divBdr>
      <w:divsChild>
        <w:div w:id="2138713355">
          <w:marLeft w:val="720"/>
          <w:marRight w:val="0"/>
          <w:marTop w:val="106"/>
          <w:marBottom w:val="0"/>
          <w:divBdr>
            <w:top w:val="none" w:sz="0" w:space="0" w:color="auto"/>
            <w:left w:val="none" w:sz="0" w:space="0" w:color="auto"/>
            <w:bottom w:val="none" w:sz="0" w:space="0" w:color="auto"/>
            <w:right w:val="none" w:sz="0" w:space="0" w:color="auto"/>
          </w:divBdr>
        </w:div>
        <w:div w:id="117723323">
          <w:marLeft w:val="720"/>
          <w:marRight w:val="0"/>
          <w:marTop w:val="106"/>
          <w:marBottom w:val="0"/>
          <w:divBdr>
            <w:top w:val="none" w:sz="0" w:space="0" w:color="auto"/>
            <w:left w:val="none" w:sz="0" w:space="0" w:color="auto"/>
            <w:bottom w:val="none" w:sz="0" w:space="0" w:color="auto"/>
            <w:right w:val="none" w:sz="0" w:space="0" w:color="auto"/>
          </w:divBdr>
        </w:div>
        <w:div w:id="1251279074">
          <w:marLeft w:val="720"/>
          <w:marRight w:val="0"/>
          <w:marTop w:val="106"/>
          <w:marBottom w:val="0"/>
          <w:divBdr>
            <w:top w:val="none" w:sz="0" w:space="0" w:color="auto"/>
            <w:left w:val="none" w:sz="0" w:space="0" w:color="auto"/>
            <w:bottom w:val="none" w:sz="0" w:space="0" w:color="auto"/>
            <w:right w:val="none" w:sz="0" w:space="0" w:color="auto"/>
          </w:divBdr>
        </w:div>
      </w:divsChild>
    </w:div>
    <w:div w:id="1768499491">
      <w:bodyDiv w:val="1"/>
      <w:marLeft w:val="0"/>
      <w:marRight w:val="0"/>
      <w:marTop w:val="0"/>
      <w:marBottom w:val="0"/>
      <w:divBdr>
        <w:top w:val="none" w:sz="0" w:space="0" w:color="auto"/>
        <w:left w:val="none" w:sz="0" w:space="0" w:color="auto"/>
        <w:bottom w:val="none" w:sz="0" w:space="0" w:color="auto"/>
        <w:right w:val="none" w:sz="0" w:space="0" w:color="auto"/>
      </w:divBdr>
    </w:div>
    <w:div w:id="1893810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imss.org/evaluating-hit-standards" TargetMode="External"/><Relationship Id="rId18" Type="http://schemas.openxmlformats.org/officeDocument/2006/relationships/hyperlink" Target="http://fhim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fhim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imss.org/evaluating-hit-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C806B-4CBB-4D14-8A8B-320120F9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11</Pages>
  <Words>3277</Words>
  <Characters>18681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 Malik</dc:creator>
  <cp:lastModifiedBy>Brian Handspicker</cp:lastModifiedBy>
  <cp:revision>9</cp:revision>
  <cp:lastPrinted>2019-06-08T15:27:00Z</cp:lastPrinted>
  <dcterms:created xsi:type="dcterms:W3CDTF">2019-05-31T17:32:00Z</dcterms:created>
  <dcterms:modified xsi:type="dcterms:W3CDTF">2019-06-17T22:42:00Z</dcterms:modified>
</cp:coreProperties>
</file>