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bookmarkStart w:id="1" w:name="_Toc321147149" w:displacedByCustomXml="next"/>
    <w:bookmarkStart w:id="2" w:name="_Toc318188227" w:displacedByCustomXml="next"/>
    <w:bookmarkStart w:id="3" w:name="_Toc318188327" w:displacedByCustomXml="next"/>
    <w:bookmarkStart w:id="4" w:name="_Toc318189312" w:displacedByCustomXml="next"/>
    <w:bookmarkStart w:id="5" w:name="_Toc321147011" w:displacedByCustomXml="next"/>
    <w:sdt>
      <w:sdtPr>
        <w:id w:val="-1290352585"/>
        <w:docPartObj>
          <w:docPartGallery w:val="Cover Pages"/>
          <w:docPartUnique/>
        </w:docPartObj>
      </w:sdtPr>
      <w:sdtEndPr/>
      <w:sdtContent>
        <w:p w14:paraId="56A4DC09" w14:textId="35C3972C" w:rsidR="00BE381F" w:rsidRDefault="008B1537" w:rsidP="00E34094">
          <w:pPr>
            <w:pStyle w:val="ListNumber"/>
            <w:numPr>
              <w:ilvl w:val="0"/>
              <w:numId w:val="0"/>
            </w:numPr>
            <w:jc w:val="center"/>
          </w:pPr>
          <w:r>
            <w:rPr>
              <w:noProof/>
              <w:lang w:eastAsia="en-US"/>
            </w:rPr>
            <mc:AlternateContent>
              <mc:Choice Requires="wps">
                <w:drawing>
                  <wp:anchor distT="0" distB="0" distL="114300" distR="114300" simplePos="0" relativeHeight="251660288" behindDoc="0" locked="0" layoutInCell="1" allowOverlap="0" wp14:anchorId="230A9852" wp14:editId="688253AF">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CDC85F" w14:textId="39C29CE7" w:rsidR="00662F97" w:rsidRPr="00625C23" w:rsidRDefault="00B25DCE" w:rsidP="00937BED">
                                <w:pPr>
                                  <w:pStyle w:val="ContactInfo"/>
                                  <w:rPr>
                                    <w:sz w:val="32"/>
                                    <w:szCs w:val="32"/>
                                  </w:rPr>
                                </w:pPr>
                                <w:r>
                                  <w:rPr>
                                    <w:sz w:val="32"/>
                                    <w:szCs w:val="32"/>
                                  </w:rPr>
                                  <w:t>01 June 2019</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230A9852" id="_x0000_t202" coordsize="21600,21600" o:spt="202" path="m,l,21600r21600,l21600,xe">
                    <v:stroke joinstyle="miter"/>
                    <v:path gradientshapeok="t" o:connecttype="rect"/>
                  </v:shapetype>
                  <v:shape id="Text Box 20" o:spid="_x0000_s1026" type="#_x0000_t202" style="position:absolute;left:0;text-align:left;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14:paraId="7ECDC85F" w14:textId="39C29CE7" w:rsidR="00662F97" w:rsidRPr="00625C23" w:rsidRDefault="00B25DCE" w:rsidP="00937BED">
                          <w:pPr>
                            <w:pStyle w:val="ContactInfo"/>
                            <w:rPr>
                              <w:sz w:val="32"/>
                              <w:szCs w:val="32"/>
                            </w:rPr>
                          </w:pPr>
                          <w:r>
                            <w:rPr>
                              <w:sz w:val="32"/>
                              <w:szCs w:val="32"/>
                            </w:rPr>
                            <w:t>01 June 2019</w:t>
                          </w:r>
                        </w:p>
                      </w:txbxContent>
                    </v:textbox>
                    <w10:wrap type="square" anchorx="margin" anchory="margin"/>
                  </v:shape>
                </w:pict>
              </mc:Fallback>
            </mc:AlternateContent>
          </w:r>
          <w:r w:rsidR="00625C23">
            <w:rPr>
              <w:noProof/>
              <w:lang w:eastAsia="en-US"/>
            </w:rPr>
            <w:drawing>
              <wp:inline distT="0" distB="0" distL="0" distR="0" wp14:anchorId="6AD14EDE" wp14:editId="4D94FBEE">
                <wp:extent cx="2581835" cy="56866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1835" cy="568661"/>
                        </a:xfrm>
                        <a:prstGeom prst="rect">
                          <a:avLst/>
                        </a:prstGeom>
                      </pic:spPr>
                    </pic:pic>
                  </a:graphicData>
                </a:graphic>
              </wp:inline>
            </w:drawing>
          </w:r>
          <w:r w:rsidR="00625C23">
            <w:br/>
          </w:r>
          <w:r w:rsidR="00625C23">
            <w:br/>
          </w:r>
        </w:p>
        <w:p w14:paraId="0D9A2867" w14:textId="77777777" w:rsidR="00BE381F" w:rsidRDefault="00625C23" w:rsidP="00625C23">
          <w:pPr>
            <w:jc w:val="center"/>
          </w:pPr>
          <w:r>
            <w:rPr>
              <w:noProof/>
              <w:lang w:eastAsia="en-US"/>
            </w:rPr>
            <w:drawing>
              <wp:inline distT="0" distB="0" distL="0" distR="0" wp14:anchorId="6C689853" wp14:editId="60FFB0A7">
                <wp:extent cx="4148855" cy="932121"/>
                <wp:effectExtent l="0" t="0" r="4445" b="190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72077" cy="937338"/>
                        </a:xfrm>
                        <a:prstGeom prst="rect">
                          <a:avLst/>
                        </a:prstGeom>
                      </pic:spPr>
                    </pic:pic>
                  </a:graphicData>
                </a:graphic>
              </wp:inline>
            </w:drawing>
          </w:r>
          <w:r>
            <w:rPr>
              <w:noProof/>
              <w:lang w:eastAsia="en-US"/>
            </w:rPr>
            <mc:AlternateContent>
              <mc:Choice Requires="wps">
                <w:drawing>
                  <wp:anchor distT="0" distB="0" distL="114300" distR="114300" simplePos="0" relativeHeight="251661312" behindDoc="0" locked="0" layoutInCell="1" allowOverlap="0" wp14:anchorId="75B49ACE" wp14:editId="2CA3D490">
                    <wp:simplePos x="0" y="0"/>
                    <wp:positionH relativeFrom="margin">
                      <wp:align>right</wp:align>
                    </wp:positionH>
                    <wp:positionV relativeFrom="margin">
                      <wp:posOffset>3582670</wp:posOffset>
                    </wp:positionV>
                    <wp:extent cx="5480685" cy="1325880"/>
                    <wp:effectExtent l="0" t="0" r="5715" b="0"/>
                    <wp:wrapSquare wrapText="bothSides"/>
                    <wp:docPr id="21" name="Text Box 21"/>
                    <wp:cNvGraphicFramePr/>
                    <a:graphic xmlns:a="http://schemas.openxmlformats.org/drawingml/2006/main">
                      <a:graphicData uri="http://schemas.microsoft.com/office/word/2010/wordprocessingShape">
                        <wps:wsp>
                          <wps:cNvSpPr txBox="1"/>
                          <wps:spPr>
                            <a:xfrm>
                              <a:off x="0" y="0"/>
                              <a:ext cx="5480685"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DB5EE2" w14:textId="77777777" w:rsidR="00662F97" w:rsidRDefault="00B50D1E">
                                <w:pPr>
                                  <w:pStyle w:val="Title"/>
                                </w:pPr>
                                <w:sdt>
                                  <w:sdtPr>
                                    <w:alias w:val="Title"/>
                                    <w:tag w:val=""/>
                                    <w:id w:val="326016774"/>
                                    <w:dataBinding w:prefixMappings="xmlns:ns0='http://purl.org/dc/elements/1.1/' xmlns:ns1='http://schemas.openxmlformats.org/package/2006/metadata/core-properties' " w:xpath="/ns1:coreProperties[1]/ns0:title[1]" w:storeItemID="{6C3C8BC8-F283-45AE-878A-BAB7291924A1}"/>
                                    <w:text/>
                                  </w:sdtPr>
                                  <w:sdtEndPr/>
                                  <w:sdtContent>
                                    <w:r w:rsidR="00662F97">
                                      <w:t>Military Operations Domain &amp; Data and Services Division Technical Support                   Plan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5B49ACE" id="Text Box 21" o:spid="_x0000_s1027" type="#_x0000_t202" style="position:absolute;left:0;text-align:left;margin-left:380.35pt;margin-top:282.1pt;width:431.55pt;height:104.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" o:allowoverlap="f" filled="f" stroked="f" strokeweight=".5pt">
                    <v:textbox style="mso-fit-shape-to-text:t" inset="0,0,0,0">
                      <w:txbxContent>
                        <w:p w14:paraId="34DB5EE2" w14:textId="77777777" w:rsidR="00662F97" w:rsidRDefault="00B25008">
                          <w:pPr>
                            <w:pStyle w:val="Title"/>
                          </w:pPr>
                          <w:sdt>
                            <w:sdtPr>
                              <w:alias w:val="Title"/>
                              <w:tag w:val=""/>
                              <w:id w:val="326016774"/>
                              <w:dataBinding w:prefixMappings="xmlns:ns0='http://purl.org/dc/elements/1.1/' xmlns:ns1='http://schemas.openxmlformats.org/package/2006/metadata/core-properties' " w:xpath="/ns1:coreProperties[1]/ns0:title[1]" w:storeItemID="{6C3C8BC8-F283-45AE-878A-BAB7291924A1}"/>
                              <w:text/>
                            </w:sdtPr>
                            <w:sdtEndPr/>
                            <w:sdtContent>
                              <w:r w:rsidR="00662F97">
                                <w:t>Military Operations Domain &amp; Data and Services Division Technical Support                   Plan</w:t>
                              </w:r>
                            </w:sdtContent>
                          </w:sdt>
                        </w:p>
                      </w:txbxContent>
                    </v:textbox>
                    <w10:wrap type="square" anchorx="margin" anchory="margin"/>
                  </v:shape>
                </w:pict>
              </mc:Fallback>
            </mc:AlternateContent>
          </w:r>
          <w:r w:rsidR="008B1537">
            <w:br w:type="page"/>
          </w:r>
        </w:p>
      </w:sdtContent>
    </w:sdt>
    <w:bookmarkEnd w:id="1" w:displacedByCustomXml="next"/>
    <w:bookmarkEnd w:id="2" w:displacedByCustomXml="next"/>
    <w:bookmarkEnd w:id="3" w:displacedByCustomXml="next"/>
    <w:bookmarkEnd w:id="4" w:displacedByCustomXml="next"/>
    <w:bookmarkEnd w:id="5" w:displacedByCustomXml="next"/>
    <w:sdt>
      <w:sdtPr>
        <w:rPr>
          <w:rFonts w:asciiTheme="minorHAnsi" w:eastAsiaTheme="minorHAnsi" w:hAnsiTheme="minorHAnsi" w:cstheme="minorBidi"/>
          <w:color w:val="595959" w:themeColor="text1" w:themeTint="A6"/>
          <w:sz w:val="22"/>
        </w:rPr>
        <w:id w:val="-2072565794"/>
        <w:docPartObj>
          <w:docPartGallery w:val="Table of Contents"/>
          <w:docPartUnique/>
        </w:docPartObj>
      </w:sdtPr>
      <w:sdtEndPr>
        <w:rPr>
          <w:b/>
          <w:bCs/>
          <w:noProof/>
        </w:rPr>
      </w:sdtEndPr>
      <w:sdtContent>
        <w:p w14:paraId="6E0CB6CE" w14:textId="77777777" w:rsidR="00F85F3A" w:rsidRDefault="00F85F3A">
          <w:pPr>
            <w:pStyle w:val="TOCHeading"/>
          </w:pPr>
          <w:r>
            <w:t>Contents</w:t>
          </w:r>
        </w:p>
        <w:p w14:paraId="31953B95" w14:textId="270A588E" w:rsidR="00B25DCE" w:rsidRDefault="00F85F3A">
          <w:pPr>
            <w:pStyle w:val="TOC1"/>
            <w:tabs>
              <w:tab w:val="right" w:leader="dot" w:pos="9350"/>
            </w:tabs>
            <w:rPr>
              <w:rFonts w:eastAsiaTheme="minorEastAsia"/>
              <w:noProof/>
              <w:color w:val="auto"/>
              <w:szCs w:val="22"/>
              <w:lang w:eastAsia="en-US"/>
            </w:rPr>
          </w:pPr>
          <w:r>
            <w:fldChar w:fldCharType="begin"/>
          </w:r>
          <w:r>
            <w:instrText xml:space="preserve"> TOC \o "1-3" \h \z \u </w:instrText>
          </w:r>
          <w:r>
            <w:fldChar w:fldCharType="separate"/>
          </w:r>
          <w:hyperlink w:anchor="_Toc12952921" w:history="1">
            <w:r w:rsidR="00B25DCE" w:rsidRPr="00F53F5F">
              <w:rPr>
                <w:rStyle w:val="Hyperlink"/>
                <w:noProof/>
              </w:rPr>
              <w:t>Purpose</w:t>
            </w:r>
            <w:r w:rsidR="00B25DCE">
              <w:rPr>
                <w:noProof/>
                <w:webHidden/>
              </w:rPr>
              <w:tab/>
            </w:r>
            <w:r w:rsidR="00B25DCE">
              <w:rPr>
                <w:noProof/>
                <w:webHidden/>
              </w:rPr>
              <w:fldChar w:fldCharType="begin"/>
            </w:r>
            <w:r w:rsidR="00B25DCE">
              <w:rPr>
                <w:noProof/>
                <w:webHidden/>
              </w:rPr>
              <w:instrText xml:space="preserve"> PAGEREF _Toc12952921 \h </w:instrText>
            </w:r>
            <w:r w:rsidR="00B25DCE">
              <w:rPr>
                <w:noProof/>
                <w:webHidden/>
              </w:rPr>
            </w:r>
            <w:r w:rsidR="00B25DCE">
              <w:rPr>
                <w:noProof/>
                <w:webHidden/>
              </w:rPr>
              <w:fldChar w:fldCharType="separate"/>
            </w:r>
            <w:r w:rsidR="00B25DCE">
              <w:rPr>
                <w:noProof/>
                <w:webHidden/>
              </w:rPr>
              <w:t>1</w:t>
            </w:r>
            <w:r w:rsidR="00B25DCE">
              <w:rPr>
                <w:noProof/>
                <w:webHidden/>
              </w:rPr>
              <w:fldChar w:fldCharType="end"/>
            </w:r>
          </w:hyperlink>
        </w:p>
        <w:p w14:paraId="451B8DFB" w14:textId="1526AAA9" w:rsidR="00B25DCE" w:rsidRDefault="00B50D1E">
          <w:pPr>
            <w:pStyle w:val="TOC1"/>
            <w:tabs>
              <w:tab w:val="right" w:leader="dot" w:pos="9350"/>
            </w:tabs>
            <w:rPr>
              <w:rFonts w:eastAsiaTheme="minorEastAsia"/>
              <w:noProof/>
              <w:color w:val="auto"/>
              <w:szCs w:val="22"/>
              <w:lang w:eastAsia="en-US"/>
            </w:rPr>
          </w:pPr>
          <w:hyperlink w:anchor="_Toc12952922" w:history="1">
            <w:r w:rsidR="00B25DCE" w:rsidRPr="00F53F5F">
              <w:rPr>
                <w:rStyle w:val="Hyperlink"/>
                <w:noProof/>
              </w:rPr>
              <w:t>Overview</w:t>
            </w:r>
            <w:r w:rsidR="00B25DCE">
              <w:rPr>
                <w:noProof/>
                <w:webHidden/>
              </w:rPr>
              <w:tab/>
            </w:r>
            <w:r w:rsidR="00B25DCE">
              <w:rPr>
                <w:noProof/>
                <w:webHidden/>
              </w:rPr>
              <w:fldChar w:fldCharType="begin"/>
            </w:r>
            <w:r w:rsidR="00B25DCE">
              <w:rPr>
                <w:noProof/>
                <w:webHidden/>
              </w:rPr>
              <w:instrText xml:space="preserve"> PAGEREF _Toc12952922 \h </w:instrText>
            </w:r>
            <w:r w:rsidR="00B25DCE">
              <w:rPr>
                <w:noProof/>
                <w:webHidden/>
              </w:rPr>
            </w:r>
            <w:r w:rsidR="00B25DCE">
              <w:rPr>
                <w:noProof/>
                <w:webHidden/>
              </w:rPr>
              <w:fldChar w:fldCharType="separate"/>
            </w:r>
            <w:r w:rsidR="00B25DCE">
              <w:rPr>
                <w:noProof/>
                <w:webHidden/>
              </w:rPr>
              <w:t>1</w:t>
            </w:r>
            <w:r w:rsidR="00B25DCE">
              <w:rPr>
                <w:noProof/>
                <w:webHidden/>
              </w:rPr>
              <w:fldChar w:fldCharType="end"/>
            </w:r>
          </w:hyperlink>
        </w:p>
        <w:p w14:paraId="4D22C1A1" w14:textId="060F5784" w:rsidR="00B25DCE" w:rsidRDefault="00B50D1E">
          <w:pPr>
            <w:pStyle w:val="TOC1"/>
            <w:tabs>
              <w:tab w:val="right" w:leader="dot" w:pos="9350"/>
            </w:tabs>
            <w:rPr>
              <w:rFonts w:eastAsiaTheme="minorEastAsia"/>
              <w:noProof/>
              <w:color w:val="auto"/>
              <w:szCs w:val="22"/>
              <w:lang w:eastAsia="en-US"/>
            </w:rPr>
          </w:pPr>
          <w:hyperlink w:anchor="_Toc12952923" w:history="1">
            <w:r w:rsidR="00B25DCE" w:rsidRPr="00F53F5F">
              <w:rPr>
                <w:rStyle w:val="Hyperlink"/>
                <w:noProof/>
              </w:rPr>
              <w:t>Model Management</w:t>
            </w:r>
            <w:r w:rsidR="00B25DCE">
              <w:rPr>
                <w:noProof/>
                <w:webHidden/>
              </w:rPr>
              <w:tab/>
            </w:r>
            <w:r w:rsidR="00B25DCE">
              <w:rPr>
                <w:noProof/>
                <w:webHidden/>
              </w:rPr>
              <w:fldChar w:fldCharType="begin"/>
            </w:r>
            <w:r w:rsidR="00B25DCE">
              <w:rPr>
                <w:noProof/>
                <w:webHidden/>
              </w:rPr>
              <w:instrText xml:space="preserve"> PAGEREF _Toc12952923 \h </w:instrText>
            </w:r>
            <w:r w:rsidR="00B25DCE">
              <w:rPr>
                <w:noProof/>
                <w:webHidden/>
              </w:rPr>
            </w:r>
            <w:r w:rsidR="00B25DCE">
              <w:rPr>
                <w:noProof/>
                <w:webHidden/>
              </w:rPr>
              <w:fldChar w:fldCharType="separate"/>
            </w:r>
            <w:r w:rsidR="00B25DCE">
              <w:rPr>
                <w:noProof/>
                <w:webHidden/>
              </w:rPr>
              <w:t>1</w:t>
            </w:r>
            <w:r w:rsidR="00B25DCE">
              <w:rPr>
                <w:noProof/>
                <w:webHidden/>
              </w:rPr>
              <w:fldChar w:fldCharType="end"/>
            </w:r>
          </w:hyperlink>
        </w:p>
        <w:p w14:paraId="496B2976" w14:textId="4C49DC83" w:rsidR="00B25DCE" w:rsidRDefault="00B50D1E">
          <w:pPr>
            <w:pStyle w:val="TOC1"/>
            <w:tabs>
              <w:tab w:val="right" w:leader="dot" w:pos="9350"/>
            </w:tabs>
            <w:rPr>
              <w:rFonts w:eastAsiaTheme="minorEastAsia"/>
              <w:noProof/>
              <w:color w:val="auto"/>
              <w:szCs w:val="22"/>
              <w:lang w:eastAsia="en-US"/>
            </w:rPr>
          </w:pPr>
          <w:hyperlink w:anchor="_Toc12952924" w:history="1">
            <w:r w:rsidR="00B25DCE" w:rsidRPr="00F53F5F">
              <w:rPr>
                <w:rStyle w:val="Hyperlink"/>
                <w:noProof/>
              </w:rPr>
              <w:t>Activity Plan</w:t>
            </w:r>
            <w:r w:rsidR="00B25DCE">
              <w:rPr>
                <w:noProof/>
                <w:webHidden/>
              </w:rPr>
              <w:tab/>
            </w:r>
            <w:r w:rsidR="00B25DCE">
              <w:rPr>
                <w:noProof/>
                <w:webHidden/>
              </w:rPr>
              <w:fldChar w:fldCharType="begin"/>
            </w:r>
            <w:r w:rsidR="00B25DCE">
              <w:rPr>
                <w:noProof/>
                <w:webHidden/>
              </w:rPr>
              <w:instrText xml:space="preserve"> PAGEREF _Toc12952924 \h </w:instrText>
            </w:r>
            <w:r w:rsidR="00B25DCE">
              <w:rPr>
                <w:noProof/>
                <w:webHidden/>
              </w:rPr>
            </w:r>
            <w:r w:rsidR="00B25DCE">
              <w:rPr>
                <w:noProof/>
                <w:webHidden/>
              </w:rPr>
              <w:fldChar w:fldCharType="separate"/>
            </w:r>
            <w:r w:rsidR="00B25DCE">
              <w:rPr>
                <w:noProof/>
                <w:webHidden/>
              </w:rPr>
              <w:t>3</w:t>
            </w:r>
            <w:r w:rsidR="00B25DCE">
              <w:rPr>
                <w:noProof/>
                <w:webHidden/>
              </w:rPr>
              <w:fldChar w:fldCharType="end"/>
            </w:r>
          </w:hyperlink>
        </w:p>
        <w:p w14:paraId="2F2263E4" w14:textId="71ADC56B" w:rsidR="00B25DCE" w:rsidRDefault="00B50D1E">
          <w:pPr>
            <w:pStyle w:val="TOC1"/>
            <w:tabs>
              <w:tab w:val="right" w:leader="dot" w:pos="9350"/>
            </w:tabs>
            <w:rPr>
              <w:rFonts w:eastAsiaTheme="minorEastAsia"/>
              <w:noProof/>
              <w:color w:val="auto"/>
              <w:szCs w:val="22"/>
              <w:lang w:eastAsia="en-US"/>
            </w:rPr>
          </w:pPr>
          <w:hyperlink w:anchor="_Toc12952925" w:history="1">
            <w:r w:rsidR="00B25DCE" w:rsidRPr="00F53F5F">
              <w:rPr>
                <w:rStyle w:val="Hyperlink"/>
                <w:noProof/>
              </w:rPr>
              <w:t>Planned Activities</w:t>
            </w:r>
            <w:r w:rsidR="00B25DCE">
              <w:rPr>
                <w:noProof/>
                <w:webHidden/>
              </w:rPr>
              <w:tab/>
            </w:r>
            <w:r w:rsidR="00B25DCE">
              <w:rPr>
                <w:noProof/>
                <w:webHidden/>
              </w:rPr>
              <w:fldChar w:fldCharType="begin"/>
            </w:r>
            <w:r w:rsidR="00B25DCE">
              <w:rPr>
                <w:noProof/>
                <w:webHidden/>
              </w:rPr>
              <w:instrText xml:space="preserve"> PAGEREF _Toc12952925 \h </w:instrText>
            </w:r>
            <w:r w:rsidR="00B25DCE">
              <w:rPr>
                <w:noProof/>
                <w:webHidden/>
              </w:rPr>
            </w:r>
            <w:r w:rsidR="00B25DCE">
              <w:rPr>
                <w:noProof/>
                <w:webHidden/>
              </w:rPr>
              <w:fldChar w:fldCharType="separate"/>
            </w:r>
            <w:r w:rsidR="00B25DCE">
              <w:rPr>
                <w:noProof/>
                <w:webHidden/>
              </w:rPr>
              <w:t>4</w:t>
            </w:r>
            <w:r w:rsidR="00B25DCE">
              <w:rPr>
                <w:noProof/>
                <w:webHidden/>
              </w:rPr>
              <w:fldChar w:fldCharType="end"/>
            </w:r>
          </w:hyperlink>
        </w:p>
        <w:p w14:paraId="555EFB5E" w14:textId="39E72D53" w:rsidR="00B25DCE" w:rsidRDefault="00B50D1E">
          <w:pPr>
            <w:pStyle w:val="TOC2"/>
            <w:tabs>
              <w:tab w:val="left" w:pos="660"/>
              <w:tab w:val="right" w:leader="dot" w:pos="9350"/>
            </w:tabs>
            <w:rPr>
              <w:rFonts w:eastAsiaTheme="minorEastAsia"/>
              <w:noProof/>
              <w:color w:val="auto"/>
              <w:szCs w:val="22"/>
              <w:lang w:eastAsia="en-US"/>
            </w:rPr>
          </w:pPr>
          <w:hyperlink w:anchor="_Toc12952926" w:history="1">
            <w:r w:rsidR="00B25DCE" w:rsidRPr="00F53F5F">
              <w:rPr>
                <w:rStyle w:val="Hyperlink"/>
                <w:rFonts w:ascii="Symbol" w:hAnsi="Symbol"/>
                <w:noProof/>
              </w:rPr>
              <w:t></w:t>
            </w:r>
            <w:r w:rsidR="00B25DCE">
              <w:rPr>
                <w:rFonts w:eastAsiaTheme="minorEastAsia"/>
                <w:noProof/>
                <w:color w:val="auto"/>
                <w:szCs w:val="22"/>
                <w:lang w:eastAsia="en-US"/>
              </w:rPr>
              <w:tab/>
            </w:r>
            <w:r w:rsidR="00B25DCE" w:rsidRPr="00F53F5F">
              <w:rPr>
                <w:rStyle w:val="Hyperlink"/>
                <w:noProof/>
              </w:rPr>
              <w:t>Configuration Control Board</w:t>
            </w:r>
            <w:r w:rsidR="00B25DCE">
              <w:rPr>
                <w:noProof/>
                <w:webHidden/>
              </w:rPr>
              <w:tab/>
            </w:r>
            <w:r w:rsidR="00B25DCE">
              <w:rPr>
                <w:noProof/>
                <w:webHidden/>
              </w:rPr>
              <w:fldChar w:fldCharType="begin"/>
            </w:r>
            <w:r w:rsidR="00B25DCE">
              <w:rPr>
                <w:noProof/>
                <w:webHidden/>
              </w:rPr>
              <w:instrText xml:space="preserve"> PAGEREF _Toc12952926 \h </w:instrText>
            </w:r>
            <w:r w:rsidR="00B25DCE">
              <w:rPr>
                <w:noProof/>
                <w:webHidden/>
              </w:rPr>
            </w:r>
            <w:r w:rsidR="00B25DCE">
              <w:rPr>
                <w:noProof/>
                <w:webHidden/>
              </w:rPr>
              <w:fldChar w:fldCharType="separate"/>
            </w:r>
            <w:r w:rsidR="00B25DCE">
              <w:rPr>
                <w:noProof/>
                <w:webHidden/>
              </w:rPr>
              <w:t>4</w:t>
            </w:r>
            <w:r w:rsidR="00B25DCE">
              <w:rPr>
                <w:noProof/>
                <w:webHidden/>
              </w:rPr>
              <w:fldChar w:fldCharType="end"/>
            </w:r>
          </w:hyperlink>
        </w:p>
        <w:p w14:paraId="37DE2150" w14:textId="4A700924" w:rsidR="00B25DCE" w:rsidRDefault="00B50D1E">
          <w:pPr>
            <w:pStyle w:val="TOC2"/>
            <w:tabs>
              <w:tab w:val="left" w:pos="660"/>
              <w:tab w:val="right" w:leader="dot" w:pos="9350"/>
            </w:tabs>
            <w:rPr>
              <w:rFonts w:eastAsiaTheme="minorEastAsia"/>
              <w:noProof/>
              <w:color w:val="auto"/>
              <w:szCs w:val="22"/>
              <w:lang w:eastAsia="en-US"/>
            </w:rPr>
          </w:pPr>
          <w:hyperlink w:anchor="_Toc12952927" w:history="1">
            <w:r w:rsidR="00B25DCE" w:rsidRPr="00F53F5F">
              <w:rPr>
                <w:rStyle w:val="Hyperlink"/>
                <w:rFonts w:ascii="Symbol" w:hAnsi="Symbol"/>
                <w:noProof/>
              </w:rPr>
              <w:t></w:t>
            </w:r>
            <w:r w:rsidR="00B25DCE">
              <w:rPr>
                <w:rFonts w:eastAsiaTheme="minorEastAsia"/>
                <w:noProof/>
                <w:color w:val="auto"/>
                <w:szCs w:val="22"/>
                <w:lang w:eastAsia="en-US"/>
              </w:rPr>
              <w:tab/>
            </w:r>
            <w:r w:rsidR="00B25DCE" w:rsidRPr="00F53F5F">
              <w:rPr>
                <w:rStyle w:val="Hyperlink"/>
                <w:noProof/>
              </w:rPr>
              <w:t>Change Request/Impact and Solutions Assessment/Technical Design Review Process</w:t>
            </w:r>
            <w:r w:rsidR="00B25DCE">
              <w:rPr>
                <w:noProof/>
                <w:webHidden/>
              </w:rPr>
              <w:tab/>
            </w:r>
            <w:r w:rsidR="00B25DCE">
              <w:rPr>
                <w:noProof/>
                <w:webHidden/>
              </w:rPr>
              <w:fldChar w:fldCharType="begin"/>
            </w:r>
            <w:r w:rsidR="00B25DCE">
              <w:rPr>
                <w:noProof/>
                <w:webHidden/>
              </w:rPr>
              <w:instrText xml:space="preserve"> PAGEREF _Toc12952927 \h </w:instrText>
            </w:r>
            <w:r w:rsidR="00B25DCE">
              <w:rPr>
                <w:noProof/>
                <w:webHidden/>
              </w:rPr>
            </w:r>
            <w:r w:rsidR="00B25DCE">
              <w:rPr>
                <w:noProof/>
                <w:webHidden/>
              </w:rPr>
              <w:fldChar w:fldCharType="separate"/>
            </w:r>
            <w:r w:rsidR="00B25DCE">
              <w:rPr>
                <w:noProof/>
                <w:webHidden/>
              </w:rPr>
              <w:t>5</w:t>
            </w:r>
            <w:r w:rsidR="00B25DCE">
              <w:rPr>
                <w:noProof/>
                <w:webHidden/>
              </w:rPr>
              <w:fldChar w:fldCharType="end"/>
            </w:r>
          </w:hyperlink>
        </w:p>
        <w:p w14:paraId="29B1ED5E" w14:textId="4EFBEBE3" w:rsidR="00F85F3A" w:rsidRDefault="00F85F3A">
          <w:r>
            <w:rPr>
              <w:b/>
              <w:bCs/>
              <w:noProof/>
            </w:rPr>
            <w:fldChar w:fldCharType="end"/>
          </w:r>
        </w:p>
      </w:sdtContent>
    </w:sdt>
    <w:p w14:paraId="5A7E78FE" w14:textId="77777777" w:rsidR="005409CB" w:rsidRDefault="005409CB">
      <w:pPr>
        <w:rPr>
          <w:rStyle w:val="Heading1Char"/>
        </w:rPr>
      </w:pPr>
    </w:p>
    <w:p w14:paraId="40F48FAD" w14:textId="08235741" w:rsidR="005409CB" w:rsidRDefault="005409CB">
      <w:pPr>
        <w:rPr>
          <w:rStyle w:val="Heading1Char"/>
        </w:rPr>
      </w:pPr>
    </w:p>
    <w:p w14:paraId="4ED71C7F" w14:textId="77777777" w:rsidR="00794CCE" w:rsidRDefault="00794CCE">
      <w:pPr>
        <w:rPr>
          <w:rStyle w:val="Heading1Char"/>
        </w:rPr>
      </w:pPr>
    </w:p>
    <w:p w14:paraId="1DBD31D6" w14:textId="77777777" w:rsidR="00877F74" w:rsidRDefault="00877F74">
      <w:pPr>
        <w:rPr>
          <w:rStyle w:val="Heading1Char"/>
        </w:rPr>
        <w:sectPr w:rsidR="00877F74" w:rsidSect="0081107E">
          <w:footerReference w:type="default" r:id="rId12"/>
          <w:pgSz w:w="12240" w:h="15840"/>
          <w:pgMar w:top="1440" w:right="1440" w:bottom="1152" w:left="1440" w:header="720" w:footer="720" w:gutter="0"/>
          <w:pgNumType w:fmt="lowerRoman" w:start="0"/>
          <w:cols w:space="720"/>
          <w:titlePg/>
          <w:docGrid w:linePitch="360"/>
        </w:sectPr>
      </w:pPr>
    </w:p>
    <w:p w14:paraId="7E2DA5B2" w14:textId="77777777" w:rsidR="00BE381F" w:rsidRDefault="002A08D3" w:rsidP="006715C6">
      <w:pPr>
        <w:pStyle w:val="Heading1"/>
        <w:spacing w:after="120" w:line="240" w:lineRule="auto"/>
        <w:rPr>
          <w:rStyle w:val="Heading1Char"/>
        </w:rPr>
      </w:pPr>
      <w:bookmarkStart w:id="6" w:name="_Toc12952921"/>
      <w:r>
        <w:rPr>
          <w:rStyle w:val="Heading1Char"/>
        </w:rPr>
        <w:lastRenderedPageBreak/>
        <w:t>Purpose</w:t>
      </w:r>
      <w:bookmarkEnd w:id="6"/>
    </w:p>
    <w:p w14:paraId="383A9E64" w14:textId="77777777" w:rsidR="002A08D3" w:rsidRDefault="002A08D3" w:rsidP="00EB1586">
      <w:pPr>
        <w:spacing w:after="120" w:line="240" w:lineRule="auto"/>
        <w:jc w:val="both"/>
      </w:pPr>
      <w:r>
        <w:t xml:space="preserve">This document contains a plan of action and </w:t>
      </w:r>
      <w:r w:rsidR="00D83236">
        <w:t>milestones</w:t>
      </w:r>
      <w:r>
        <w:t xml:space="preserve"> for the National Information Exchange Model (NIEM) Military Operations (</w:t>
      </w:r>
      <w:proofErr w:type="spellStart"/>
      <w:r>
        <w:t>MilOps</w:t>
      </w:r>
      <w:proofErr w:type="spellEnd"/>
      <w:r>
        <w:t xml:space="preserve">) Domain </w:t>
      </w:r>
      <w:r w:rsidR="00D83236">
        <w:t>model management and technical support to Joint Staff J6, Deputy Director for C5 Integration, Data and Services Division (JS J6 DDC5I DSD)</w:t>
      </w:r>
      <w:r>
        <w:t xml:space="preserve">. </w:t>
      </w:r>
    </w:p>
    <w:p w14:paraId="3BDB3E91" w14:textId="77777777" w:rsidR="002A08D3" w:rsidRDefault="002A08D3" w:rsidP="0053093F">
      <w:pPr>
        <w:pStyle w:val="Heading1"/>
        <w:spacing w:before="240" w:after="120" w:line="240" w:lineRule="auto"/>
      </w:pPr>
      <w:bookmarkStart w:id="7" w:name="_Toc12952922"/>
      <w:r>
        <w:t>Overview</w:t>
      </w:r>
      <w:bookmarkEnd w:id="7"/>
    </w:p>
    <w:p w14:paraId="64FC0B27" w14:textId="77777777" w:rsidR="002A08D3" w:rsidRDefault="002A08D3" w:rsidP="00EB1586">
      <w:pPr>
        <w:spacing w:after="120" w:line="240" w:lineRule="auto"/>
        <w:jc w:val="both"/>
      </w:pPr>
      <w:r>
        <w:t xml:space="preserve">The material in this document is organized into </w:t>
      </w:r>
      <w:r w:rsidR="00F968C9">
        <w:t>two</w:t>
      </w:r>
      <w:r>
        <w:t xml:space="preserve"> sections:  </w:t>
      </w:r>
      <w:r w:rsidR="00120B13">
        <w:t>model management</w:t>
      </w:r>
      <w:r w:rsidR="006715C6">
        <w:t xml:space="preserve">, and </w:t>
      </w:r>
      <w:r w:rsidR="00A54CAB">
        <w:t>planned activities</w:t>
      </w:r>
      <w:r>
        <w:t xml:space="preserve">. </w:t>
      </w:r>
      <w:r w:rsidR="00B717CB">
        <w:t xml:space="preserve"> This material is generated from a GTRI perspective.  As such, the material provided herein was not intended or designed to convey a complete plan of action and milestones (POA&amp;M) for each line of activity.  Rather it was designed to convey the NIEM </w:t>
      </w:r>
      <w:proofErr w:type="spellStart"/>
      <w:r w:rsidR="00B717CB">
        <w:t>MilOps</w:t>
      </w:r>
      <w:proofErr w:type="spellEnd"/>
      <w:r w:rsidR="00B717CB">
        <w:t xml:space="preserve"> support to that activity.  For more information, please contact the appropriate POC listed for each activity.   </w:t>
      </w:r>
    </w:p>
    <w:p w14:paraId="3444C623" w14:textId="78D6C181" w:rsidR="00B75225" w:rsidRDefault="006715C6" w:rsidP="0053093F">
      <w:pPr>
        <w:pStyle w:val="Heading1"/>
        <w:spacing w:before="240" w:after="120" w:line="240" w:lineRule="auto"/>
      </w:pPr>
      <w:bookmarkStart w:id="8" w:name="_Toc12952923"/>
      <w:r>
        <w:t>Model Management</w:t>
      </w:r>
      <w:bookmarkEnd w:id="8"/>
    </w:p>
    <w:p w14:paraId="4D7206EE" w14:textId="77777777" w:rsidR="003960E7" w:rsidRDefault="006715C6" w:rsidP="00EB1586">
      <w:pPr>
        <w:spacing w:after="120" w:line="240" w:lineRule="auto"/>
        <w:jc w:val="both"/>
      </w:pPr>
      <w:r w:rsidRPr="006715C6">
        <w:t xml:space="preserve">Configuration Management (CM) of the </w:t>
      </w:r>
      <w:proofErr w:type="spellStart"/>
      <w:r w:rsidRPr="006715C6">
        <w:t>MilOps</w:t>
      </w:r>
      <w:proofErr w:type="spellEnd"/>
      <w:r w:rsidRPr="006715C6">
        <w:t xml:space="preserve"> Domain data model is unique because the distributed approach to governance employed by NIEM requires synchronization among multiple governance and CM activities. This coordination demands a familiarity and in-depth technical understanding of NIEM, as well as data and messaging standards used by the Department, and its external partners (e.g., NATO, international, federal, state, local and tribal) organizations. </w:t>
      </w:r>
    </w:p>
    <w:p w14:paraId="2A80A69D" w14:textId="77777777" w:rsidR="00590604" w:rsidRDefault="00590604" w:rsidP="00EB1586">
      <w:pPr>
        <w:spacing w:after="120" w:line="240" w:lineRule="auto"/>
        <w:jc w:val="both"/>
      </w:pPr>
      <w:r w:rsidRPr="00590604">
        <w:t xml:space="preserve">Like all of the other NIEM Domains, </w:t>
      </w:r>
      <w:proofErr w:type="spellStart"/>
      <w:r w:rsidRPr="00590604">
        <w:t>MilOps</w:t>
      </w:r>
      <w:proofErr w:type="spellEnd"/>
      <w:r w:rsidRPr="00590604">
        <w:t xml:space="preserve"> is independently governed and configuration managed under the broader umbrella of NIEM governance. The </w:t>
      </w:r>
      <w:proofErr w:type="spellStart"/>
      <w:r w:rsidRPr="00590604">
        <w:t>MilOps</w:t>
      </w:r>
      <w:proofErr w:type="spellEnd"/>
      <w:r w:rsidRPr="00590604">
        <w:t xml:space="preserve"> data model is an instantiation of the NIEM technical framework, and its public content is published as a harmonized and integral part of every NIEM release. </w:t>
      </w:r>
      <w:proofErr w:type="spellStart"/>
      <w:r w:rsidRPr="00590604">
        <w:t>MilOps</w:t>
      </w:r>
      <w:proofErr w:type="spellEnd"/>
      <w:r w:rsidRPr="00590604">
        <w:t xml:space="preserve"> non-public content is published to DoD controlled networks along with the public NIEM content immediately following a formal NIEM release. </w:t>
      </w:r>
    </w:p>
    <w:p w14:paraId="248499D2" w14:textId="77777777" w:rsidR="003960E7" w:rsidRDefault="003960E7" w:rsidP="00EB1586">
      <w:pPr>
        <w:spacing w:after="120" w:line="240" w:lineRule="auto"/>
        <w:jc w:val="both"/>
      </w:pPr>
      <w:r>
        <w:t xml:space="preserve">The key documents </w:t>
      </w:r>
      <w:r w:rsidR="000870BF">
        <w:t xml:space="preserve">describing the </w:t>
      </w:r>
      <w:proofErr w:type="spellStart"/>
      <w:r w:rsidR="000870BF">
        <w:t>MilOps</w:t>
      </w:r>
      <w:proofErr w:type="spellEnd"/>
      <w:r w:rsidR="000870BF">
        <w:t xml:space="preserve"> Domain scope, governance and supporting processes</w:t>
      </w:r>
      <w:r>
        <w:t xml:space="preserve"> include</w:t>
      </w:r>
      <w:r w:rsidR="000870BF">
        <w:t xml:space="preserve"> the</w:t>
      </w:r>
      <w:r>
        <w:t>:</w:t>
      </w:r>
    </w:p>
    <w:p w14:paraId="0E0DDD64" w14:textId="77777777" w:rsidR="003960E7" w:rsidRDefault="003960E7" w:rsidP="003960E7">
      <w:pPr>
        <w:pStyle w:val="ListParagraph"/>
        <w:numPr>
          <w:ilvl w:val="0"/>
          <w:numId w:val="9"/>
        </w:numPr>
        <w:spacing w:after="120" w:line="240" w:lineRule="auto"/>
      </w:pPr>
      <w:proofErr w:type="spellStart"/>
      <w:r>
        <w:t>MilOps</w:t>
      </w:r>
      <w:proofErr w:type="spellEnd"/>
      <w:r>
        <w:t xml:space="preserve"> Domain Value Proposition</w:t>
      </w:r>
    </w:p>
    <w:p w14:paraId="44F2FF79" w14:textId="77777777" w:rsidR="003960E7" w:rsidRDefault="003960E7" w:rsidP="003960E7">
      <w:pPr>
        <w:pStyle w:val="ListParagraph"/>
        <w:numPr>
          <w:ilvl w:val="0"/>
          <w:numId w:val="9"/>
        </w:numPr>
        <w:spacing w:after="120" w:line="240" w:lineRule="auto"/>
      </w:pPr>
      <w:proofErr w:type="spellStart"/>
      <w:r>
        <w:t>MilOps</w:t>
      </w:r>
      <w:proofErr w:type="spellEnd"/>
      <w:r>
        <w:t xml:space="preserve"> Domain Scope Summary</w:t>
      </w:r>
    </w:p>
    <w:p w14:paraId="393F9D00" w14:textId="77777777" w:rsidR="003960E7" w:rsidRDefault="003960E7" w:rsidP="003960E7">
      <w:pPr>
        <w:pStyle w:val="ListParagraph"/>
        <w:numPr>
          <w:ilvl w:val="0"/>
          <w:numId w:val="9"/>
        </w:numPr>
        <w:spacing w:after="120" w:line="240" w:lineRule="auto"/>
      </w:pPr>
      <w:r>
        <w:t xml:space="preserve">NIEM </w:t>
      </w:r>
      <w:proofErr w:type="spellStart"/>
      <w:r>
        <w:t>MilOps</w:t>
      </w:r>
      <w:proofErr w:type="spellEnd"/>
      <w:r>
        <w:t xml:space="preserve"> Domain Charter</w:t>
      </w:r>
    </w:p>
    <w:p w14:paraId="5876CCE2" w14:textId="77777777" w:rsidR="003960E7" w:rsidRDefault="003960E7" w:rsidP="003960E7">
      <w:pPr>
        <w:pStyle w:val="ListParagraph"/>
        <w:numPr>
          <w:ilvl w:val="0"/>
          <w:numId w:val="9"/>
        </w:numPr>
        <w:spacing w:after="120" w:line="240" w:lineRule="auto"/>
      </w:pPr>
      <w:r>
        <w:t xml:space="preserve">NIEM </w:t>
      </w:r>
      <w:proofErr w:type="spellStart"/>
      <w:r>
        <w:t>MilOps</w:t>
      </w:r>
      <w:proofErr w:type="spellEnd"/>
      <w:r>
        <w:t xml:space="preserve"> Domain Operations and Maintenance Plan</w:t>
      </w:r>
    </w:p>
    <w:p w14:paraId="609EE9AB" w14:textId="77777777" w:rsidR="003960E7" w:rsidRDefault="003960E7" w:rsidP="003960E7">
      <w:pPr>
        <w:pStyle w:val="ListParagraph"/>
        <w:numPr>
          <w:ilvl w:val="0"/>
          <w:numId w:val="9"/>
        </w:numPr>
        <w:spacing w:after="120" w:line="240" w:lineRule="auto"/>
      </w:pPr>
      <w:r>
        <w:t xml:space="preserve">NIEM </w:t>
      </w:r>
      <w:proofErr w:type="spellStart"/>
      <w:r>
        <w:t>MilOps</w:t>
      </w:r>
      <w:proofErr w:type="spellEnd"/>
      <w:r>
        <w:t xml:space="preserve"> Domain Steward Agreement</w:t>
      </w:r>
    </w:p>
    <w:p w14:paraId="4B7730B8" w14:textId="77777777" w:rsidR="00B717CB" w:rsidRDefault="00B717CB" w:rsidP="00B717CB">
      <w:pPr>
        <w:spacing w:after="120" w:line="240" w:lineRule="auto"/>
      </w:pPr>
      <w:r>
        <w:t xml:space="preserve">All of these documents are available on the </w:t>
      </w:r>
      <w:hyperlink r:id="rId13" w:history="1">
        <w:r w:rsidRPr="000870BF">
          <w:rPr>
            <w:rStyle w:val="Hyperlink"/>
          </w:rPr>
          <w:t xml:space="preserve">NIEM </w:t>
        </w:r>
        <w:proofErr w:type="spellStart"/>
        <w:r w:rsidRPr="000870BF">
          <w:rPr>
            <w:rStyle w:val="Hyperlink"/>
          </w:rPr>
          <w:t>MilOps</w:t>
        </w:r>
        <w:proofErr w:type="spellEnd"/>
        <w:r w:rsidRPr="000870BF">
          <w:rPr>
            <w:rStyle w:val="Hyperlink"/>
          </w:rPr>
          <w:t xml:space="preserve"> APAN SharePoint Site</w:t>
        </w:r>
      </w:hyperlink>
      <w:r>
        <w:t xml:space="preserve">. </w:t>
      </w:r>
    </w:p>
    <w:p w14:paraId="3694D664" w14:textId="77777777" w:rsidR="00B717CB" w:rsidRDefault="00B717CB" w:rsidP="00B717CB">
      <w:pPr>
        <w:spacing w:after="120" w:line="240" w:lineRule="auto"/>
      </w:pPr>
      <w:r w:rsidRPr="00537EF9">
        <w:t xml:space="preserve">Management of the </w:t>
      </w:r>
      <w:proofErr w:type="spellStart"/>
      <w:r w:rsidRPr="00537EF9">
        <w:t>MilOps</w:t>
      </w:r>
      <w:proofErr w:type="spellEnd"/>
      <w:r w:rsidRPr="00537EF9">
        <w:t xml:space="preserve"> Domain involves a reoccurring iterative, process supported by a continuous stream of on demand training, outreach, feedback, automation, software tool development, and technical engineering support (ref Figure 1). </w:t>
      </w:r>
      <w:r>
        <w:t xml:space="preserve"> </w:t>
      </w:r>
      <w:r w:rsidRPr="00537EF9">
        <w:t xml:space="preserve">The core process involves the </w:t>
      </w:r>
      <w:r>
        <w:t xml:space="preserve">development and </w:t>
      </w:r>
      <w:r w:rsidRPr="00537EF9">
        <w:t>use of a new NIEM release to develop Information Exchange Package Documentation (IEPD) specifications to define new data exchanges (ref Figure 1, #1).</w:t>
      </w:r>
      <w:r>
        <w:t xml:space="preserve"> </w:t>
      </w:r>
      <w:r w:rsidRPr="00537EF9">
        <w:t xml:space="preserve">This activity produces new data requirements for the </w:t>
      </w:r>
      <w:proofErr w:type="spellStart"/>
      <w:r w:rsidRPr="00537EF9">
        <w:t>MilOps</w:t>
      </w:r>
      <w:proofErr w:type="spellEnd"/>
      <w:r w:rsidRPr="00537EF9">
        <w:t xml:space="preserve"> data model, which are documented in a </w:t>
      </w:r>
      <w:proofErr w:type="spellStart"/>
      <w:r w:rsidRPr="00537EF9">
        <w:t>MilOps</w:t>
      </w:r>
      <w:proofErr w:type="spellEnd"/>
      <w:r w:rsidRPr="00537EF9">
        <w:t xml:space="preserve"> Change Request (CR) (ref Figure 1, #2).</w:t>
      </w:r>
    </w:p>
    <w:p w14:paraId="06F1821D" w14:textId="77777777" w:rsidR="00E31AD8" w:rsidRDefault="00E31AD8" w:rsidP="00EB1586">
      <w:pPr>
        <w:spacing w:after="120" w:line="240" w:lineRule="auto"/>
        <w:jc w:val="both"/>
      </w:pPr>
      <w:r>
        <w:rPr>
          <w:noProof/>
          <w:lang w:eastAsia="en-US"/>
        </w:rPr>
        <w:lastRenderedPageBreak/>
        <w:drawing>
          <wp:anchor distT="0" distB="0" distL="114300" distR="114300" simplePos="0" relativeHeight="251662336" behindDoc="1" locked="0" layoutInCell="1" allowOverlap="1" wp14:anchorId="241E5861" wp14:editId="3B314054">
            <wp:simplePos x="0" y="0"/>
            <wp:positionH relativeFrom="margin">
              <wp:posOffset>3000375</wp:posOffset>
            </wp:positionH>
            <wp:positionV relativeFrom="paragraph">
              <wp:posOffset>107950</wp:posOffset>
            </wp:positionV>
            <wp:extent cx="2949575" cy="2787650"/>
            <wp:effectExtent l="19050" t="19050" r="22225" b="12700"/>
            <wp:wrapTight wrapText="bothSides">
              <wp:wrapPolygon edited="0">
                <wp:start x="-140" y="-148"/>
                <wp:lineTo x="-140" y="21551"/>
                <wp:lineTo x="21623" y="21551"/>
                <wp:lineTo x="21623" y="-148"/>
                <wp:lineTo x="-140" y="-148"/>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49575" cy="27876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64384" behindDoc="1" locked="0" layoutInCell="1" allowOverlap="1" wp14:anchorId="6B7DAE1B" wp14:editId="4F8D289C">
                <wp:simplePos x="0" y="0"/>
                <wp:positionH relativeFrom="margin">
                  <wp:posOffset>3009900</wp:posOffset>
                </wp:positionH>
                <wp:positionV relativeFrom="paragraph">
                  <wp:posOffset>2971800</wp:posOffset>
                </wp:positionV>
                <wp:extent cx="2949575" cy="238125"/>
                <wp:effectExtent l="0" t="0" r="3175" b="9525"/>
                <wp:wrapTight wrapText="bothSides">
                  <wp:wrapPolygon edited="0">
                    <wp:start x="0" y="0"/>
                    <wp:lineTo x="0" y="20736"/>
                    <wp:lineTo x="21484" y="20736"/>
                    <wp:lineTo x="21484"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949575" cy="238125"/>
                        </a:xfrm>
                        <a:prstGeom prst="rect">
                          <a:avLst/>
                        </a:prstGeom>
                        <a:solidFill>
                          <a:prstClr val="white"/>
                        </a:solidFill>
                        <a:ln>
                          <a:noFill/>
                        </a:ln>
                        <a:effectLst/>
                      </wps:spPr>
                      <wps:txbx>
                        <w:txbxContent>
                          <w:p w14:paraId="205E0315" w14:textId="348E75B9" w:rsidR="00662F97" w:rsidRPr="0013286A" w:rsidRDefault="00662F97" w:rsidP="00537EF9">
                            <w:pPr>
                              <w:pStyle w:val="Caption"/>
                              <w:spacing w:before="0"/>
                              <w:jc w:val="center"/>
                              <w:rPr>
                                <w:color w:val="auto"/>
                                <w:sz w:val="18"/>
                              </w:rPr>
                            </w:pPr>
                            <w:r w:rsidRPr="0013286A">
                              <w:rPr>
                                <w:color w:val="auto"/>
                                <w:sz w:val="18"/>
                              </w:rPr>
                              <w:t xml:space="preserve">Figure </w:t>
                            </w:r>
                            <w:r w:rsidRPr="0013286A">
                              <w:rPr>
                                <w:color w:val="auto"/>
                                <w:sz w:val="18"/>
                              </w:rPr>
                              <w:fldChar w:fldCharType="begin"/>
                            </w:r>
                            <w:r w:rsidRPr="0013286A">
                              <w:rPr>
                                <w:color w:val="auto"/>
                                <w:sz w:val="18"/>
                              </w:rPr>
                              <w:instrText xml:space="preserve"> SEQ Figure \* ARABIC </w:instrText>
                            </w:r>
                            <w:r w:rsidRPr="0013286A">
                              <w:rPr>
                                <w:color w:val="auto"/>
                                <w:sz w:val="18"/>
                              </w:rPr>
                              <w:fldChar w:fldCharType="separate"/>
                            </w:r>
                            <w:r>
                              <w:rPr>
                                <w:noProof/>
                                <w:color w:val="auto"/>
                                <w:sz w:val="18"/>
                              </w:rPr>
                              <w:t>1</w:t>
                            </w:r>
                            <w:r w:rsidRPr="0013286A">
                              <w:rPr>
                                <w:color w:val="auto"/>
                                <w:sz w:val="18"/>
                              </w:rPr>
                              <w:fldChar w:fldCharType="end"/>
                            </w:r>
                            <w:r w:rsidRPr="0013286A">
                              <w:rPr>
                                <w:color w:val="auto"/>
                                <w:sz w:val="18"/>
                              </w:rPr>
                              <w:t xml:space="preserve">:  NIEM </w:t>
                            </w:r>
                            <w:proofErr w:type="spellStart"/>
                            <w:r w:rsidRPr="0013286A">
                              <w:rPr>
                                <w:color w:val="auto"/>
                                <w:sz w:val="18"/>
                              </w:rPr>
                              <w:t>MilOps</w:t>
                            </w:r>
                            <w:proofErr w:type="spellEnd"/>
                            <w:r w:rsidRPr="0013286A">
                              <w:rPr>
                                <w:color w:val="auto"/>
                                <w:sz w:val="18"/>
                              </w:rPr>
                              <w:t xml:space="preserve">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AE1B" id="Text Box 4" o:spid="_x0000_s1028" type="#_x0000_t202" style="position:absolute;left:0;text-align:left;margin-left:237pt;margin-top:234pt;width:232.25pt;height:18.7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" stroked="f">
                <v:textbox inset="0,0,0,0">
                  <w:txbxContent>
                    <w:p w14:paraId="205E0315" w14:textId="348E75B9" w:rsidR="00662F97" w:rsidRPr="0013286A" w:rsidRDefault="00662F97" w:rsidP="00537EF9">
                      <w:pPr>
                        <w:pStyle w:val="Caption"/>
                        <w:spacing w:before="0"/>
                        <w:jc w:val="center"/>
                        <w:rPr>
                          <w:color w:val="auto"/>
                          <w:sz w:val="18"/>
                        </w:rPr>
                      </w:pPr>
                      <w:r w:rsidRPr="0013286A">
                        <w:rPr>
                          <w:color w:val="auto"/>
                          <w:sz w:val="18"/>
                        </w:rPr>
                        <w:t xml:space="preserve">Figure </w:t>
                      </w:r>
                      <w:r w:rsidRPr="0013286A">
                        <w:rPr>
                          <w:color w:val="auto"/>
                          <w:sz w:val="18"/>
                        </w:rPr>
                        <w:fldChar w:fldCharType="begin"/>
                      </w:r>
                      <w:r w:rsidRPr="0013286A">
                        <w:rPr>
                          <w:color w:val="auto"/>
                          <w:sz w:val="18"/>
                        </w:rPr>
                        <w:instrText xml:space="preserve"> SEQ Figure \* ARABIC </w:instrText>
                      </w:r>
                      <w:r w:rsidRPr="0013286A">
                        <w:rPr>
                          <w:color w:val="auto"/>
                          <w:sz w:val="18"/>
                        </w:rPr>
                        <w:fldChar w:fldCharType="separate"/>
                      </w:r>
                      <w:r>
                        <w:rPr>
                          <w:noProof/>
                          <w:color w:val="auto"/>
                          <w:sz w:val="18"/>
                        </w:rPr>
                        <w:t>1</w:t>
                      </w:r>
                      <w:r w:rsidRPr="0013286A">
                        <w:rPr>
                          <w:color w:val="auto"/>
                          <w:sz w:val="18"/>
                        </w:rPr>
                        <w:fldChar w:fldCharType="end"/>
                      </w:r>
                      <w:r w:rsidRPr="0013286A">
                        <w:rPr>
                          <w:color w:val="auto"/>
                          <w:sz w:val="18"/>
                        </w:rPr>
                        <w:t>:  NIEM MilOps Process</w:t>
                      </w:r>
                    </w:p>
                  </w:txbxContent>
                </v:textbox>
                <w10:wrap type="tight" anchorx="margin"/>
              </v:shape>
            </w:pict>
          </mc:Fallback>
        </mc:AlternateContent>
      </w:r>
      <w:r w:rsidR="00537EF9" w:rsidRPr="00537EF9">
        <w:t xml:space="preserve">Details of the </w:t>
      </w:r>
      <w:proofErr w:type="spellStart"/>
      <w:r w:rsidR="00537EF9" w:rsidRPr="00537EF9">
        <w:t>MilOps</w:t>
      </w:r>
      <w:proofErr w:type="spellEnd"/>
      <w:r w:rsidR="00537EF9" w:rsidRPr="00537EF9">
        <w:t xml:space="preserve"> CR process are well-documented in the </w:t>
      </w:r>
      <w:proofErr w:type="spellStart"/>
      <w:r w:rsidR="00537EF9" w:rsidRPr="00537EF9">
        <w:t>MilOps</w:t>
      </w:r>
      <w:proofErr w:type="spellEnd"/>
      <w:r w:rsidR="00537EF9" w:rsidRPr="00537EF9">
        <w:t xml:space="preserve"> Operations and Maintenance Plan.  When a new CR is received, the lead engineer for </w:t>
      </w:r>
      <w:proofErr w:type="spellStart"/>
      <w:r w:rsidR="00537EF9" w:rsidRPr="00537EF9">
        <w:t>MilOps</w:t>
      </w:r>
      <w:proofErr w:type="spellEnd"/>
      <w:r w:rsidR="00537EF9" w:rsidRPr="00537EF9">
        <w:t xml:space="preserve"> works with the sponsoring organization to develop an Impact and Solutions Assessment (ISA) document, which provides a technical analysis of the request, outlines options for implementation and risks associated with the change (ref Figure 1, #3). When the ISA is completed it is distributed to all </w:t>
      </w:r>
      <w:proofErr w:type="spellStart"/>
      <w:r w:rsidR="00537EF9" w:rsidRPr="00537EF9">
        <w:t>MilOps</w:t>
      </w:r>
      <w:proofErr w:type="spellEnd"/>
      <w:r w:rsidR="00537EF9" w:rsidRPr="00537EF9">
        <w:t xml:space="preserve"> stakeholders for a 30-day review. At the end of the review period, all interested stakeholders are afforded an opportunity to discuss the CR and provide additional inputs to the ISA package during an open Technical Design Review (TDR) meeting, during which consensus is achieved on how to proceed forward with the CR (ref Figure 1, #4). When the TDR is completed, a final CR/ISA package is produced and sent to the </w:t>
      </w:r>
      <w:proofErr w:type="spellStart"/>
      <w:r w:rsidR="00537EF9" w:rsidRPr="00537EF9">
        <w:t>MilOps</w:t>
      </w:r>
      <w:proofErr w:type="spellEnd"/>
      <w:r w:rsidR="00537EF9" w:rsidRPr="00537EF9">
        <w:t xml:space="preserve"> Configuration and Control Board (CCB) for review, discussion and final disposition (ref Figure 1, #5). Decisions by the CCB are forwarded to the NIEM Business Architecture Committee (NBAC) in the form of a Domain update, or recommended change to NIEM Core (ref Figure 1, #6).  All updates to the NIEM reference model are published in accordance with an annual 3-year release cycle </w:t>
      </w:r>
      <w:r w:rsidR="00537EF9">
        <w:t xml:space="preserve">described in the </w:t>
      </w:r>
      <w:hyperlink r:id="rId15" w:history="1">
        <w:r w:rsidR="00537EF9" w:rsidRPr="006715C6">
          <w:rPr>
            <w:rStyle w:val="Hyperlink"/>
          </w:rPr>
          <w:t>NIEM High-Level Version Architecture</w:t>
        </w:r>
      </w:hyperlink>
      <w:r w:rsidR="00537EF9" w:rsidRPr="00537EF9">
        <w:t xml:space="preserve"> (ref Figure 1, #7).</w:t>
      </w:r>
      <w:r w:rsidR="00537EF9">
        <w:t xml:space="preserve"> Additional details regarding </w:t>
      </w:r>
      <w:proofErr w:type="spellStart"/>
      <w:r w:rsidR="00537EF9">
        <w:t>MilOps</w:t>
      </w:r>
      <w:proofErr w:type="spellEnd"/>
      <w:r w:rsidR="00537EF9">
        <w:t xml:space="preserve"> CM is available in the </w:t>
      </w:r>
      <w:hyperlink r:id="rId16" w:history="1">
        <w:proofErr w:type="spellStart"/>
        <w:r w:rsidR="00537EF9" w:rsidRPr="00AD0E34">
          <w:rPr>
            <w:rStyle w:val="Hyperlink"/>
          </w:rPr>
          <w:t>MilOps</w:t>
        </w:r>
        <w:proofErr w:type="spellEnd"/>
        <w:r w:rsidR="00537EF9" w:rsidRPr="00AD0E34">
          <w:rPr>
            <w:rStyle w:val="Hyperlink"/>
          </w:rPr>
          <w:t xml:space="preserve"> Operations and Maintenance Plan</w:t>
        </w:r>
      </w:hyperlink>
      <w:r w:rsidR="00537EF9">
        <w:t xml:space="preserve">.  </w:t>
      </w:r>
    </w:p>
    <w:p w14:paraId="7A194675" w14:textId="77777777" w:rsidR="006715C6" w:rsidRDefault="00AD0E34" w:rsidP="00EB1586">
      <w:pPr>
        <w:spacing w:after="120" w:line="240" w:lineRule="auto"/>
        <w:jc w:val="both"/>
      </w:pPr>
      <w:r>
        <w:t xml:space="preserve">The figure below </w:t>
      </w:r>
      <w:r w:rsidR="006715C6" w:rsidRPr="006715C6">
        <w:t xml:space="preserve">provides a high level schedule of the CM activities and </w:t>
      </w:r>
      <w:r w:rsidR="00B717CB">
        <w:t>associated</w:t>
      </w:r>
      <w:r w:rsidR="004E1B8A">
        <w:t xml:space="preserve"> </w:t>
      </w:r>
      <w:r w:rsidR="006715C6" w:rsidRPr="006715C6">
        <w:t>dependencies over a typical 12-month period.</w:t>
      </w:r>
      <w:r w:rsidR="00E31AD8">
        <w:t xml:space="preserve"> Note that ongoing training, outreach, feedback technical engineering support and tool development provide the foundation for all new semantic content added to NIEM and NIEM </w:t>
      </w:r>
      <w:proofErr w:type="spellStart"/>
      <w:r w:rsidR="00E31AD8">
        <w:t>MilOps</w:t>
      </w:r>
      <w:proofErr w:type="spellEnd"/>
      <w:r w:rsidR="00E31AD8">
        <w:t>.</w:t>
      </w:r>
    </w:p>
    <w:p w14:paraId="36B0F1FD" w14:textId="54A3C6D9" w:rsidR="004E1B8A" w:rsidRDefault="00CE2F1D" w:rsidP="004E1B8A">
      <w:pPr>
        <w:keepNext/>
        <w:spacing w:after="120" w:line="240" w:lineRule="auto"/>
        <w:jc w:val="center"/>
      </w:pPr>
      <w:r>
        <w:rPr>
          <w:noProof/>
          <w:lang w:eastAsia="en-US"/>
        </w:rPr>
        <w:drawing>
          <wp:inline distT="0" distB="0" distL="0" distR="0" wp14:anchorId="2A1056F0" wp14:editId="1E0F5CC0">
            <wp:extent cx="5943600" cy="22155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15515"/>
                    </a:xfrm>
                    <a:prstGeom prst="rect">
                      <a:avLst/>
                    </a:prstGeom>
                  </pic:spPr>
                </pic:pic>
              </a:graphicData>
            </a:graphic>
          </wp:inline>
        </w:drawing>
      </w:r>
    </w:p>
    <w:p w14:paraId="3D403793" w14:textId="5EBD2D6A" w:rsidR="006715C6" w:rsidRPr="00F8074A" w:rsidRDefault="004E1B8A" w:rsidP="004E1B8A">
      <w:pPr>
        <w:pStyle w:val="Caption"/>
        <w:spacing w:before="0"/>
        <w:jc w:val="center"/>
        <w:rPr>
          <w:color w:val="auto"/>
          <w:sz w:val="18"/>
        </w:rPr>
      </w:pPr>
      <w:r w:rsidRPr="00F8074A">
        <w:rPr>
          <w:color w:val="auto"/>
          <w:sz w:val="18"/>
        </w:rPr>
        <w:t xml:space="preserve">Figure </w:t>
      </w:r>
      <w:r w:rsidRPr="00F8074A">
        <w:rPr>
          <w:color w:val="auto"/>
          <w:sz w:val="18"/>
        </w:rPr>
        <w:fldChar w:fldCharType="begin"/>
      </w:r>
      <w:r w:rsidRPr="00F8074A">
        <w:rPr>
          <w:color w:val="auto"/>
          <w:sz w:val="18"/>
        </w:rPr>
        <w:instrText xml:space="preserve"> SEQ Figure \* ARABIC </w:instrText>
      </w:r>
      <w:r w:rsidRPr="00F8074A">
        <w:rPr>
          <w:color w:val="auto"/>
          <w:sz w:val="18"/>
        </w:rPr>
        <w:fldChar w:fldCharType="separate"/>
      </w:r>
      <w:r w:rsidR="004E535F">
        <w:rPr>
          <w:noProof/>
          <w:color w:val="auto"/>
          <w:sz w:val="18"/>
        </w:rPr>
        <w:t>2</w:t>
      </w:r>
      <w:r w:rsidRPr="00F8074A">
        <w:rPr>
          <w:color w:val="auto"/>
          <w:sz w:val="18"/>
        </w:rPr>
        <w:fldChar w:fldCharType="end"/>
      </w:r>
      <w:r w:rsidRPr="00F8074A">
        <w:rPr>
          <w:color w:val="auto"/>
          <w:sz w:val="18"/>
        </w:rPr>
        <w:t xml:space="preserve">:  </w:t>
      </w:r>
      <w:r w:rsidR="00CE2F1D" w:rsidRPr="00F8074A">
        <w:rPr>
          <w:color w:val="auto"/>
          <w:sz w:val="18"/>
        </w:rPr>
        <w:t>Twelve-Month</w:t>
      </w:r>
      <w:r w:rsidRPr="00F8074A">
        <w:rPr>
          <w:color w:val="auto"/>
          <w:sz w:val="18"/>
        </w:rPr>
        <w:t xml:space="preserve"> </w:t>
      </w:r>
      <w:proofErr w:type="spellStart"/>
      <w:r w:rsidRPr="00F8074A">
        <w:rPr>
          <w:color w:val="auto"/>
          <w:sz w:val="18"/>
        </w:rPr>
        <w:t>MilOps</w:t>
      </w:r>
      <w:proofErr w:type="spellEnd"/>
      <w:r w:rsidRPr="00F8074A">
        <w:rPr>
          <w:color w:val="auto"/>
          <w:sz w:val="18"/>
        </w:rPr>
        <w:t xml:space="preserve"> </w:t>
      </w:r>
      <w:r w:rsidR="00232361" w:rsidRPr="00F8074A">
        <w:rPr>
          <w:color w:val="auto"/>
          <w:sz w:val="18"/>
        </w:rPr>
        <w:t>Activity Schedule</w:t>
      </w:r>
    </w:p>
    <w:p w14:paraId="63A0D2E0" w14:textId="77777777" w:rsidR="0038089F" w:rsidRDefault="0038089F" w:rsidP="0053093F">
      <w:pPr>
        <w:pStyle w:val="Heading1"/>
        <w:spacing w:before="240" w:line="240" w:lineRule="auto"/>
        <w:sectPr w:rsidR="0038089F" w:rsidSect="006104A0">
          <w:headerReference w:type="first" r:id="rId18"/>
          <w:footerReference w:type="first" r:id="rId19"/>
          <w:pgSz w:w="12240" w:h="15840"/>
          <w:pgMar w:top="1440" w:right="1440" w:bottom="1152" w:left="1440" w:header="720" w:footer="720" w:gutter="0"/>
          <w:lnNumType w:countBy="1" w:restart="continuous"/>
          <w:pgNumType w:start="1"/>
          <w:cols w:space="720"/>
          <w:titlePg/>
          <w:docGrid w:linePitch="360"/>
        </w:sectPr>
      </w:pPr>
    </w:p>
    <w:p w14:paraId="2BC6B85D" w14:textId="77777777" w:rsidR="00120B13" w:rsidRDefault="00D83236" w:rsidP="00750458">
      <w:pPr>
        <w:pStyle w:val="Heading1"/>
        <w:spacing w:before="240" w:line="240" w:lineRule="auto"/>
        <w:ind w:left="900" w:right="1080"/>
      </w:pPr>
      <w:bookmarkStart w:id="9" w:name="_Toc12952924"/>
      <w:r>
        <w:lastRenderedPageBreak/>
        <w:t>Activity Plan</w:t>
      </w:r>
      <w:bookmarkEnd w:id="9"/>
    </w:p>
    <w:p w14:paraId="019B8B3A" w14:textId="77777777" w:rsidR="00361F32" w:rsidRDefault="00C76449" w:rsidP="00361F32">
      <w:pPr>
        <w:ind w:left="900" w:right="1080"/>
        <w:jc w:val="both"/>
      </w:pPr>
      <w:r>
        <w:t xml:space="preserve">Figure 3 below contains the latest activity plan in support of NIEM </w:t>
      </w:r>
      <w:proofErr w:type="spellStart"/>
      <w:r>
        <w:t>MilOps</w:t>
      </w:r>
      <w:proofErr w:type="spellEnd"/>
      <w:r>
        <w:t xml:space="preserve">. The “color key” </w:t>
      </w:r>
      <w:r w:rsidR="00361F32">
        <w:t xml:space="preserve">on the following page </w:t>
      </w:r>
      <w:r>
        <w:t xml:space="preserve">explains the color and symbols used in the plan. Appendix A of this document provides </w:t>
      </w:r>
      <w:r w:rsidR="00712AEF">
        <w:t xml:space="preserve">additional </w:t>
      </w:r>
      <w:r>
        <w:t>details on each of the activities in the activity pla</w:t>
      </w:r>
      <w:r w:rsidR="00712AEF">
        <w:t>n</w:t>
      </w:r>
      <w:r>
        <w:t>.</w:t>
      </w:r>
    </w:p>
    <w:p w14:paraId="697BE631" w14:textId="51CEADA5" w:rsidR="0038089F" w:rsidRDefault="00B25DCE" w:rsidP="000B50FF">
      <w:pPr>
        <w:ind w:left="540" w:right="360"/>
        <w:jc w:val="center"/>
        <w:rPr>
          <w:color w:val="auto"/>
          <w:sz w:val="18"/>
        </w:rPr>
      </w:pPr>
      <w:r>
        <w:rPr>
          <w:noProof/>
          <w:lang w:eastAsia="en-US"/>
        </w:rPr>
        <w:drawing>
          <wp:inline distT="0" distB="0" distL="0" distR="0" wp14:anchorId="00E886EF" wp14:editId="5411690E">
            <wp:extent cx="7715250" cy="28214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722992" cy="2824255"/>
                    </a:xfrm>
                    <a:prstGeom prst="rect">
                      <a:avLst/>
                    </a:prstGeom>
                  </pic:spPr>
                </pic:pic>
              </a:graphicData>
            </a:graphic>
          </wp:inline>
        </w:drawing>
      </w:r>
      <w:r w:rsidR="003436E4">
        <w:rPr>
          <w:color w:val="auto"/>
          <w:sz w:val="18"/>
        </w:rPr>
        <w:br/>
      </w:r>
      <w:r w:rsidR="00750458" w:rsidRPr="00F8074A">
        <w:rPr>
          <w:color w:val="auto"/>
          <w:sz w:val="18"/>
        </w:rPr>
        <w:t xml:space="preserve">Figure </w:t>
      </w:r>
      <w:r w:rsidR="00750458" w:rsidRPr="00F8074A">
        <w:rPr>
          <w:color w:val="auto"/>
          <w:sz w:val="18"/>
        </w:rPr>
        <w:fldChar w:fldCharType="begin"/>
      </w:r>
      <w:r w:rsidR="00750458" w:rsidRPr="00F8074A">
        <w:rPr>
          <w:color w:val="auto"/>
          <w:sz w:val="18"/>
        </w:rPr>
        <w:instrText xml:space="preserve"> SEQ Figure \* ARABIC </w:instrText>
      </w:r>
      <w:r w:rsidR="00750458" w:rsidRPr="00F8074A">
        <w:rPr>
          <w:color w:val="auto"/>
          <w:sz w:val="18"/>
        </w:rPr>
        <w:fldChar w:fldCharType="separate"/>
      </w:r>
      <w:r w:rsidR="004E535F">
        <w:rPr>
          <w:noProof/>
          <w:color w:val="auto"/>
          <w:sz w:val="18"/>
        </w:rPr>
        <w:t>3</w:t>
      </w:r>
      <w:r w:rsidR="00750458" w:rsidRPr="00F8074A">
        <w:rPr>
          <w:color w:val="auto"/>
          <w:sz w:val="18"/>
        </w:rPr>
        <w:fldChar w:fldCharType="end"/>
      </w:r>
      <w:r w:rsidR="00750458" w:rsidRPr="00F8074A">
        <w:rPr>
          <w:color w:val="auto"/>
          <w:sz w:val="18"/>
        </w:rPr>
        <w:t xml:space="preserve">:  </w:t>
      </w:r>
      <w:r w:rsidR="00750458">
        <w:rPr>
          <w:color w:val="auto"/>
          <w:sz w:val="18"/>
        </w:rPr>
        <w:t xml:space="preserve">High-Level </w:t>
      </w:r>
      <w:r w:rsidR="00750458" w:rsidRPr="00F8074A">
        <w:rPr>
          <w:color w:val="auto"/>
          <w:sz w:val="18"/>
        </w:rPr>
        <w:t xml:space="preserve">NIEM </w:t>
      </w:r>
      <w:proofErr w:type="spellStart"/>
      <w:r w:rsidR="00750458" w:rsidRPr="00F8074A">
        <w:rPr>
          <w:color w:val="auto"/>
          <w:sz w:val="18"/>
        </w:rPr>
        <w:t>MilOps</w:t>
      </w:r>
      <w:proofErr w:type="spellEnd"/>
      <w:r w:rsidR="00750458" w:rsidRPr="00F8074A">
        <w:rPr>
          <w:color w:val="auto"/>
          <w:sz w:val="18"/>
        </w:rPr>
        <w:t xml:space="preserve"> Activity Plan</w:t>
      </w:r>
    </w:p>
    <w:p w14:paraId="4C557634" w14:textId="58752DEF" w:rsidR="000B50FF" w:rsidRDefault="000B50FF" w:rsidP="000B50FF">
      <w:pPr>
        <w:keepNext/>
        <w:jc w:val="center"/>
        <w:rPr>
          <w:color w:val="auto"/>
          <w:sz w:val="18"/>
        </w:rPr>
      </w:pPr>
      <w:r>
        <w:rPr>
          <w:noProof/>
          <w:lang w:eastAsia="en-US"/>
        </w:rPr>
        <w:drawing>
          <wp:inline distT="0" distB="0" distL="0" distR="0" wp14:anchorId="05A4940B" wp14:editId="7154C6F1">
            <wp:extent cx="2535061" cy="962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99488" cy="1024423"/>
                    </a:xfrm>
                    <a:prstGeom prst="rect">
                      <a:avLst/>
                    </a:prstGeom>
                  </pic:spPr>
                </pic:pic>
              </a:graphicData>
            </a:graphic>
          </wp:inline>
        </w:drawing>
      </w:r>
      <w:r>
        <w:br/>
      </w:r>
      <w:r w:rsidRPr="00F8074A">
        <w:rPr>
          <w:color w:val="auto"/>
          <w:sz w:val="18"/>
        </w:rPr>
        <w:t xml:space="preserve">Figure </w:t>
      </w:r>
      <w:r w:rsidRPr="00F8074A">
        <w:rPr>
          <w:color w:val="auto"/>
          <w:sz w:val="18"/>
        </w:rPr>
        <w:fldChar w:fldCharType="begin"/>
      </w:r>
      <w:r w:rsidRPr="00F8074A">
        <w:rPr>
          <w:color w:val="auto"/>
          <w:sz w:val="18"/>
        </w:rPr>
        <w:instrText xml:space="preserve"> SEQ Figure \* ARABIC </w:instrText>
      </w:r>
      <w:r w:rsidRPr="00F8074A">
        <w:rPr>
          <w:color w:val="auto"/>
          <w:sz w:val="18"/>
        </w:rPr>
        <w:fldChar w:fldCharType="separate"/>
      </w:r>
      <w:r w:rsidR="004E535F">
        <w:rPr>
          <w:noProof/>
          <w:color w:val="auto"/>
          <w:sz w:val="18"/>
        </w:rPr>
        <w:t>4</w:t>
      </w:r>
      <w:r w:rsidRPr="00F8074A">
        <w:rPr>
          <w:color w:val="auto"/>
          <w:sz w:val="18"/>
        </w:rPr>
        <w:fldChar w:fldCharType="end"/>
      </w:r>
      <w:r w:rsidRPr="00F8074A">
        <w:rPr>
          <w:color w:val="auto"/>
          <w:sz w:val="18"/>
        </w:rPr>
        <w:t xml:space="preserve">:  </w:t>
      </w:r>
      <w:r>
        <w:rPr>
          <w:color w:val="auto"/>
          <w:sz w:val="18"/>
        </w:rPr>
        <w:t xml:space="preserve">High-Level </w:t>
      </w:r>
      <w:r w:rsidRPr="00F8074A">
        <w:rPr>
          <w:color w:val="auto"/>
          <w:sz w:val="18"/>
        </w:rPr>
        <w:t xml:space="preserve">NIEM </w:t>
      </w:r>
      <w:proofErr w:type="spellStart"/>
      <w:r w:rsidRPr="00F8074A">
        <w:rPr>
          <w:color w:val="auto"/>
          <w:sz w:val="18"/>
        </w:rPr>
        <w:t>MilOps</w:t>
      </w:r>
      <w:proofErr w:type="spellEnd"/>
      <w:r w:rsidRPr="00F8074A">
        <w:rPr>
          <w:color w:val="auto"/>
          <w:sz w:val="18"/>
        </w:rPr>
        <w:t xml:space="preserve"> Activity Plan</w:t>
      </w:r>
      <w:r>
        <w:rPr>
          <w:color w:val="auto"/>
          <w:sz w:val="18"/>
        </w:rPr>
        <w:t xml:space="preserve"> Key</w:t>
      </w:r>
    </w:p>
    <w:p w14:paraId="156DE582" w14:textId="77777777" w:rsidR="000B50FF" w:rsidRDefault="000B50FF" w:rsidP="00750458">
      <w:pPr>
        <w:keepNext/>
        <w:rPr>
          <w:color w:val="auto"/>
          <w:sz w:val="18"/>
        </w:rPr>
        <w:sectPr w:rsidR="000B50FF" w:rsidSect="006104A0">
          <w:pgSz w:w="15840" w:h="12240" w:orient="landscape"/>
          <w:pgMar w:top="720" w:right="720" w:bottom="720" w:left="720" w:header="720" w:footer="720" w:gutter="0"/>
          <w:lnNumType w:countBy="1" w:restart="continuous"/>
          <w:pgNumType w:start="3"/>
          <w:cols w:space="720"/>
          <w:titlePg/>
          <w:docGrid w:linePitch="360"/>
        </w:sectPr>
      </w:pPr>
    </w:p>
    <w:p w14:paraId="5646E335" w14:textId="77777777" w:rsidR="00345D8D" w:rsidRDefault="0038089F" w:rsidP="002C6D9D">
      <w:pPr>
        <w:pStyle w:val="Heading1"/>
      </w:pPr>
      <w:bookmarkStart w:id="10" w:name="_Toc12952925"/>
      <w:r>
        <w:lastRenderedPageBreak/>
        <w:t>Planned Activities</w:t>
      </w:r>
      <w:bookmarkEnd w:id="10"/>
    </w:p>
    <w:p w14:paraId="78873A5F" w14:textId="77777777" w:rsidR="002C6D9D" w:rsidRDefault="002C6D9D" w:rsidP="00EB1586">
      <w:pPr>
        <w:jc w:val="both"/>
      </w:pPr>
      <w:r>
        <w:t xml:space="preserve">This section provides known details about all active and planned NIEM </w:t>
      </w:r>
      <w:proofErr w:type="spellStart"/>
      <w:r>
        <w:t>MilOps</w:t>
      </w:r>
      <w:proofErr w:type="spellEnd"/>
      <w:r>
        <w:t xml:space="preserve"> Activities.</w:t>
      </w:r>
    </w:p>
    <w:p w14:paraId="76D751B5" w14:textId="77777777" w:rsidR="00F85F3A" w:rsidRDefault="00A858F2" w:rsidP="00F70EA2">
      <w:pPr>
        <w:pStyle w:val="Heading2"/>
        <w:numPr>
          <w:ilvl w:val="0"/>
          <w:numId w:val="22"/>
        </w:numPr>
        <w:ind w:left="270" w:hanging="270"/>
      </w:pPr>
      <w:bookmarkStart w:id="11" w:name="_Toc12952926"/>
      <w:r>
        <w:t>Configuration Control Board</w:t>
      </w:r>
      <w:bookmarkEnd w:id="11"/>
    </w:p>
    <w:p w14:paraId="3D668F0E" w14:textId="77777777" w:rsidR="00F70EA2" w:rsidRPr="00F70EA2" w:rsidRDefault="00F70EA2" w:rsidP="00F70EA2">
      <w:pPr>
        <w:ind w:left="360"/>
      </w:pPr>
      <w:r>
        <w:t xml:space="preserve">LEAD:  </w:t>
      </w:r>
    </w:p>
    <w:p w14:paraId="228AE122" w14:textId="77777777" w:rsidR="00DD013B" w:rsidRDefault="00DD013B" w:rsidP="00DD013B">
      <w:pPr>
        <w:pStyle w:val="ListParagraph"/>
        <w:numPr>
          <w:ilvl w:val="0"/>
          <w:numId w:val="21"/>
        </w:numPr>
        <w:spacing w:before="0" w:after="120" w:line="240" w:lineRule="auto"/>
      </w:pPr>
      <w:r>
        <w:t>Domain Steward:  Mr. Stewart Whitehead (</w:t>
      </w:r>
      <w:hyperlink r:id="rId22" w:history="1">
        <w:r w:rsidRPr="0085368C">
          <w:rPr>
            <w:rStyle w:val="Hyperlink"/>
          </w:rPr>
          <w:t>stuart.a.whitehead.civ@mail.mil</w:t>
        </w:r>
      </w:hyperlink>
      <w:r>
        <w:t>)</w:t>
      </w:r>
    </w:p>
    <w:p w14:paraId="44EB8F0C" w14:textId="77777777" w:rsidR="00410634" w:rsidRDefault="00A012D2" w:rsidP="00410634">
      <w:pPr>
        <w:pStyle w:val="ListParagraph"/>
        <w:numPr>
          <w:ilvl w:val="0"/>
          <w:numId w:val="21"/>
        </w:numPr>
        <w:spacing w:before="0" w:after="120" w:line="240" w:lineRule="auto"/>
      </w:pPr>
      <w:r>
        <w:t>Domain Steward Representative</w:t>
      </w:r>
      <w:r w:rsidR="00410634">
        <w:t xml:space="preserve">:  Mr. Ralph O’Connell </w:t>
      </w:r>
      <w:r w:rsidR="000A1FA0">
        <w:t>(</w:t>
      </w:r>
      <w:hyperlink r:id="rId23" w:history="1">
        <w:r w:rsidR="00410634" w:rsidRPr="00FD55E0">
          <w:rPr>
            <w:rStyle w:val="Hyperlink"/>
          </w:rPr>
          <w:t>ralph.m.oconnell.civ@mail.mil</w:t>
        </w:r>
      </w:hyperlink>
      <w:r w:rsidR="00410634">
        <w:t xml:space="preserve">) </w:t>
      </w:r>
    </w:p>
    <w:p w14:paraId="1BDB93F5" w14:textId="77777777" w:rsidR="00DD013B" w:rsidRDefault="00A012D2" w:rsidP="00563F2B">
      <w:pPr>
        <w:pStyle w:val="ListParagraph"/>
        <w:numPr>
          <w:ilvl w:val="0"/>
          <w:numId w:val="21"/>
        </w:numPr>
        <w:spacing w:before="0" w:after="120" w:line="240" w:lineRule="auto"/>
      </w:pPr>
      <w:r>
        <w:t xml:space="preserve">Government </w:t>
      </w:r>
      <w:r w:rsidR="00DD013B">
        <w:t xml:space="preserve">Technical </w:t>
      </w:r>
      <w:r w:rsidR="005A0577">
        <w:t xml:space="preserve">Lead:  </w:t>
      </w:r>
      <w:r>
        <w:t xml:space="preserve">Mr. </w:t>
      </w:r>
      <w:r w:rsidR="00DD013B">
        <w:t>Rodney McCoy (</w:t>
      </w:r>
      <w:hyperlink r:id="rId24" w:history="1">
        <w:r w:rsidR="00DD013B" w:rsidRPr="003E5350">
          <w:rPr>
            <w:rStyle w:val="Hyperlink"/>
          </w:rPr>
          <w:t>rodney.a.mccoy.civ@mail.mil</w:t>
        </w:r>
      </w:hyperlink>
      <w:r w:rsidR="00DD013B">
        <w:t xml:space="preserve">) </w:t>
      </w:r>
    </w:p>
    <w:p w14:paraId="51C7D440" w14:textId="77777777" w:rsidR="008D0710" w:rsidRDefault="008D0710" w:rsidP="00563F2B">
      <w:pPr>
        <w:pStyle w:val="ListParagraph"/>
        <w:numPr>
          <w:ilvl w:val="0"/>
          <w:numId w:val="21"/>
        </w:numPr>
        <w:spacing w:before="0" w:after="120" w:line="240" w:lineRule="auto"/>
        <w:rPr>
          <w:rStyle w:val="rpc41"/>
        </w:rPr>
      </w:pPr>
      <w:r>
        <w:rPr>
          <w:rStyle w:val="rpc41"/>
        </w:rPr>
        <w:t>Secretariat:  Mr. Michael Gilman (</w:t>
      </w:r>
      <w:hyperlink r:id="rId25" w:history="1">
        <w:r w:rsidR="00F71354" w:rsidRPr="006758D2">
          <w:rPr>
            <w:rStyle w:val="Hyperlink"/>
          </w:rPr>
          <w:t>michael.t.gilman1.civ@mail.mil</w:t>
        </w:r>
      </w:hyperlink>
      <w:r w:rsidR="00F71354">
        <w:rPr>
          <w:rStyle w:val="rpc41"/>
        </w:rPr>
        <w:t xml:space="preserve">) </w:t>
      </w:r>
    </w:p>
    <w:p w14:paraId="7A268891" w14:textId="77777777" w:rsidR="005A0577" w:rsidRDefault="00DD013B" w:rsidP="00F70EA2">
      <w:pPr>
        <w:pStyle w:val="ListParagraph"/>
        <w:numPr>
          <w:ilvl w:val="0"/>
          <w:numId w:val="21"/>
        </w:numPr>
        <w:spacing w:before="0" w:after="120" w:line="240" w:lineRule="auto"/>
        <w:rPr>
          <w:rStyle w:val="rpc41"/>
        </w:rPr>
      </w:pPr>
      <w:r>
        <w:rPr>
          <w:rStyle w:val="rpc41"/>
        </w:rPr>
        <w:t xml:space="preserve">Contract </w:t>
      </w:r>
      <w:r w:rsidR="005A0577">
        <w:rPr>
          <w:rStyle w:val="rpc41"/>
        </w:rPr>
        <w:t xml:space="preserve">Technical Lead:  </w:t>
      </w:r>
      <w:r w:rsidR="000A1FA0">
        <w:rPr>
          <w:rStyle w:val="rpc41"/>
        </w:rPr>
        <w:t>GTRI</w:t>
      </w:r>
    </w:p>
    <w:p w14:paraId="33522367" w14:textId="77777777" w:rsidR="005C26E5" w:rsidRDefault="00F70EA2" w:rsidP="00EB1586">
      <w:pPr>
        <w:ind w:left="360"/>
        <w:jc w:val="both"/>
        <w:rPr>
          <w:rStyle w:val="rpc41"/>
        </w:rPr>
      </w:pPr>
      <w:r>
        <w:rPr>
          <w:rStyle w:val="rpc41"/>
        </w:rPr>
        <w:t xml:space="preserve">OBJECTIVES:  </w:t>
      </w:r>
      <w:r w:rsidR="005A0577">
        <w:rPr>
          <w:rStyle w:val="rpc41"/>
        </w:rPr>
        <w:t>The configuration control board meets 3-4 times per year at the discretion of the Domain Steward Representative (DSR)</w:t>
      </w:r>
      <w:r w:rsidR="00410634">
        <w:rPr>
          <w:rStyle w:val="rpc41"/>
        </w:rPr>
        <w:t xml:space="preserve">.  </w:t>
      </w:r>
      <w:r w:rsidR="005A0577">
        <w:rPr>
          <w:rStyle w:val="rpc41"/>
        </w:rPr>
        <w:t xml:space="preserve">CCB meetings are held via TELCON; normally on </w:t>
      </w:r>
      <w:r w:rsidR="00410634">
        <w:rPr>
          <w:rStyle w:val="rpc41"/>
        </w:rPr>
        <w:t>the last</w:t>
      </w:r>
      <w:r w:rsidR="005A0577">
        <w:rPr>
          <w:rStyle w:val="rpc41"/>
        </w:rPr>
        <w:t xml:space="preserve"> Friday of the month, and typically from 1000-1200. </w:t>
      </w:r>
      <w:r w:rsidR="008D0710">
        <w:rPr>
          <w:rStyle w:val="rpc41"/>
        </w:rPr>
        <w:t xml:space="preserve">Historical and current supporting materials are available at:  </w:t>
      </w:r>
      <w:r w:rsidR="008D0710" w:rsidRPr="008D0710">
        <w:rPr>
          <w:rStyle w:val="rpc41"/>
        </w:rPr>
        <w:t xml:space="preserve">O:\DDC5I\DSD\2 NIEM Support\NIEM </w:t>
      </w:r>
      <w:proofErr w:type="spellStart"/>
      <w:r w:rsidR="008D0710" w:rsidRPr="008D0710">
        <w:rPr>
          <w:rStyle w:val="rpc41"/>
        </w:rPr>
        <w:t>MilOps</w:t>
      </w:r>
      <w:proofErr w:type="spellEnd"/>
      <w:r w:rsidR="008D0710" w:rsidRPr="008D0710">
        <w:rPr>
          <w:rStyle w:val="rpc41"/>
        </w:rPr>
        <w:t xml:space="preserve"> Domain\3_MilOps CCBs</w:t>
      </w:r>
      <w:r w:rsidR="008D0710">
        <w:rPr>
          <w:rStyle w:val="rpc41"/>
        </w:rPr>
        <w:t xml:space="preserve">.  The latest email distribution list is v23 and is available at:  </w:t>
      </w:r>
      <w:r w:rsidR="008D0710" w:rsidRPr="008D0710">
        <w:rPr>
          <w:rStyle w:val="rpc41"/>
        </w:rPr>
        <w:t xml:space="preserve">O:\DDC5I\DSD\2 NIEM Support\NIEM </w:t>
      </w:r>
      <w:proofErr w:type="spellStart"/>
      <w:r w:rsidR="008D0710" w:rsidRPr="008D0710">
        <w:rPr>
          <w:rStyle w:val="rpc41"/>
        </w:rPr>
        <w:t>MilOps</w:t>
      </w:r>
      <w:proofErr w:type="spellEnd"/>
      <w:r w:rsidR="008D0710" w:rsidRPr="008D0710">
        <w:rPr>
          <w:rStyle w:val="rpc41"/>
        </w:rPr>
        <w:t xml:space="preserve"> Domain\3_MilOps CCBs\NIEM_MilOpsCCB_2015-2016_DistroLists</w:t>
      </w:r>
      <w:r w:rsidR="008D0710">
        <w:rPr>
          <w:rStyle w:val="rpc41"/>
        </w:rPr>
        <w:t xml:space="preserve">. </w:t>
      </w:r>
    </w:p>
    <w:p w14:paraId="712502A7" w14:textId="77777777" w:rsidR="00044AF7" w:rsidRDefault="00044AF7" w:rsidP="00EB1586">
      <w:pPr>
        <w:ind w:left="360"/>
        <w:jc w:val="both"/>
        <w:rPr>
          <w:rStyle w:val="rpc41"/>
        </w:rPr>
      </w:pPr>
      <w:r>
        <w:rPr>
          <w:rStyle w:val="rpc41"/>
        </w:rPr>
        <w:t xml:space="preserve">The NIEM </w:t>
      </w:r>
      <w:proofErr w:type="spellStart"/>
      <w:r>
        <w:rPr>
          <w:rStyle w:val="rpc41"/>
        </w:rPr>
        <w:t>MilOps</w:t>
      </w:r>
      <w:proofErr w:type="spellEnd"/>
      <w:r>
        <w:rPr>
          <w:rStyle w:val="rpc41"/>
        </w:rPr>
        <w:t xml:space="preserve"> site on APAN is:  </w:t>
      </w:r>
      <w:hyperlink r:id="rId26" w:history="1">
        <w:r w:rsidRPr="00FD55E0">
          <w:rPr>
            <w:rStyle w:val="Hyperlink"/>
          </w:rPr>
          <w:t>https://wss.apan.org/s/NIEM_MilOps/default.aspx</w:t>
        </w:r>
      </w:hyperlink>
      <w:r>
        <w:rPr>
          <w:rStyle w:val="rpc41"/>
        </w:rPr>
        <w:t xml:space="preserve">.  The </w:t>
      </w:r>
      <w:proofErr w:type="spellStart"/>
      <w:r>
        <w:rPr>
          <w:rStyle w:val="rpc41"/>
        </w:rPr>
        <w:t>MilOps</w:t>
      </w:r>
      <w:proofErr w:type="spellEnd"/>
      <w:r>
        <w:rPr>
          <w:rStyle w:val="rpc41"/>
        </w:rPr>
        <w:t xml:space="preserve"> CCB site on APAN is:  </w:t>
      </w:r>
      <w:hyperlink r:id="rId27" w:history="1">
        <w:r w:rsidRPr="00FD55E0">
          <w:rPr>
            <w:rStyle w:val="Hyperlink"/>
          </w:rPr>
          <w:t>https://wss.apan.org/s/NIEM_MilOps/CCB/default.aspx</w:t>
        </w:r>
      </w:hyperlink>
      <w:r>
        <w:rPr>
          <w:rStyle w:val="rpc41"/>
        </w:rPr>
        <w:t xml:space="preserve">. </w:t>
      </w:r>
    </w:p>
    <w:p w14:paraId="33E3B183" w14:textId="456C607B" w:rsidR="005A0577" w:rsidRDefault="005C26E5" w:rsidP="00EB1586">
      <w:pPr>
        <w:ind w:left="360"/>
        <w:jc w:val="both"/>
        <w:rPr>
          <w:rStyle w:val="rpc41"/>
        </w:rPr>
      </w:pPr>
      <w:r>
        <w:t>ACTION PLAN</w:t>
      </w:r>
      <w:r>
        <w:rPr>
          <w:rStyle w:val="rpc41"/>
        </w:rPr>
        <w:t xml:space="preserve">:  </w:t>
      </w:r>
      <w:r w:rsidR="008D0710">
        <w:rPr>
          <w:rStyle w:val="rpc41"/>
        </w:rPr>
        <w:t>The 20</w:t>
      </w:r>
      <w:r w:rsidR="00E159AE">
        <w:rPr>
          <w:rStyle w:val="rpc41"/>
        </w:rPr>
        <w:t>18</w:t>
      </w:r>
      <w:r w:rsidR="008D0710">
        <w:rPr>
          <w:rStyle w:val="rpc41"/>
        </w:rPr>
        <w:t xml:space="preserve"> CCB schedule of activities </w:t>
      </w:r>
      <w:r w:rsidR="00E159AE">
        <w:rPr>
          <w:rStyle w:val="rpc41"/>
        </w:rPr>
        <w:t>provided</w:t>
      </w:r>
      <w:r w:rsidR="000A1FA0">
        <w:rPr>
          <w:rStyle w:val="rpc41"/>
        </w:rPr>
        <w:t xml:space="preserve"> in Figure 5 on the next page. Note that Change Requests (CRs) may be submitted at any time regardless of the publis</w:t>
      </w:r>
      <w:r w:rsidR="001904B7">
        <w:rPr>
          <w:rStyle w:val="rpc41"/>
        </w:rPr>
        <w:t>hed schedule, and CCB dates</w:t>
      </w:r>
      <w:r w:rsidR="000A1FA0">
        <w:rPr>
          <w:rStyle w:val="rpc41"/>
        </w:rPr>
        <w:t xml:space="preserve"> may be changed </w:t>
      </w:r>
      <w:r w:rsidR="001904B7">
        <w:rPr>
          <w:rStyle w:val="rpc41"/>
        </w:rPr>
        <w:t xml:space="preserve">at the discretion of the Domain Steward Representative </w:t>
      </w:r>
      <w:r w:rsidR="000A1FA0">
        <w:rPr>
          <w:rStyle w:val="rpc41"/>
        </w:rPr>
        <w:t xml:space="preserve">to accommodate </w:t>
      </w:r>
      <w:r w:rsidR="0069660F">
        <w:rPr>
          <w:rStyle w:val="rpc41"/>
        </w:rPr>
        <w:t>stakeholder’s</w:t>
      </w:r>
      <w:r w:rsidR="000A1FA0">
        <w:rPr>
          <w:rStyle w:val="rpc41"/>
        </w:rPr>
        <w:t xml:space="preserve"> schedules.  </w:t>
      </w:r>
    </w:p>
    <w:p w14:paraId="0957FB44" w14:textId="416BDC71" w:rsidR="000B50FF" w:rsidRPr="00B25DCE" w:rsidRDefault="004B1FD8" w:rsidP="000A1FA0">
      <w:pPr>
        <w:keepNext/>
        <w:spacing w:after="120" w:line="240" w:lineRule="auto"/>
        <w:jc w:val="center"/>
        <w:rPr>
          <w:i/>
          <w:color w:val="FF0000"/>
          <w:sz w:val="18"/>
          <w:szCs w:val="18"/>
        </w:rPr>
      </w:pPr>
      <w:r>
        <w:rPr>
          <w:noProof/>
          <w:lang w:eastAsia="en-US"/>
        </w:rPr>
        <w:lastRenderedPageBreak/>
        <w:drawing>
          <wp:inline distT="0" distB="0" distL="0" distR="0" wp14:anchorId="61F4A381" wp14:editId="7AA096B1">
            <wp:extent cx="5943600" cy="391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911600"/>
                    </a:xfrm>
                    <a:prstGeom prst="rect">
                      <a:avLst/>
                    </a:prstGeom>
                  </pic:spPr>
                </pic:pic>
              </a:graphicData>
            </a:graphic>
          </wp:inline>
        </w:drawing>
      </w:r>
    </w:p>
    <w:p w14:paraId="1EBC9486" w14:textId="11D2649B" w:rsidR="000B50FF" w:rsidRDefault="000B50FF" w:rsidP="000A1FA0">
      <w:pPr>
        <w:keepNext/>
        <w:spacing w:after="120" w:line="240" w:lineRule="auto"/>
        <w:jc w:val="center"/>
        <w:rPr>
          <w:i/>
          <w:color w:val="auto"/>
          <w:sz w:val="18"/>
          <w:szCs w:val="18"/>
        </w:rPr>
      </w:pPr>
      <w:r>
        <w:rPr>
          <w:noProof/>
          <w:lang w:eastAsia="en-US"/>
        </w:rPr>
        <w:drawing>
          <wp:inline distT="0" distB="0" distL="0" distR="0" wp14:anchorId="4F6A4E26" wp14:editId="3C44D85A">
            <wp:extent cx="777225" cy="828551"/>
            <wp:effectExtent l="19050" t="19050" r="23495"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04671" cy="857809"/>
                    </a:xfrm>
                    <a:prstGeom prst="rect">
                      <a:avLst/>
                    </a:prstGeom>
                    <a:ln>
                      <a:solidFill>
                        <a:schemeClr val="tx1"/>
                      </a:solidFill>
                    </a:ln>
                  </pic:spPr>
                </pic:pic>
              </a:graphicData>
            </a:graphic>
          </wp:inline>
        </w:drawing>
      </w:r>
    </w:p>
    <w:p w14:paraId="411DB758" w14:textId="4E71733E" w:rsidR="0059189A" w:rsidRPr="00D72DA2" w:rsidRDefault="00F71354" w:rsidP="000A1FA0">
      <w:pPr>
        <w:keepNext/>
        <w:spacing w:after="120" w:line="240" w:lineRule="auto"/>
        <w:jc w:val="center"/>
      </w:pPr>
      <w:r w:rsidRPr="00F71354">
        <w:rPr>
          <w:i/>
          <w:color w:val="auto"/>
          <w:sz w:val="18"/>
          <w:szCs w:val="18"/>
        </w:rPr>
        <w:t xml:space="preserve">Figure </w:t>
      </w:r>
      <w:r w:rsidRPr="00F71354">
        <w:rPr>
          <w:i/>
          <w:color w:val="auto"/>
          <w:sz w:val="18"/>
          <w:szCs w:val="18"/>
        </w:rPr>
        <w:fldChar w:fldCharType="begin"/>
      </w:r>
      <w:r w:rsidRPr="00F71354">
        <w:rPr>
          <w:i/>
          <w:color w:val="auto"/>
          <w:sz w:val="18"/>
          <w:szCs w:val="18"/>
        </w:rPr>
        <w:instrText xml:space="preserve"> SEQ Figure \* ARABIC </w:instrText>
      </w:r>
      <w:r w:rsidRPr="00F71354">
        <w:rPr>
          <w:i/>
          <w:color w:val="auto"/>
          <w:sz w:val="18"/>
          <w:szCs w:val="18"/>
        </w:rPr>
        <w:fldChar w:fldCharType="separate"/>
      </w:r>
      <w:r w:rsidR="004E535F">
        <w:rPr>
          <w:i/>
          <w:noProof/>
          <w:color w:val="auto"/>
          <w:sz w:val="18"/>
          <w:szCs w:val="18"/>
        </w:rPr>
        <w:t>5</w:t>
      </w:r>
      <w:r w:rsidRPr="00F71354">
        <w:rPr>
          <w:i/>
          <w:color w:val="auto"/>
          <w:sz w:val="18"/>
          <w:szCs w:val="18"/>
        </w:rPr>
        <w:fldChar w:fldCharType="end"/>
      </w:r>
      <w:r w:rsidRPr="00F71354">
        <w:rPr>
          <w:i/>
          <w:color w:val="auto"/>
          <w:sz w:val="18"/>
          <w:szCs w:val="18"/>
        </w:rPr>
        <w:t xml:space="preserve">:  </w:t>
      </w:r>
      <w:r w:rsidR="001904B7">
        <w:rPr>
          <w:i/>
          <w:color w:val="auto"/>
          <w:sz w:val="18"/>
          <w:szCs w:val="18"/>
        </w:rPr>
        <w:t>20</w:t>
      </w:r>
      <w:r w:rsidR="003F74C8">
        <w:rPr>
          <w:i/>
          <w:color w:val="auto"/>
          <w:sz w:val="18"/>
          <w:szCs w:val="18"/>
        </w:rPr>
        <w:t>1</w:t>
      </w:r>
      <w:r w:rsidR="00B25DCE">
        <w:rPr>
          <w:i/>
          <w:color w:val="auto"/>
          <w:sz w:val="18"/>
          <w:szCs w:val="18"/>
        </w:rPr>
        <w:t>9</w:t>
      </w:r>
      <w:r w:rsidR="001904B7">
        <w:rPr>
          <w:i/>
          <w:color w:val="auto"/>
          <w:sz w:val="18"/>
          <w:szCs w:val="18"/>
        </w:rPr>
        <w:t xml:space="preserve"> </w:t>
      </w:r>
      <w:r w:rsidRPr="00F71354">
        <w:rPr>
          <w:i/>
          <w:color w:val="auto"/>
          <w:sz w:val="18"/>
          <w:szCs w:val="18"/>
        </w:rPr>
        <w:t xml:space="preserve">NIEM </w:t>
      </w:r>
      <w:proofErr w:type="spellStart"/>
      <w:r w:rsidRPr="00F71354">
        <w:rPr>
          <w:i/>
          <w:color w:val="auto"/>
          <w:sz w:val="18"/>
          <w:szCs w:val="18"/>
        </w:rPr>
        <w:t>MilOps</w:t>
      </w:r>
      <w:proofErr w:type="spellEnd"/>
      <w:r w:rsidR="0044393F">
        <w:rPr>
          <w:i/>
          <w:color w:val="auto"/>
          <w:sz w:val="18"/>
          <w:szCs w:val="18"/>
        </w:rPr>
        <w:t xml:space="preserve"> CCB </w:t>
      </w:r>
      <w:r w:rsidR="000B50FF">
        <w:rPr>
          <w:i/>
          <w:color w:val="auto"/>
          <w:sz w:val="18"/>
          <w:szCs w:val="18"/>
        </w:rPr>
        <w:t>Activity</w:t>
      </w:r>
      <w:r w:rsidR="0044393F">
        <w:rPr>
          <w:i/>
          <w:color w:val="auto"/>
          <w:sz w:val="18"/>
          <w:szCs w:val="18"/>
        </w:rPr>
        <w:t xml:space="preserve"> Schedule</w:t>
      </w:r>
    </w:p>
    <w:p w14:paraId="2C0F931F" w14:textId="77777777" w:rsidR="00A858F2" w:rsidRDefault="008271DE" w:rsidP="00F70EA2">
      <w:pPr>
        <w:pStyle w:val="Heading2"/>
        <w:numPr>
          <w:ilvl w:val="0"/>
          <w:numId w:val="22"/>
        </w:numPr>
        <w:ind w:left="270" w:hanging="270"/>
      </w:pPr>
      <w:bookmarkStart w:id="12" w:name="_Toc12952927"/>
      <w:r>
        <w:t>Change Request</w:t>
      </w:r>
      <w:r w:rsidR="00A858F2">
        <w:t>/</w:t>
      </w:r>
      <w:r>
        <w:t>Impact and Solutio</w:t>
      </w:r>
      <w:r w:rsidR="006A0675">
        <w:t>n</w:t>
      </w:r>
      <w:r w:rsidR="00D86E8D">
        <w:t>s</w:t>
      </w:r>
      <w:r>
        <w:t xml:space="preserve"> Assessment/</w:t>
      </w:r>
      <w:r w:rsidR="005C26E5">
        <w:t>Technical Design Review</w:t>
      </w:r>
      <w:r w:rsidR="00A858F2">
        <w:t xml:space="preserve"> Process</w:t>
      </w:r>
      <w:bookmarkEnd w:id="12"/>
    </w:p>
    <w:p w14:paraId="6C8BD22B" w14:textId="77777777" w:rsidR="00A858F2" w:rsidRDefault="00410634" w:rsidP="00410634">
      <w:pPr>
        <w:ind w:left="270"/>
      </w:pPr>
      <w:r>
        <w:t>LEAD:</w:t>
      </w:r>
    </w:p>
    <w:p w14:paraId="4B0AA784" w14:textId="77777777" w:rsidR="00410634" w:rsidRDefault="00410634" w:rsidP="00410634">
      <w:pPr>
        <w:pStyle w:val="ListParagraph"/>
        <w:numPr>
          <w:ilvl w:val="0"/>
          <w:numId w:val="23"/>
        </w:numPr>
      </w:pPr>
      <w:proofErr w:type="spellStart"/>
      <w:r>
        <w:t>MilOps</w:t>
      </w:r>
      <w:proofErr w:type="spellEnd"/>
      <w:r>
        <w:t xml:space="preserve"> Domain Lead Engineer</w:t>
      </w:r>
      <w:r w:rsidR="0069660F">
        <w:t>:  GTRI</w:t>
      </w:r>
    </w:p>
    <w:p w14:paraId="72C9625E" w14:textId="77777777" w:rsidR="002C3599" w:rsidRDefault="00410634" w:rsidP="00EB1586">
      <w:pPr>
        <w:ind w:left="270"/>
        <w:jc w:val="both"/>
      </w:pPr>
      <w:r>
        <w:t xml:space="preserve">OBJECTIVES: </w:t>
      </w:r>
      <w:r w:rsidR="001F754A">
        <w:t xml:space="preserve"> </w:t>
      </w:r>
      <w:r w:rsidR="005C26E5">
        <w:t xml:space="preserve">The purpose of the Change Request, Impact and Solutions Assessment and Technical Design Review (CR/ISA/TDR) process is designed to facilitate the collection of </w:t>
      </w:r>
      <w:proofErr w:type="spellStart"/>
      <w:r w:rsidR="005C26E5">
        <w:t>MilOps</w:t>
      </w:r>
      <w:proofErr w:type="spellEnd"/>
      <w:r w:rsidR="005C26E5">
        <w:t xml:space="preserve"> change requests for adding, modifying or deleting data components in the NIEN reference model.  The NIEM reference model includes:  NIEM Core and all of the NIEM Domain models.  The </w:t>
      </w:r>
      <w:proofErr w:type="spellStart"/>
      <w:r w:rsidR="005C26E5">
        <w:t>MilOps</w:t>
      </w:r>
      <w:proofErr w:type="spellEnd"/>
      <w:r w:rsidR="005C26E5">
        <w:t xml:space="preserve"> change request illustrated in Figure </w:t>
      </w:r>
      <w:r w:rsidR="001904B7">
        <w:t>7</w:t>
      </w:r>
      <w:r w:rsidR="005C26E5">
        <w:t xml:space="preserve"> is explained in detail in the </w:t>
      </w:r>
      <w:proofErr w:type="spellStart"/>
      <w:r w:rsidR="005C26E5">
        <w:t>MilOps</w:t>
      </w:r>
      <w:proofErr w:type="spellEnd"/>
      <w:r w:rsidR="005C26E5">
        <w:t xml:space="preserve"> Operations and Maintenance Plan.  Any changes recommended to NIEM Core or other NIEM Domain will follow the appropriate configuration management process. </w:t>
      </w:r>
    </w:p>
    <w:p w14:paraId="32CFB42C" w14:textId="77777777" w:rsidR="002C3599" w:rsidRDefault="002C3599" w:rsidP="00EB1586">
      <w:pPr>
        <w:ind w:left="270"/>
        <w:jc w:val="both"/>
      </w:pPr>
      <w:r>
        <w:rPr>
          <w:rStyle w:val="rpc41"/>
        </w:rPr>
        <w:t xml:space="preserve">The NIEM </w:t>
      </w:r>
      <w:proofErr w:type="spellStart"/>
      <w:r>
        <w:rPr>
          <w:rStyle w:val="rpc41"/>
        </w:rPr>
        <w:t>MilOps</w:t>
      </w:r>
      <w:proofErr w:type="spellEnd"/>
      <w:r>
        <w:rPr>
          <w:rStyle w:val="rpc41"/>
        </w:rPr>
        <w:t xml:space="preserve"> site on APAN is:  </w:t>
      </w:r>
      <w:hyperlink r:id="rId30" w:history="1">
        <w:r w:rsidRPr="00FD55E0">
          <w:rPr>
            <w:rStyle w:val="Hyperlink"/>
          </w:rPr>
          <w:t>https://wss.apan.org/s/NIEM_MilOps/default.aspx</w:t>
        </w:r>
      </w:hyperlink>
      <w:r>
        <w:rPr>
          <w:rStyle w:val="rpc41"/>
        </w:rPr>
        <w:t xml:space="preserve">.  The </w:t>
      </w:r>
      <w:proofErr w:type="spellStart"/>
      <w:r>
        <w:rPr>
          <w:rStyle w:val="rpc41"/>
        </w:rPr>
        <w:t>MilOps</w:t>
      </w:r>
      <w:proofErr w:type="spellEnd"/>
      <w:r>
        <w:rPr>
          <w:rStyle w:val="rpc41"/>
        </w:rPr>
        <w:t xml:space="preserve"> CCB site on APAN is:  </w:t>
      </w:r>
      <w:hyperlink r:id="rId31" w:history="1">
        <w:r w:rsidRPr="00FD55E0">
          <w:rPr>
            <w:rStyle w:val="Hyperlink"/>
          </w:rPr>
          <w:t>https://wss.apan.org/s/NIEM_MilOps/CCB/default.aspx</w:t>
        </w:r>
      </w:hyperlink>
      <w:r>
        <w:rPr>
          <w:rStyle w:val="rpc41"/>
        </w:rPr>
        <w:t xml:space="preserve">. </w:t>
      </w:r>
    </w:p>
    <w:p w14:paraId="653FD7EB" w14:textId="5BF8A176" w:rsidR="001904B7" w:rsidRDefault="00D72DA2" w:rsidP="001904B7">
      <w:pPr>
        <w:ind w:left="270"/>
        <w:jc w:val="both"/>
      </w:pPr>
      <w:r>
        <w:lastRenderedPageBreak/>
        <w:t xml:space="preserve">Refer to Figure </w:t>
      </w:r>
      <w:r w:rsidR="004A72E2">
        <w:t>6</w:t>
      </w:r>
      <w:r>
        <w:t xml:space="preserve"> </w:t>
      </w:r>
      <w:r w:rsidR="001904B7">
        <w:t>and</w:t>
      </w:r>
      <w:r>
        <w:t xml:space="preserve"> Figure </w:t>
      </w:r>
      <w:r w:rsidR="004A72E2">
        <w:t>7</w:t>
      </w:r>
      <w:r>
        <w:t xml:space="preserve"> for </w:t>
      </w:r>
      <w:r w:rsidR="0044393F">
        <w:t>supporting activity model diagrams</w:t>
      </w:r>
      <w:r w:rsidR="001904B7">
        <w:t>.</w:t>
      </w:r>
      <w:r w:rsidR="005C26E5">
        <w:t xml:space="preserve"> </w:t>
      </w:r>
    </w:p>
    <w:p w14:paraId="5D4B4DB4" w14:textId="6F42E887" w:rsidR="001904B7" w:rsidRDefault="001904B7" w:rsidP="001904B7">
      <w:pPr>
        <w:ind w:left="270"/>
        <w:jc w:val="both"/>
      </w:pPr>
      <w:r>
        <w:t xml:space="preserve">ACTION PLAN:  Refer to Figure 8 for </w:t>
      </w:r>
      <w:r w:rsidR="00F5169B">
        <w:t>a timeline</w:t>
      </w:r>
      <w:r>
        <w:t xml:space="preserve"> and synchronization of CR/ISA/TDR activities scheduled in 20</w:t>
      </w:r>
      <w:r w:rsidR="00E159AE">
        <w:t>18</w:t>
      </w:r>
      <w:r>
        <w:t xml:space="preserve">. </w:t>
      </w:r>
      <w:r>
        <w:rPr>
          <w:rStyle w:val="rpc41"/>
        </w:rPr>
        <w:t xml:space="preserve">Note that Change Requests (CRs) may be submitted at any time regardless of the published schedule. Deadlines listed in the activity schedule are designed for planning purposes.  </w:t>
      </w:r>
      <w:r w:rsidR="00AB3940">
        <w:rPr>
          <w:rStyle w:val="rpc41"/>
        </w:rPr>
        <w:t>These dates</w:t>
      </w:r>
      <w:r>
        <w:rPr>
          <w:rStyle w:val="rpc41"/>
        </w:rPr>
        <w:t xml:space="preserve"> may change to accommodate stakeholder’s schedules.  </w:t>
      </w:r>
    </w:p>
    <w:p w14:paraId="2CF0CB7B" w14:textId="5D1801A7" w:rsidR="00D72DA2" w:rsidRPr="00F34811" w:rsidRDefault="00A54E22" w:rsidP="00F34811">
      <w:pPr>
        <w:jc w:val="center"/>
      </w:pPr>
      <w:r>
        <w:rPr>
          <w:noProof/>
          <w:lang w:eastAsia="en-US"/>
        </w:rPr>
        <w:drawing>
          <wp:inline distT="0" distB="0" distL="0" distR="0" wp14:anchorId="7008A1F7" wp14:editId="163A8369">
            <wp:extent cx="5943600" cy="3476625"/>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476625"/>
                    </a:xfrm>
                    <a:prstGeom prst="rect">
                      <a:avLst/>
                    </a:prstGeom>
                    <a:ln>
                      <a:solidFill>
                        <a:schemeClr val="tx1"/>
                      </a:solidFill>
                    </a:ln>
                  </pic:spPr>
                </pic:pic>
              </a:graphicData>
            </a:graphic>
          </wp:inline>
        </w:drawing>
      </w:r>
      <w:r w:rsidR="00D72DA2" w:rsidRPr="00D72DA2">
        <w:rPr>
          <w:color w:val="auto"/>
          <w:sz w:val="18"/>
        </w:rPr>
        <w:t xml:space="preserve">Figure </w:t>
      </w:r>
      <w:r w:rsidR="00D72DA2" w:rsidRPr="00D72DA2">
        <w:rPr>
          <w:i/>
          <w:color w:val="auto"/>
          <w:sz w:val="18"/>
        </w:rPr>
        <w:fldChar w:fldCharType="begin"/>
      </w:r>
      <w:r w:rsidR="00D72DA2" w:rsidRPr="00D72DA2">
        <w:rPr>
          <w:color w:val="auto"/>
          <w:sz w:val="18"/>
        </w:rPr>
        <w:instrText xml:space="preserve"> SEQ Figure \* ARABIC </w:instrText>
      </w:r>
      <w:r w:rsidR="00D72DA2" w:rsidRPr="00D72DA2">
        <w:rPr>
          <w:i/>
          <w:color w:val="auto"/>
          <w:sz w:val="18"/>
        </w:rPr>
        <w:fldChar w:fldCharType="separate"/>
      </w:r>
      <w:r w:rsidR="004E535F">
        <w:rPr>
          <w:noProof/>
          <w:color w:val="auto"/>
          <w:sz w:val="18"/>
        </w:rPr>
        <w:t>6</w:t>
      </w:r>
      <w:r w:rsidR="00D72DA2" w:rsidRPr="00D72DA2">
        <w:rPr>
          <w:i/>
          <w:color w:val="auto"/>
          <w:sz w:val="18"/>
        </w:rPr>
        <w:fldChar w:fldCharType="end"/>
      </w:r>
      <w:r w:rsidR="00D72DA2" w:rsidRPr="00D72DA2">
        <w:rPr>
          <w:color w:val="auto"/>
          <w:sz w:val="18"/>
        </w:rPr>
        <w:t xml:space="preserve">:  </w:t>
      </w:r>
      <w:r w:rsidR="005825E7">
        <w:rPr>
          <w:color w:val="auto"/>
          <w:sz w:val="18"/>
        </w:rPr>
        <w:t>NIEM Adoption Process Flow Diagram</w:t>
      </w:r>
    </w:p>
    <w:p w14:paraId="2CBB0666" w14:textId="77777777" w:rsidR="0059189A" w:rsidRDefault="003436E4" w:rsidP="00F5169B">
      <w:pPr>
        <w:keepNext/>
        <w:spacing w:after="120" w:line="240" w:lineRule="auto"/>
        <w:jc w:val="center"/>
      </w:pPr>
      <w:r>
        <w:rPr>
          <w:noProof/>
          <w:lang w:eastAsia="en-US"/>
        </w:rPr>
        <w:lastRenderedPageBreak/>
        <w:drawing>
          <wp:inline distT="0" distB="0" distL="0" distR="0" wp14:anchorId="5DCFFE3A" wp14:editId="0F58E1EC">
            <wp:extent cx="5943600" cy="336232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362325"/>
                    </a:xfrm>
                    <a:prstGeom prst="rect">
                      <a:avLst/>
                    </a:prstGeom>
                    <a:ln>
                      <a:solidFill>
                        <a:schemeClr val="tx1"/>
                      </a:solidFill>
                    </a:ln>
                  </pic:spPr>
                </pic:pic>
              </a:graphicData>
            </a:graphic>
          </wp:inline>
        </w:drawing>
      </w:r>
    </w:p>
    <w:p w14:paraId="5CB18690" w14:textId="79EDB783" w:rsidR="001A00F0" w:rsidRPr="00B25DCE" w:rsidRDefault="0059189A" w:rsidP="00B25DCE">
      <w:pPr>
        <w:pStyle w:val="Caption"/>
        <w:spacing w:before="0"/>
        <w:jc w:val="center"/>
        <w:rPr>
          <w:i w:val="0"/>
          <w:color w:val="auto"/>
          <w:sz w:val="18"/>
        </w:rPr>
      </w:pPr>
      <w:r w:rsidRPr="0059189A">
        <w:rPr>
          <w:i w:val="0"/>
          <w:color w:val="auto"/>
          <w:sz w:val="18"/>
        </w:rPr>
        <w:t xml:space="preserve">Figure </w:t>
      </w:r>
      <w:r w:rsidRPr="0059189A">
        <w:rPr>
          <w:i w:val="0"/>
          <w:color w:val="auto"/>
          <w:sz w:val="18"/>
        </w:rPr>
        <w:fldChar w:fldCharType="begin"/>
      </w:r>
      <w:r w:rsidRPr="0059189A">
        <w:rPr>
          <w:i w:val="0"/>
          <w:color w:val="auto"/>
          <w:sz w:val="18"/>
        </w:rPr>
        <w:instrText xml:space="preserve"> SEQ Figure \* ARABIC </w:instrText>
      </w:r>
      <w:r w:rsidRPr="0059189A">
        <w:rPr>
          <w:i w:val="0"/>
          <w:color w:val="auto"/>
          <w:sz w:val="18"/>
        </w:rPr>
        <w:fldChar w:fldCharType="separate"/>
      </w:r>
      <w:r w:rsidR="004E535F">
        <w:rPr>
          <w:i w:val="0"/>
          <w:noProof/>
          <w:color w:val="auto"/>
          <w:sz w:val="18"/>
        </w:rPr>
        <w:t>7</w:t>
      </w:r>
      <w:r w:rsidRPr="0059189A">
        <w:rPr>
          <w:i w:val="0"/>
          <w:color w:val="auto"/>
          <w:sz w:val="18"/>
        </w:rPr>
        <w:fldChar w:fldCharType="end"/>
      </w:r>
      <w:r w:rsidRPr="0059189A">
        <w:rPr>
          <w:i w:val="0"/>
          <w:color w:val="auto"/>
          <w:sz w:val="18"/>
        </w:rPr>
        <w:t xml:space="preserve">:  </w:t>
      </w:r>
      <w:proofErr w:type="spellStart"/>
      <w:r w:rsidRPr="0059189A">
        <w:rPr>
          <w:i w:val="0"/>
          <w:color w:val="auto"/>
          <w:sz w:val="18"/>
        </w:rPr>
        <w:t>MilOps</w:t>
      </w:r>
      <w:proofErr w:type="spellEnd"/>
      <w:r w:rsidRPr="0059189A">
        <w:rPr>
          <w:i w:val="0"/>
          <w:color w:val="auto"/>
          <w:sz w:val="18"/>
        </w:rPr>
        <w:t xml:space="preserve"> Change Request Process</w:t>
      </w:r>
    </w:p>
    <w:sectPr w:rsidR="001A00F0" w:rsidRPr="00B25DCE" w:rsidSect="006104A0">
      <w:pgSz w:w="12240" w:h="15840"/>
      <w:pgMar w:top="1440" w:right="1440" w:bottom="1152" w:left="1440" w:header="720" w:footer="720" w:gutter="0"/>
      <w:lnNumType w:countBy="1" w:restart="continuous"/>
      <w:pgNumType w:start="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58C31E" w14:textId="77777777" w:rsidR="00B93AEB" w:rsidRDefault="00B93AEB">
      <w:pPr>
        <w:spacing w:before="0" w:after="0" w:line="240" w:lineRule="auto"/>
      </w:pPr>
      <w:r>
        <w:separator/>
      </w:r>
    </w:p>
  </w:endnote>
  <w:endnote w:type="continuationSeparator" w:id="0">
    <w:p w14:paraId="30AC03AE" w14:textId="77777777" w:rsidR="00B93AEB" w:rsidRDefault="00B93AE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5240785"/>
      <w:docPartObj>
        <w:docPartGallery w:val="Page Numbers (Bottom of Page)"/>
        <w:docPartUnique/>
      </w:docPartObj>
    </w:sdtPr>
    <w:sdtEndPr>
      <w:rPr>
        <w:noProof/>
      </w:rPr>
    </w:sdtEndPr>
    <w:sdtContent>
      <w:p w14:paraId="7543A38F" w14:textId="6395E444" w:rsidR="00662F97" w:rsidRDefault="00662F97">
        <w:pPr>
          <w:pStyle w:val="Footer"/>
        </w:pPr>
        <w:r>
          <w:fldChar w:fldCharType="begin"/>
        </w:r>
        <w:r>
          <w:instrText xml:space="preserve"> PAGE   \* MERGEFORMAT </w:instrText>
        </w:r>
        <w:r>
          <w:fldChar w:fldCharType="separate"/>
        </w:r>
        <w:r w:rsidR="00B50D1E">
          <w:rPr>
            <w:noProof/>
          </w:rPr>
          <w:t>7</w:t>
        </w:r>
        <w:r>
          <w:rPr>
            <w:noProof/>
          </w:rPr>
          <w:fldChar w:fldCharType="end"/>
        </w:r>
      </w:p>
    </w:sdtContent>
  </w:sdt>
  <w:p w14:paraId="3EE69232" w14:textId="77777777" w:rsidR="00662F97" w:rsidRDefault="00662F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835896"/>
      <w:docPartObj>
        <w:docPartGallery w:val="Page Numbers (Bottom of Page)"/>
        <w:docPartUnique/>
      </w:docPartObj>
    </w:sdtPr>
    <w:sdtEndPr>
      <w:rPr>
        <w:noProof/>
      </w:rPr>
    </w:sdtEndPr>
    <w:sdtContent>
      <w:p w14:paraId="21179C97" w14:textId="502C3A89" w:rsidR="00662F97" w:rsidRDefault="00662F97">
        <w:pPr>
          <w:pStyle w:val="Footer"/>
        </w:pPr>
        <w:r>
          <w:fldChar w:fldCharType="begin"/>
        </w:r>
        <w:r>
          <w:instrText xml:space="preserve"> PAGE   \* MERGEFORMAT </w:instrText>
        </w:r>
        <w:r>
          <w:fldChar w:fldCharType="separate"/>
        </w:r>
        <w:r w:rsidR="00B50D1E">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996DC0" w14:textId="77777777" w:rsidR="00B93AEB" w:rsidRDefault="00B93AEB">
      <w:pPr>
        <w:spacing w:before="0" w:after="0" w:line="240" w:lineRule="auto"/>
      </w:pPr>
      <w:r>
        <w:separator/>
      </w:r>
    </w:p>
  </w:footnote>
  <w:footnote w:type="continuationSeparator" w:id="0">
    <w:p w14:paraId="0C9E7AA4" w14:textId="77777777" w:rsidR="00B93AEB" w:rsidRDefault="00B93AE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21CE7" w14:textId="77777777" w:rsidR="00662F97" w:rsidRPr="00877F74" w:rsidRDefault="00662F97" w:rsidP="00877F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0310094"/>
    <w:multiLevelType w:val="hybridMultilevel"/>
    <w:tmpl w:val="C9D0C760"/>
    <w:lvl w:ilvl="0" w:tplc="53B0197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E24D25"/>
    <w:multiLevelType w:val="hybridMultilevel"/>
    <w:tmpl w:val="8C2E3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794ABF"/>
    <w:multiLevelType w:val="hybridMultilevel"/>
    <w:tmpl w:val="A7608A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17039A"/>
    <w:multiLevelType w:val="hybridMultilevel"/>
    <w:tmpl w:val="CFC67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10ABF"/>
    <w:multiLevelType w:val="hybridMultilevel"/>
    <w:tmpl w:val="C26A06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7B3423"/>
    <w:multiLevelType w:val="hybridMultilevel"/>
    <w:tmpl w:val="8A1A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203734"/>
    <w:multiLevelType w:val="hybridMultilevel"/>
    <w:tmpl w:val="0900B3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C06B1C"/>
    <w:multiLevelType w:val="hybridMultilevel"/>
    <w:tmpl w:val="BDFAC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B202A8"/>
    <w:multiLevelType w:val="hybridMultilevel"/>
    <w:tmpl w:val="9790FB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15609BF"/>
    <w:multiLevelType w:val="hybridMultilevel"/>
    <w:tmpl w:val="328EBF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27930DC"/>
    <w:multiLevelType w:val="hybridMultilevel"/>
    <w:tmpl w:val="7430C966"/>
    <w:lvl w:ilvl="0" w:tplc="58065C3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0104AC"/>
    <w:multiLevelType w:val="hybridMultilevel"/>
    <w:tmpl w:val="B6D81F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230E0085"/>
    <w:multiLevelType w:val="hybridMultilevel"/>
    <w:tmpl w:val="5B46F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2C10AE"/>
    <w:multiLevelType w:val="hybridMultilevel"/>
    <w:tmpl w:val="4544ADD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66E790C"/>
    <w:multiLevelType w:val="hybridMultilevel"/>
    <w:tmpl w:val="0E3C4E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B5B0738"/>
    <w:multiLevelType w:val="hybridMultilevel"/>
    <w:tmpl w:val="3C944BBC"/>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18" w15:restartNumberingAfterBreak="0">
    <w:nsid w:val="326F0204"/>
    <w:multiLevelType w:val="hybridMultilevel"/>
    <w:tmpl w:val="63C29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AA2CFB"/>
    <w:multiLevelType w:val="hybridMultilevel"/>
    <w:tmpl w:val="AE824B62"/>
    <w:lvl w:ilvl="0" w:tplc="04090001">
      <w:start w:val="1"/>
      <w:numFmt w:val="bullet"/>
      <w:lvlText w:val=""/>
      <w:lvlJc w:val="left"/>
      <w:pPr>
        <w:ind w:left="6840" w:hanging="360"/>
      </w:pPr>
      <w:rPr>
        <w:rFonts w:ascii="Symbol" w:hAnsi="Symbol"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20" w15:restartNumberingAfterBreak="0">
    <w:nsid w:val="39582015"/>
    <w:multiLevelType w:val="hybridMultilevel"/>
    <w:tmpl w:val="0B2615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0472CBA"/>
    <w:multiLevelType w:val="hybridMultilevel"/>
    <w:tmpl w:val="54686C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3665E3A"/>
    <w:multiLevelType w:val="hybridMultilevel"/>
    <w:tmpl w:val="5452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B937EA"/>
    <w:multiLevelType w:val="hybridMultilevel"/>
    <w:tmpl w:val="92F43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C93F2B"/>
    <w:multiLevelType w:val="hybridMultilevel"/>
    <w:tmpl w:val="3CA88B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DCE7631"/>
    <w:multiLevelType w:val="hybridMultilevel"/>
    <w:tmpl w:val="6F580754"/>
    <w:lvl w:ilvl="0" w:tplc="04090001">
      <w:start w:val="1"/>
      <w:numFmt w:val="bullet"/>
      <w:lvlText w:val=""/>
      <w:lvlJc w:val="left"/>
      <w:pPr>
        <w:ind w:left="720" w:hanging="360"/>
      </w:pPr>
      <w:rPr>
        <w:rFonts w:ascii="Symbol" w:hAnsi="Symbol" w:hint="default"/>
        <w:sz w:val="22"/>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DB45D0"/>
    <w:multiLevelType w:val="hybridMultilevel"/>
    <w:tmpl w:val="0D1E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0572B2"/>
    <w:multiLevelType w:val="hybridMultilevel"/>
    <w:tmpl w:val="BB764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245469"/>
    <w:multiLevelType w:val="hybridMultilevel"/>
    <w:tmpl w:val="08A2885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15:restartNumberingAfterBreak="0">
    <w:nsid w:val="791736A6"/>
    <w:multiLevelType w:val="hybridMultilevel"/>
    <w:tmpl w:val="5678B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9F20259"/>
    <w:multiLevelType w:val="hybridMultilevel"/>
    <w:tmpl w:val="7CF66556"/>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1" w15:restartNumberingAfterBreak="0">
    <w:nsid w:val="7FE01745"/>
    <w:multiLevelType w:val="hybridMultilevel"/>
    <w:tmpl w:val="C1800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6"/>
  </w:num>
  <w:num w:numId="8">
    <w:abstractNumId w:val="27"/>
  </w:num>
  <w:num w:numId="9">
    <w:abstractNumId w:val="23"/>
  </w:num>
  <w:num w:numId="10">
    <w:abstractNumId w:val="31"/>
  </w:num>
  <w:num w:numId="11">
    <w:abstractNumId w:val="22"/>
  </w:num>
  <w:num w:numId="12">
    <w:abstractNumId w:val="14"/>
  </w:num>
  <w:num w:numId="13">
    <w:abstractNumId w:val="5"/>
  </w:num>
  <w:num w:numId="14">
    <w:abstractNumId w:val="9"/>
  </w:num>
  <w:num w:numId="15">
    <w:abstractNumId w:val="8"/>
  </w:num>
  <w:num w:numId="16">
    <w:abstractNumId w:val="21"/>
  </w:num>
  <w:num w:numId="17">
    <w:abstractNumId w:val="11"/>
  </w:num>
  <w:num w:numId="18">
    <w:abstractNumId w:val="12"/>
  </w:num>
  <w:num w:numId="19">
    <w:abstractNumId w:val="18"/>
  </w:num>
  <w:num w:numId="20">
    <w:abstractNumId w:val="3"/>
  </w:num>
  <w:num w:numId="21">
    <w:abstractNumId w:val="2"/>
  </w:num>
  <w:num w:numId="22">
    <w:abstractNumId w:val="25"/>
  </w:num>
  <w:num w:numId="23">
    <w:abstractNumId w:val="28"/>
  </w:num>
  <w:num w:numId="24">
    <w:abstractNumId w:val="4"/>
  </w:num>
  <w:num w:numId="25">
    <w:abstractNumId w:val="30"/>
  </w:num>
  <w:num w:numId="26">
    <w:abstractNumId w:val="19"/>
  </w:num>
  <w:num w:numId="27">
    <w:abstractNumId w:val="20"/>
  </w:num>
  <w:num w:numId="28">
    <w:abstractNumId w:val="10"/>
  </w:num>
  <w:num w:numId="29">
    <w:abstractNumId w:val="16"/>
  </w:num>
  <w:num w:numId="30">
    <w:abstractNumId w:val="24"/>
  </w:num>
  <w:num w:numId="31">
    <w:abstractNumId w:val="7"/>
  </w:num>
  <w:num w:numId="32">
    <w:abstractNumId w:val="6"/>
  </w:num>
  <w:num w:numId="33">
    <w:abstractNumId w:val="29"/>
  </w:num>
  <w:num w:numId="34">
    <w:abstractNumId w:val="17"/>
  </w:num>
  <w:num w:numId="35">
    <w:abstractNumId w:val="13"/>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C23"/>
    <w:rsid w:val="000155E8"/>
    <w:rsid w:val="00022037"/>
    <w:rsid w:val="0002674B"/>
    <w:rsid w:val="00027320"/>
    <w:rsid w:val="00042950"/>
    <w:rsid w:val="00042F0D"/>
    <w:rsid w:val="00044AF7"/>
    <w:rsid w:val="00056067"/>
    <w:rsid w:val="00067A6A"/>
    <w:rsid w:val="000752D8"/>
    <w:rsid w:val="00077816"/>
    <w:rsid w:val="00077EC0"/>
    <w:rsid w:val="00081192"/>
    <w:rsid w:val="000870BF"/>
    <w:rsid w:val="00096D78"/>
    <w:rsid w:val="000A1FA0"/>
    <w:rsid w:val="000A3B0B"/>
    <w:rsid w:val="000A6ADB"/>
    <w:rsid w:val="000A773B"/>
    <w:rsid w:val="000B50FF"/>
    <w:rsid w:val="000C0D79"/>
    <w:rsid w:val="000C1379"/>
    <w:rsid w:val="000C1B57"/>
    <w:rsid w:val="000C6B17"/>
    <w:rsid w:val="000D1716"/>
    <w:rsid w:val="000D1FBC"/>
    <w:rsid w:val="000D5739"/>
    <w:rsid w:val="000E457F"/>
    <w:rsid w:val="000E6B09"/>
    <w:rsid w:val="000F2DF7"/>
    <w:rsid w:val="00100695"/>
    <w:rsid w:val="00116134"/>
    <w:rsid w:val="00120B13"/>
    <w:rsid w:val="00121AB7"/>
    <w:rsid w:val="001327BE"/>
    <w:rsid w:val="0013286A"/>
    <w:rsid w:val="001566E1"/>
    <w:rsid w:val="0016552A"/>
    <w:rsid w:val="001841EC"/>
    <w:rsid w:val="001904B7"/>
    <w:rsid w:val="00193338"/>
    <w:rsid w:val="0019724D"/>
    <w:rsid w:val="001A00F0"/>
    <w:rsid w:val="001A096D"/>
    <w:rsid w:val="001D0D2E"/>
    <w:rsid w:val="001E45EB"/>
    <w:rsid w:val="001E7C55"/>
    <w:rsid w:val="001F754A"/>
    <w:rsid w:val="00200812"/>
    <w:rsid w:val="00201CB6"/>
    <w:rsid w:val="00215038"/>
    <w:rsid w:val="00232361"/>
    <w:rsid w:val="002375BF"/>
    <w:rsid w:val="0024149C"/>
    <w:rsid w:val="00241EAB"/>
    <w:rsid w:val="002600DD"/>
    <w:rsid w:val="00261B13"/>
    <w:rsid w:val="002775C9"/>
    <w:rsid w:val="00280821"/>
    <w:rsid w:val="0028327B"/>
    <w:rsid w:val="002842C9"/>
    <w:rsid w:val="002A08D3"/>
    <w:rsid w:val="002C3599"/>
    <w:rsid w:val="002C6D9D"/>
    <w:rsid w:val="002D02F6"/>
    <w:rsid w:val="002D0C47"/>
    <w:rsid w:val="002E4E6E"/>
    <w:rsid w:val="0030688D"/>
    <w:rsid w:val="003431DE"/>
    <w:rsid w:val="003436E4"/>
    <w:rsid w:val="00343BED"/>
    <w:rsid w:val="00345D8D"/>
    <w:rsid w:val="00357BDF"/>
    <w:rsid w:val="00361F32"/>
    <w:rsid w:val="00376CE1"/>
    <w:rsid w:val="0038089F"/>
    <w:rsid w:val="003834AD"/>
    <w:rsid w:val="003927D1"/>
    <w:rsid w:val="003960E7"/>
    <w:rsid w:val="003A5C2C"/>
    <w:rsid w:val="003A7D78"/>
    <w:rsid w:val="003B15A5"/>
    <w:rsid w:val="003B4596"/>
    <w:rsid w:val="003D2A5D"/>
    <w:rsid w:val="003D623A"/>
    <w:rsid w:val="003E4D03"/>
    <w:rsid w:val="003F2ADB"/>
    <w:rsid w:val="003F740E"/>
    <w:rsid w:val="003F74C8"/>
    <w:rsid w:val="00403125"/>
    <w:rsid w:val="00405F71"/>
    <w:rsid w:val="00410634"/>
    <w:rsid w:val="004177FC"/>
    <w:rsid w:val="00433C13"/>
    <w:rsid w:val="0043510B"/>
    <w:rsid w:val="0044393F"/>
    <w:rsid w:val="00445F55"/>
    <w:rsid w:val="00446998"/>
    <w:rsid w:val="00450C08"/>
    <w:rsid w:val="00456F1C"/>
    <w:rsid w:val="00462CF2"/>
    <w:rsid w:val="0046381B"/>
    <w:rsid w:val="0046545C"/>
    <w:rsid w:val="004740FD"/>
    <w:rsid w:val="004814D3"/>
    <w:rsid w:val="00495FEA"/>
    <w:rsid w:val="004A72E2"/>
    <w:rsid w:val="004B1FD8"/>
    <w:rsid w:val="004B3B01"/>
    <w:rsid w:val="004C4AE8"/>
    <w:rsid w:val="004D1A8D"/>
    <w:rsid w:val="004E1B8A"/>
    <w:rsid w:val="004E535F"/>
    <w:rsid w:val="004F2679"/>
    <w:rsid w:val="004F26E9"/>
    <w:rsid w:val="00514E21"/>
    <w:rsid w:val="0053093F"/>
    <w:rsid w:val="00534EE2"/>
    <w:rsid w:val="00537EF9"/>
    <w:rsid w:val="005409CB"/>
    <w:rsid w:val="005501F4"/>
    <w:rsid w:val="00553813"/>
    <w:rsid w:val="0055738D"/>
    <w:rsid w:val="005605F1"/>
    <w:rsid w:val="00563F2B"/>
    <w:rsid w:val="00565A12"/>
    <w:rsid w:val="00565CA2"/>
    <w:rsid w:val="00571801"/>
    <w:rsid w:val="00574546"/>
    <w:rsid w:val="005825E7"/>
    <w:rsid w:val="00587DFA"/>
    <w:rsid w:val="00590219"/>
    <w:rsid w:val="00590604"/>
    <w:rsid w:val="0059189A"/>
    <w:rsid w:val="005966A0"/>
    <w:rsid w:val="005A0194"/>
    <w:rsid w:val="005A0577"/>
    <w:rsid w:val="005A6CB1"/>
    <w:rsid w:val="005B01BB"/>
    <w:rsid w:val="005B560A"/>
    <w:rsid w:val="005B7C37"/>
    <w:rsid w:val="005C26E5"/>
    <w:rsid w:val="005D408C"/>
    <w:rsid w:val="005D749F"/>
    <w:rsid w:val="005E28DE"/>
    <w:rsid w:val="005E2FD5"/>
    <w:rsid w:val="00603467"/>
    <w:rsid w:val="006104A0"/>
    <w:rsid w:val="00617E4E"/>
    <w:rsid w:val="0062137E"/>
    <w:rsid w:val="00621A0E"/>
    <w:rsid w:val="00625C23"/>
    <w:rsid w:val="0062658A"/>
    <w:rsid w:val="00632709"/>
    <w:rsid w:val="00642FBF"/>
    <w:rsid w:val="0065441C"/>
    <w:rsid w:val="00660565"/>
    <w:rsid w:val="00662F97"/>
    <w:rsid w:val="00663426"/>
    <w:rsid w:val="006715C6"/>
    <w:rsid w:val="00673E9D"/>
    <w:rsid w:val="0068703C"/>
    <w:rsid w:val="00690942"/>
    <w:rsid w:val="00690AD7"/>
    <w:rsid w:val="0069660F"/>
    <w:rsid w:val="0069662A"/>
    <w:rsid w:val="00696C91"/>
    <w:rsid w:val="006A0675"/>
    <w:rsid w:val="006B008A"/>
    <w:rsid w:val="006B07A4"/>
    <w:rsid w:val="006B0E40"/>
    <w:rsid w:val="006B2454"/>
    <w:rsid w:val="006D578B"/>
    <w:rsid w:val="006E575F"/>
    <w:rsid w:val="006F148F"/>
    <w:rsid w:val="006F53FF"/>
    <w:rsid w:val="006F6324"/>
    <w:rsid w:val="00710191"/>
    <w:rsid w:val="00712AEF"/>
    <w:rsid w:val="00715BE1"/>
    <w:rsid w:val="00725128"/>
    <w:rsid w:val="00740F3F"/>
    <w:rsid w:val="007473EF"/>
    <w:rsid w:val="00750458"/>
    <w:rsid w:val="00753DCF"/>
    <w:rsid w:val="007653CE"/>
    <w:rsid w:val="00773A25"/>
    <w:rsid w:val="00773EA2"/>
    <w:rsid w:val="00781A97"/>
    <w:rsid w:val="00784DD7"/>
    <w:rsid w:val="00794CCE"/>
    <w:rsid w:val="0079710C"/>
    <w:rsid w:val="00797C5D"/>
    <w:rsid w:val="007B3266"/>
    <w:rsid w:val="007B5C60"/>
    <w:rsid w:val="007C6603"/>
    <w:rsid w:val="008100A1"/>
    <w:rsid w:val="0081107E"/>
    <w:rsid w:val="00823698"/>
    <w:rsid w:val="008271DE"/>
    <w:rsid w:val="00827315"/>
    <w:rsid w:val="00831806"/>
    <w:rsid w:val="0085319F"/>
    <w:rsid w:val="00877F74"/>
    <w:rsid w:val="00880DE5"/>
    <w:rsid w:val="008A2AFF"/>
    <w:rsid w:val="008B1537"/>
    <w:rsid w:val="008C1EC6"/>
    <w:rsid w:val="008D0710"/>
    <w:rsid w:val="008E5FE5"/>
    <w:rsid w:val="00904522"/>
    <w:rsid w:val="00905894"/>
    <w:rsid w:val="009159E9"/>
    <w:rsid w:val="00923072"/>
    <w:rsid w:val="009362F1"/>
    <w:rsid w:val="00936EFB"/>
    <w:rsid w:val="00937BED"/>
    <w:rsid w:val="00944521"/>
    <w:rsid w:val="009601D3"/>
    <w:rsid w:val="009810C8"/>
    <w:rsid w:val="00982987"/>
    <w:rsid w:val="009839E2"/>
    <w:rsid w:val="00994D6C"/>
    <w:rsid w:val="00997A6B"/>
    <w:rsid w:val="009A2CE8"/>
    <w:rsid w:val="009A3173"/>
    <w:rsid w:val="009A5C52"/>
    <w:rsid w:val="009C2944"/>
    <w:rsid w:val="009D578E"/>
    <w:rsid w:val="009D7278"/>
    <w:rsid w:val="009E0DC4"/>
    <w:rsid w:val="009F00A8"/>
    <w:rsid w:val="009F45E2"/>
    <w:rsid w:val="009F4F62"/>
    <w:rsid w:val="009F6D00"/>
    <w:rsid w:val="00A012D2"/>
    <w:rsid w:val="00A117B9"/>
    <w:rsid w:val="00A1758E"/>
    <w:rsid w:val="00A2077D"/>
    <w:rsid w:val="00A26690"/>
    <w:rsid w:val="00A3078A"/>
    <w:rsid w:val="00A31AD9"/>
    <w:rsid w:val="00A35733"/>
    <w:rsid w:val="00A44DDC"/>
    <w:rsid w:val="00A54CAB"/>
    <w:rsid w:val="00A54E22"/>
    <w:rsid w:val="00A66E8F"/>
    <w:rsid w:val="00A709C2"/>
    <w:rsid w:val="00A7593F"/>
    <w:rsid w:val="00A773EF"/>
    <w:rsid w:val="00A858F2"/>
    <w:rsid w:val="00AA1C7A"/>
    <w:rsid w:val="00AB3940"/>
    <w:rsid w:val="00AB7C18"/>
    <w:rsid w:val="00AC01CF"/>
    <w:rsid w:val="00AC6C06"/>
    <w:rsid w:val="00AD0E34"/>
    <w:rsid w:val="00AD6207"/>
    <w:rsid w:val="00AD7DD6"/>
    <w:rsid w:val="00AF10B1"/>
    <w:rsid w:val="00AF32F1"/>
    <w:rsid w:val="00AF3CC3"/>
    <w:rsid w:val="00AF65CB"/>
    <w:rsid w:val="00B119BA"/>
    <w:rsid w:val="00B215A3"/>
    <w:rsid w:val="00B25008"/>
    <w:rsid w:val="00B25DCE"/>
    <w:rsid w:val="00B2635F"/>
    <w:rsid w:val="00B36D83"/>
    <w:rsid w:val="00B37EFB"/>
    <w:rsid w:val="00B50D1E"/>
    <w:rsid w:val="00B54C83"/>
    <w:rsid w:val="00B60F96"/>
    <w:rsid w:val="00B717CB"/>
    <w:rsid w:val="00B71E75"/>
    <w:rsid w:val="00B74A8D"/>
    <w:rsid w:val="00B75225"/>
    <w:rsid w:val="00B767B5"/>
    <w:rsid w:val="00B80D0F"/>
    <w:rsid w:val="00B93AEB"/>
    <w:rsid w:val="00BA329A"/>
    <w:rsid w:val="00BA6A7D"/>
    <w:rsid w:val="00BA7CAD"/>
    <w:rsid w:val="00BB1695"/>
    <w:rsid w:val="00BB21E1"/>
    <w:rsid w:val="00BB48EB"/>
    <w:rsid w:val="00BB7636"/>
    <w:rsid w:val="00BE1039"/>
    <w:rsid w:val="00BE381F"/>
    <w:rsid w:val="00BE64A5"/>
    <w:rsid w:val="00BF3039"/>
    <w:rsid w:val="00C00625"/>
    <w:rsid w:val="00C04BB7"/>
    <w:rsid w:val="00C14116"/>
    <w:rsid w:val="00C4366B"/>
    <w:rsid w:val="00C43E26"/>
    <w:rsid w:val="00C449C1"/>
    <w:rsid w:val="00C46206"/>
    <w:rsid w:val="00C467F9"/>
    <w:rsid w:val="00C51891"/>
    <w:rsid w:val="00C56A13"/>
    <w:rsid w:val="00C61F73"/>
    <w:rsid w:val="00C6352C"/>
    <w:rsid w:val="00C76449"/>
    <w:rsid w:val="00C81349"/>
    <w:rsid w:val="00C925C9"/>
    <w:rsid w:val="00C9260A"/>
    <w:rsid w:val="00CB0068"/>
    <w:rsid w:val="00CB4E1D"/>
    <w:rsid w:val="00CB54E4"/>
    <w:rsid w:val="00CC0EAA"/>
    <w:rsid w:val="00CC4BD0"/>
    <w:rsid w:val="00CE2F1D"/>
    <w:rsid w:val="00CE5F94"/>
    <w:rsid w:val="00CF1AB0"/>
    <w:rsid w:val="00D04896"/>
    <w:rsid w:val="00D11508"/>
    <w:rsid w:val="00D32CBB"/>
    <w:rsid w:val="00D32CF1"/>
    <w:rsid w:val="00D35C3F"/>
    <w:rsid w:val="00D561E0"/>
    <w:rsid w:val="00D72DA2"/>
    <w:rsid w:val="00D7661B"/>
    <w:rsid w:val="00D83236"/>
    <w:rsid w:val="00D86E8D"/>
    <w:rsid w:val="00D879EF"/>
    <w:rsid w:val="00DA1893"/>
    <w:rsid w:val="00DA6155"/>
    <w:rsid w:val="00DA7749"/>
    <w:rsid w:val="00DB2F99"/>
    <w:rsid w:val="00DD013B"/>
    <w:rsid w:val="00DE22FC"/>
    <w:rsid w:val="00DF3CE7"/>
    <w:rsid w:val="00E10523"/>
    <w:rsid w:val="00E159AE"/>
    <w:rsid w:val="00E263B2"/>
    <w:rsid w:val="00E271B1"/>
    <w:rsid w:val="00E315E9"/>
    <w:rsid w:val="00E31AD8"/>
    <w:rsid w:val="00E34094"/>
    <w:rsid w:val="00E40463"/>
    <w:rsid w:val="00E6111E"/>
    <w:rsid w:val="00E67D37"/>
    <w:rsid w:val="00E708BB"/>
    <w:rsid w:val="00E72A4D"/>
    <w:rsid w:val="00E84488"/>
    <w:rsid w:val="00E93AC4"/>
    <w:rsid w:val="00EA032C"/>
    <w:rsid w:val="00EA07CE"/>
    <w:rsid w:val="00EA3A00"/>
    <w:rsid w:val="00EA41DA"/>
    <w:rsid w:val="00EB1586"/>
    <w:rsid w:val="00EC09EA"/>
    <w:rsid w:val="00EE1F6C"/>
    <w:rsid w:val="00EF39A6"/>
    <w:rsid w:val="00EF564A"/>
    <w:rsid w:val="00F12EC3"/>
    <w:rsid w:val="00F163C2"/>
    <w:rsid w:val="00F318FA"/>
    <w:rsid w:val="00F34811"/>
    <w:rsid w:val="00F355BA"/>
    <w:rsid w:val="00F465DE"/>
    <w:rsid w:val="00F46AED"/>
    <w:rsid w:val="00F5169B"/>
    <w:rsid w:val="00F5559E"/>
    <w:rsid w:val="00F55EBD"/>
    <w:rsid w:val="00F57B49"/>
    <w:rsid w:val="00F61B68"/>
    <w:rsid w:val="00F6277C"/>
    <w:rsid w:val="00F672A6"/>
    <w:rsid w:val="00F67B40"/>
    <w:rsid w:val="00F70EA2"/>
    <w:rsid w:val="00F71354"/>
    <w:rsid w:val="00F8074A"/>
    <w:rsid w:val="00F854AF"/>
    <w:rsid w:val="00F85F0C"/>
    <w:rsid w:val="00F85F3A"/>
    <w:rsid w:val="00F9166B"/>
    <w:rsid w:val="00F968C9"/>
    <w:rsid w:val="00FA76CA"/>
    <w:rsid w:val="00FB43FF"/>
    <w:rsid w:val="00FC207E"/>
    <w:rsid w:val="00FC3B1C"/>
    <w:rsid w:val="00FC3DFD"/>
    <w:rsid w:val="00FC7CC9"/>
    <w:rsid w:val="00FF1718"/>
    <w:rsid w:val="00FF3289"/>
    <w:rsid w:val="00FF5EAF"/>
    <w:rsid w:val="00FF6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888D1AC"/>
  <w15:chartTrackingRefBased/>
  <w15:docId w15:val="{9398A1E5-ADC6-4D54-9F90-CEE13794F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8D3"/>
    <w:rPr>
      <w:sz w:val="22"/>
    </w:rPr>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241EAB"/>
    <w:pPr>
      <w:ind w:left="720"/>
      <w:contextualSpacing/>
    </w:pPr>
  </w:style>
  <w:style w:type="character" w:customStyle="1" w:styleId="rpc41">
    <w:name w:val="_rpc_41"/>
    <w:basedOn w:val="DefaultParagraphFont"/>
    <w:rsid w:val="005A0577"/>
  </w:style>
  <w:style w:type="character" w:customStyle="1" w:styleId="bidi">
    <w:name w:val="bidi"/>
    <w:basedOn w:val="DefaultParagraphFont"/>
    <w:rsid w:val="00357BDF"/>
  </w:style>
  <w:style w:type="character" w:customStyle="1" w:styleId="st">
    <w:name w:val="st"/>
    <w:basedOn w:val="DefaultParagraphFont"/>
    <w:rsid w:val="00BA7CAD"/>
  </w:style>
  <w:style w:type="character" w:styleId="LineNumber">
    <w:name w:val="line number"/>
    <w:basedOn w:val="DefaultParagraphFont"/>
    <w:uiPriority w:val="99"/>
    <w:semiHidden/>
    <w:unhideWhenUsed/>
    <w:rsid w:val="006104A0"/>
  </w:style>
  <w:style w:type="table" w:styleId="LightGrid-Accent1">
    <w:name w:val="Light Grid Accent 1"/>
    <w:basedOn w:val="TableNormal"/>
    <w:uiPriority w:val="62"/>
    <w:rsid w:val="00877F74"/>
    <w:pPr>
      <w:spacing w:before="0" w:after="0" w:line="240" w:lineRule="auto"/>
    </w:pPr>
    <w:rPr>
      <w:rFonts w:eastAsiaTheme="minorEastAsia"/>
      <w:color w:val="auto"/>
      <w:sz w:val="22"/>
      <w:szCs w:val="22"/>
      <w:lang w:eastAsia="en-US"/>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character" w:styleId="CommentReference">
    <w:name w:val="annotation reference"/>
    <w:basedOn w:val="DefaultParagraphFont"/>
    <w:uiPriority w:val="99"/>
    <w:semiHidden/>
    <w:unhideWhenUsed/>
    <w:rsid w:val="00725128"/>
    <w:rPr>
      <w:sz w:val="16"/>
      <w:szCs w:val="16"/>
    </w:rPr>
  </w:style>
  <w:style w:type="paragraph" w:styleId="CommentText">
    <w:name w:val="annotation text"/>
    <w:basedOn w:val="Normal"/>
    <w:link w:val="CommentTextChar"/>
    <w:uiPriority w:val="99"/>
    <w:semiHidden/>
    <w:unhideWhenUsed/>
    <w:rsid w:val="00725128"/>
    <w:pPr>
      <w:spacing w:line="240" w:lineRule="auto"/>
    </w:pPr>
    <w:rPr>
      <w:sz w:val="20"/>
    </w:rPr>
  </w:style>
  <w:style w:type="character" w:customStyle="1" w:styleId="CommentTextChar">
    <w:name w:val="Comment Text Char"/>
    <w:basedOn w:val="DefaultParagraphFont"/>
    <w:link w:val="CommentText"/>
    <w:uiPriority w:val="99"/>
    <w:semiHidden/>
    <w:rsid w:val="00725128"/>
  </w:style>
  <w:style w:type="paragraph" w:styleId="CommentSubject">
    <w:name w:val="annotation subject"/>
    <w:basedOn w:val="CommentText"/>
    <w:next w:val="CommentText"/>
    <w:link w:val="CommentSubjectChar"/>
    <w:uiPriority w:val="99"/>
    <w:semiHidden/>
    <w:unhideWhenUsed/>
    <w:rsid w:val="00725128"/>
    <w:rPr>
      <w:b/>
      <w:bCs/>
    </w:rPr>
  </w:style>
  <w:style w:type="character" w:customStyle="1" w:styleId="CommentSubjectChar">
    <w:name w:val="Comment Subject Char"/>
    <w:basedOn w:val="CommentTextChar"/>
    <w:link w:val="CommentSubject"/>
    <w:uiPriority w:val="99"/>
    <w:semiHidden/>
    <w:rsid w:val="007251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470986">
      <w:bodyDiv w:val="1"/>
      <w:marLeft w:val="0"/>
      <w:marRight w:val="0"/>
      <w:marTop w:val="0"/>
      <w:marBottom w:val="0"/>
      <w:divBdr>
        <w:top w:val="none" w:sz="0" w:space="0" w:color="auto"/>
        <w:left w:val="none" w:sz="0" w:space="0" w:color="auto"/>
        <w:bottom w:val="none" w:sz="0" w:space="0" w:color="auto"/>
        <w:right w:val="none" w:sz="0" w:space="0" w:color="auto"/>
      </w:divBdr>
    </w:div>
    <w:div w:id="863859577">
      <w:bodyDiv w:val="1"/>
      <w:marLeft w:val="0"/>
      <w:marRight w:val="0"/>
      <w:marTop w:val="0"/>
      <w:marBottom w:val="0"/>
      <w:divBdr>
        <w:top w:val="none" w:sz="0" w:space="0" w:color="auto"/>
        <w:left w:val="none" w:sz="0" w:space="0" w:color="auto"/>
        <w:bottom w:val="none" w:sz="0" w:space="0" w:color="auto"/>
        <w:right w:val="none" w:sz="0" w:space="0" w:color="auto"/>
      </w:divBdr>
      <w:divsChild>
        <w:div w:id="1779329580">
          <w:marLeft w:val="0"/>
          <w:marRight w:val="0"/>
          <w:marTop w:val="0"/>
          <w:marBottom w:val="0"/>
          <w:divBdr>
            <w:top w:val="none" w:sz="0" w:space="0" w:color="auto"/>
            <w:left w:val="none" w:sz="0" w:space="0" w:color="auto"/>
            <w:bottom w:val="none" w:sz="0" w:space="0" w:color="auto"/>
            <w:right w:val="none" w:sz="0" w:space="0" w:color="auto"/>
          </w:divBdr>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93747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ss.apan.org/s/NIEM_MilOps/CCB/default.aspx?RootFolder=%2Fs%2FNIEM%5FMilOps%2FCCB%2FDocument%20Library%2F1%2FMilOps%20Key%20Documents&amp;FolderCTID=0x012000E86D8C230289844EB8AD56E8AD39EF5E&amp;View=%7bF0AD4DEC-DE84-4F56-B654-965280CD4865%7d" TargetMode="External"/><Relationship Id="rId18" Type="http://schemas.openxmlformats.org/officeDocument/2006/relationships/header" Target="header1.xml"/><Relationship Id="rId26" Type="http://schemas.openxmlformats.org/officeDocument/2006/relationships/hyperlink" Target="https://wss.apan.org/s/NIEM_MilOps/default.aspx" TargetMode="Externa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mailto:michael.t.gilman1.civ@mail.mil" TargetMode="External"/><Relationship Id="rId33"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wss.apan.org/s/NIEM_MilOps/CCB/default.aspx?RootFolder=%2Fs%2FNIEM%5FMilOps%2FCCB%2FDocument%20Library%2F1%2FMilOps%20Key%20Documents&amp;FolderCTID=0x012000E86D8C230289844EB8AD56E8AD39EF5E&amp;View=%7bF0AD4DEC-DE84-4F56-B654-965280CD4865%7d" TargetMode="External"/><Relationship Id="rId20" Type="http://schemas.openxmlformats.org/officeDocument/2006/relationships/image" Target="media/image5.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mailto:rodney.a.mccoy.civ@mail.mil" TargetMode="External"/><Relationship Id="rId32" Type="http://schemas.openxmlformats.org/officeDocument/2006/relationships/image" Target="media/image9.png"/><Relationship Id="rId37" Type="http://schemas.openxmlformats.org/officeDocument/2006/relationships/customXml" Target="../customXml/item5.xml"/><Relationship Id="rId5" Type="http://schemas.openxmlformats.org/officeDocument/2006/relationships/styles" Target="styles.xml"/><Relationship Id="rId15" Type="http://schemas.openxmlformats.org/officeDocument/2006/relationships/hyperlink" Target="https://reference.niem.gov/niem/specification/high-level-version-architecture/3.0/high-level-version-architecture-3.0.html" TargetMode="External"/><Relationship Id="rId23" Type="http://schemas.openxmlformats.org/officeDocument/2006/relationships/hyperlink" Target="mailto:ralph.m.oconnell.civ@mail.mil" TargetMode="External"/><Relationship Id="rId28" Type="http://schemas.openxmlformats.org/officeDocument/2006/relationships/image" Target="media/image7.png"/><Relationship Id="rId36" Type="http://schemas.openxmlformats.org/officeDocument/2006/relationships/customXml" Target="../customXml/item4.xml"/><Relationship Id="rId10" Type="http://schemas.openxmlformats.org/officeDocument/2006/relationships/image" Target="media/image1.png"/><Relationship Id="rId19" Type="http://schemas.openxmlformats.org/officeDocument/2006/relationships/footer" Target="footer2.xml"/><Relationship Id="rId31" Type="http://schemas.openxmlformats.org/officeDocument/2006/relationships/hyperlink" Target="https://wss.apan.org/s/NIEM_MilOps/CCB/default.asp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hyperlink" Target="mailto:stuart.a.whitehead.civ@mail.mil" TargetMode="External"/><Relationship Id="rId27" Type="http://schemas.openxmlformats.org/officeDocument/2006/relationships/hyperlink" Target="https://wss.apan.org/s/NIEM_MilOps/CCB/default.aspx" TargetMode="External"/><Relationship Id="rId30" Type="http://schemas.openxmlformats.org/officeDocument/2006/relationships/hyperlink" Target="https://wss.apan.org/s/NIEM_MilOps/default.aspx" TargetMode="External"/><Relationship Id="rId35"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160E24195B024CB9EDFF333ABE4C4F" ma:contentTypeVersion="0" ma:contentTypeDescription="Create a new document." ma:contentTypeScope="" ma:versionID="29c211770b33a271f6d5485f08e4ee76">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134A96-F1A1-44BC-8EA0-A8518A667B53}"/>
</file>

<file path=customXml/itemProps3.xml><?xml version="1.0" encoding="utf-8"?>
<ds:datastoreItem xmlns:ds="http://schemas.openxmlformats.org/officeDocument/2006/customXml" ds:itemID="{1A6ADCB1-BE2C-4509-B3E1-609F255DCFF5}">
  <ds:schemaRefs>
    <ds:schemaRef ds:uri="http://schemas.openxmlformats.org/officeDocument/2006/bibliography"/>
  </ds:schemaRefs>
</ds:datastoreItem>
</file>

<file path=customXml/itemProps4.xml><?xml version="1.0" encoding="utf-8"?>
<ds:datastoreItem xmlns:ds="http://schemas.openxmlformats.org/officeDocument/2006/customXml" ds:itemID="{ED8FE6D4-6537-423E-AA2A-5FF7DE68E095}"/>
</file>

<file path=customXml/itemProps5.xml><?xml version="1.0" encoding="utf-8"?>
<ds:datastoreItem xmlns:ds="http://schemas.openxmlformats.org/officeDocument/2006/customXml" ds:itemID="{40B7D1BE-EADA-4D02-B8BA-162EA17A1FAA}"/>
</file>

<file path=docProps/app.xml><?xml version="1.0" encoding="utf-8"?>
<Properties xmlns="http://schemas.openxmlformats.org/officeDocument/2006/extended-properties" xmlns:vt="http://schemas.openxmlformats.org/officeDocument/2006/docPropsVTypes">
  <Template>StudentReport</Template>
  <TotalTime>0</TotalTime>
  <Pages>9</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Military Operations Domain &amp; Data and Services Division Technical Support                   Plan</vt:lpstr>
    </vt:vector>
  </TitlesOfParts>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Military Operations Domain &amp; Data and Services Division Technical Support                   Plan</dc:title>
  <dc:subject>(Updated monthly or as needed)</dc:subject>
  <dc:creator>klucznf</dc:creator>
  <cp:keywords/>
  <cp:lastModifiedBy>Smalley, Beth L CIV JS J6 (USA)</cp:lastModifiedBy>
  <cp:revision>2</cp:revision>
  <cp:lastPrinted>2018-01-08T12:37:00Z</cp:lastPrinted>
  <dcterms:created xsi:type="dcterms:W3CDTF">2022-01-18T19:05:00Z</dcterms:created>
  <dcterms:modified xsi:type="dcterms:W3CDTF">2022-01-18T19:05:00Z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y fmtid="{D5CDD505-2E9C-101B-9397-08002B2CF9AE}" pid="3" name="ContentTypeId">
    <vt:lpwstr>0x01010045160E24195B024CB9EDFF333ABE4C4F</vt:lpwstr>
  </property>
</Properties>
</file>